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ascii="微软雅黑" w:hAnsi="微软雅黑" w:eastAsia="微软雅黑" w:cs="微软雅黑"/>
          <w:u w:val="none"/>
        </w:rPr>
      </w:pPr>
      <w:r>
        <w:rPr>
          <w:rFonts w:hint="eastAsia" w:ascii="微软雅黑" w:hAnsi="微软雅黑" w:eastAsia="微软雅黑" w:cs="微软雅黑"/>
          <w:i w:val="0"/>
          <w:iCs w:val="0"/>
          <w:caps w:val="0"/>
          <w:color w:val="666666"/>
          <w:spacing w:val="0"/>
          <w:sz w:val="24"/>
          <w:szCs w:val="24"/>
          <w:u w:val="none"/>
          <w:bdr w:val="none" w:color="auto" w:sz="0" w:space="0"/>
          <w:shd w:val="clear" w:fill="FFFFFF"/>
        </w:rPr>
        <w:t>附件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微软雅黑" w:hAnsi="微软雅黑" w:eastAsia="微软雅黑" w:cs="微软雅黑"/>
          <w:u w:val="none"/>
        </w:rPr>
      </w:pPr>
      <w:r>
        <w:rPr>
          <w:rFonts w:hint="eastAsia" w:ascii="微软雅黑" w:hAnsi="微软雅黑" w:eastAsia="微软雅黑" w:cs="微软雅黑"/>
          <w:i w:val="0"/>
          <w:iCs w:val="0"/>
          <w:caps w:val="0"/>
          <w:color w:val="666666"/>
          <w:spacing w:val="0"/>
          <w:sz w:val="24"/>
          <w:szCs w:val="24"/>
          <w:u w:val="none"/>
          <w:bdr w:val="none" w:color="auto" w:sz="0" w:space="0"/>
          <w:shd w:val="clear" w:fill="FFFFFF"/>
        </w:rPr>
        <w:t>永州市企业投资项目管理负面清单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微软雅黑" w:hAnsi="微软雅黑" w:eastAsia="微软雅黑" w:cs="微软雅黑"/>
          <w:u w:val="none"/>
        </w:rPr>
      </w:pPr>
      <w:r>
        <w:rPr>
          <w:rFonts w:hint="eastAsia" w:ascii="微软雅黑" w:hAnsi="微软雅黑" w:eastAsia="微软雅黑" w:cs="微软雅黑"/>
          <w:i w:val="0"/>
          <w:iCs w:val="0"/>
          <w:caps w:val="0"/>
          <w:color w:val="666666"/>
          <w:spacing w:val="0"/>
          <w:sz w:val="24"/>
          <w:szCs w:val="24"/>
          <w:u w:val="none"/>
          <w:bdr w:val="none" w:color="auto" w:sz="0" w:space="0"/>
          <w:shd w:val="clear" w:fill="FFFFFF"/>
        </w:rPr>
        <w:t>（第一批）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u w:val="none"/>
        </w:rPr>
      </w:pPr>
      <w:r>
        <w:rPr>
          <w:rFonts w:hint="eastAsia" w:ascii="微软雅黑" w:hAnsi="微软雅黑" w:eastAsia="微软雅黑" w:cs="微软雅黑"/>
          <w:i w:val="0"/>
          <w:iCs w:val="0"/>
          <w:caps w:val="0"/>
          <w:color w:val="666666"/>
          <w:spacing w:val="0"/>
          <w:sz w:val="24"/>
          <w:szCs w:val="24"/>
          <w:u w:val="none"/>
          <w:bdr w:val="none" w:color="auto" w:sz="0" w:space="0"/>
          <w:shd w:val="clear" w:fill="FFFFFF"/>
        </w:rPr>
        <w:t>　　一、企业投资项目</w:t>
      </w:r>
    </w:p>
    <w:tbl>
      <w:tblPr>
        <w:tblW w:w="0" w:type="auto"/>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643"/>
        <w:gridCol w:w="1266"/>
        <w:gridCol w:w="6765"/>
        <w:gridCol w:w="3045"/>
        <w:gridCol w:w="2254"/>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blHeader/>
          <w:tblCellSpacing w:w="0" w:type="dxa"/>
        </w:trPr>
        <w:tc>
          <w:tcPr>
            <w:tcW w:w="643"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序号</w:t>
            </w:r>
          </w:p>
        </w:tc>
        <w:tc>
          <w:tcPr>
            <w:tcW w:w="1266"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行业</w:t>
            </w:r>
          </w:p>
        </w:tc>
        <w:tc>
          <w:tcPr>
            <w:tcW w:w="6765"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项  目</w:t>
            </w:r>
          </w:p>
        </w:tc>
        <w:tc>
          <w:tcPr>
            <w:tcW w:w="3045"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主要文件依据</w:t>
            </w:r>
          </w:p>
        </w:tc>
        <w:tc>
          <w:tcPr>
            <w:tcW w:w="2254"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执行单位</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blCellSpacing w:w="0" w:type="dxa"/>
        </w:trPr>
        <w:tc>
          <w:tcPr>
            <w:tcW w:w="13973" w:type="dxa"/>
            <w:gridSpan w:val="5"/>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　　（一）限制投资类（共50类项目）</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blCellSpacing w:w="0" w:type="dxa"/>
        </w:trPr>
        <w:tc>
          <w:tcPr>
            <w:tcW w:w="643"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1</w:t>
            </w:r>
          </w:p>
        </w:tc>
        <w:tc>
          <w:tcPr>
            <w:tcW w:w="1266"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农林业</w:t>
            </w:r>
          </w:p>
        </w:tc>
        <w:tc>
          <w:tcPr>
            <w:tcW w:w="6765"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1)单线5万立方米/年以下的普通刨花板、高中密度纤维板生产装置。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2</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单线3万立方米/年以下的木质刨花板生产装置。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3</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1000吨/年以下的松香生产项目。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4</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1万立方米/年以下的胶合板和细木工板生产线。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5</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兽用粉剂／散剂／预混剂生产线项目(持有新兽药证书的品种和自动化密闭式高效率混合生产工艺除外)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6</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转瓶培养生产方式的兽用细胞苗生产线项目(持有新兽药证书的品种和采用新技术的除外)。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7</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松脂初加工项目。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8</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以优质林木为原料的一次性木制品与木制包装的生产和使用以及木竹加工综合利用率偏低的木竹加工项目。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9</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珍稀植物的根雕制造业。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10) 以野外资源为原料的珍贵濒危野生动植物加工。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11) 湖泊、水库投饵网箱养殖。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12) 不利于生态环境保护的开荒性农业开发项目。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13) 粮食转化乙醇、食用植物油料转化生物燃料项目。</w:t>
            </w:r>
          </w:p>
        </w:tc>
        <w:tc>
          <w:tcPr>
            <w:tcW w:w="3045" w:type="dxa"/>
            <w:vMerge w:val="restart"/>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　　2013年国家发改委关于修改《产业结构调整指导目录（2011年本）》有关条款的决定 （国家发展和改革委员会令第21号）；国土资源部、国家发改委关于发布实施《限制用地项目目录（2012年本）》和《禁止用地项目目录（2012年本）》的通知（国土资发〔2012〕98号）</w:t>
            </w:r>
          </w:p>
        </w:tc>
        <w:tc>
          <w:tcPr>
            <w:tcW w:w="2254" w:type="dxa"/>
            <w:vMerge w:val="restart"/>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　　市、县区人民政府（含金洞、回龙圩、永州经济技术开发区），市县区有关单位</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blCellSpacing w:w="0" w:type="dxa"/>
        </w:trPr>
        <w:tc>
          <w:tcPr>
            <w:tcW w:w="643"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2</w:t>
            </w:r>
          </w:p>
        </w:tc>
        <w:tc>
          <w:tcPr>
            <w:tcW w:w="1266"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电力</w:t>
            </w:r>
          </w:p>
        </w:tc>
        <w:tc>
          <w:tcPr>
            <w:tcW w:w="6765"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1) 无下泄生态流量的引水式水力发电。</w:t>
            </w:r>
          </w:p>
        </w:tc>
        <w:tc>
          <w:tcPr>
            <w:tcW w:w="3045" w:type="dxa"/>
            <w:vMerge w:val="continue"/>
            <w:shd w:val="clear"/>
            <w:vAlign w:val="center"/>
          </w:tcPr>
          <w:p>
            <w:pPr>
              <w:rPr>
                <w:rFonts w:hint="eastAsia" w:ascii="宋体"/>
                <w:sz w:val="24"/>
                <w:szCs w:val="24"/>
                <w:u w:val="none"/>
              </w:rPr>
            </w:pPr>
          </w:p>
        </w:tc>
        <w:tc>
          <w:tcPr>
            <w:tcW w:w="2254" w:type="dxa"/>
            <w:vMerge w:val="continue"/>
            <w:shd w:val="clear"/>
            <w:vAlign w:val="center"/>
          </w:tcPr>
          <w:p>
            <w:pPr>
              <w:rPr>
                <w:rFonts w:hint="eastAsia" w:ascii="宋体"/>
                <w:sz w:val="24"/>
                <w:szCs w:val="24"/>
                <w:u w:val="none"/>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blCellSpacing w:w="0" w:type="dxa"/>
        </w:trPr>
        <w:tc>
          <w:tcPr>
            <w:tcW w:w="643"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3</w:t>
            </w:r>
          </w:p>
        </w:tc>
        <w:tc>
          <w:tcPr>
            <w:tcW w:w="1266"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煤炭</w:t>
            </w:r>
          </w:p>
        </w:tc>
        <w:tc>
          <w:tcPr>
            <w:tcW w:w="6765"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1</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采用非机械化开采工艺的煤矿项目。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2</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设计的煤炭资源回收率达不到国家规定要求的煤矿项目。</w:t>
            </w:r>
          </w:p>
        </w:tc>
        <w:tc>
          <w:tcPr>
            <w:tcW w:w="3045" w:type="dxa"/>
            <w:vMerge w:val="continue"/>
            <w:shd w:val="clear"/>
            <w:vAlign w:val="center"/>
          </w:tcPr>
          <w:p>
            <w:pPr>
              <w:rPr>
                <w:rFonts w:hint="eastAsia" w:ascii="宋体"/>
                <w:sz w:val="24"/>
                <w:szCs w:val="24"/>
                <w:u w:val="none"/>
              </w:rPr>
            </w:pPr>
          </w:p>
        </w:tc>
        <w:tc>
          <w:tcPr>
            <w:tcW w:w="2254" w:type="dxa"/>
            <w:vMerge w:val="continue"/>
            <w:shd w:val="clear"/>
            <w:vAlign w:val="center"/>
          </w:tcPr>
          <w:p>
            <w:pPr>
              <w:rPr>
                <w:rFonts w:hint="eastAsia" w:ascii="宋体"/>
                <w:sz w:val="24"/>
                <w:szCs w:val="24"/>
                <w:u w:val="none"/>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blCellSpacing w:w="0" w:type="dxa"/>
        </w:trPr>
        <w:tc>
          <w:tcPr>
            <w:tcW w:w="643"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4</w:t>
            </w:r>
          </w:p>
        </w:tc>
        <w:tc>
          <w:tcPr>
            <w:tcW w:w="1266"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有色金属</w:t>
            </w:r>
          </w:p>
        </w:tc>
        <w:tc>
          <w:tcPr>
            <w:tcW w:w="6765"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1) 新建、扩建钨、钼、锡、锑开采、冶炼项目，稀土开采、选矿、冶炼、分离项目以及氧化锑、铅锡焊料生产项目。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2) 单系列10万吨/年规模以下粗铜冶炼项目。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3) 铅冶炼项目（单系列5万吨/年规模及以上，不新增产能的技改和环保改造项目除外）。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4) 单系列10万吨/年规模以下锌冶炼项目（直接浸出除外）。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5) 新建单系列生产能力5万吨/年及以下、改扩建单系列生产能力2万吨/年及以下，以及资源利用、能源消耗、环境保护等指标达不到行业准入条件要求的再生铅项目。</w:t>
            </w:r>
          </w:p>
        </w:tc>
        <w:tc>
          <w:tcPr>
            <w:tcW w:w="3045" w:type="dxa"/>
            <w:vMerge w:val="continue"/>
            <w:shd w:val="clear"/>
            <w:vAlign w:val="center"/>
          </w:tcPr>
          <w:p>
            <w:pPr>
              <w:rPr>
                <w:rFonts w:hint="eastAsia" w:ascii="宋体"/>
                <w:sz w:val="24"/>
                <w:szCs w:val="24"/>
                <w:u w:val="none"/>
              </w:rPr>
            </w:pPr>
          </w:p>
        </w:tc>
        <w:tc>
          <w:tcPr>
            <w:tcW w:w="2254" w:type="dxa"/>
            <w:vMerge w:val="continue"/>
            <w:shd w:val="clear"/>
            <w:vAlign w:val="center"/>
          </w:tcPr>
          <w:p>
            <w:pPr>
              <w:rPr>
                <w:rFonts w:hint="eastAsia" w:ascii="宋体"/>
                <w:sz w:val="24"/>
                <w:szCs w:val="24"/>
                <w:u w:val="none"/>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blCellSpacing w:w="0" w:type="dxa"/>
        </w:trPr>
        <w:tc>
          <w:tcPr>
            <w:tcW w:w="643"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5</w:t>
            </w:r>
          </w:p>
        </w:tc>
        <w:tc>
          <w:tcPr>
            <w:tcW w:w="1266"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医药</w:t>
            </w:r>
          </w:p>
        </w:tc>
        <w:tc>
          <w:tcPr>
            <w:tcW w:w="6765"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(1</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新建、改扩建药用丁基橡胶塞、二步法生产输液用塑料瓶生产装置。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(2</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新建及改扩建原料含有尚未规模化种植或养殖的濒危动植物药材的产品生产装置。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(3</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新建、改扩建充汞式玻璃体温计、血压计生产装置、银汞齐齿科材料、新建2亿支/年以下一次性注射器、输血器、输液器生产装置。</w:t>
            </w:r>
          </w:p>
        </w:tc>
        <w:tc>
          <w:tcPr>
            <w:tcW w:w="3045" w:type="dxa"/>
            <w:vMerge w:val="restart"/>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　　2013年国家发改委关于修改《产业结构调整指导目录（2011年本）》有关条款的决定 （国家发展和改革委员会令第21号）；国土资源部、国家发改委关于发布实施《限制用地项目目录（2012年本）》和《禁止用地项目目录（2012年本）》的通知（国土资发〔2012〕98号）</w:t>
            </w:r>
          </w:p>
        </w:tc>
        <w:tc>
          <w:tcPr>
            <w:tcW w:w="2254" w:type="dxa"/>
            <w:vMerge w:val="restart"/>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　　市、县区人民政府（含金洞、回龙圩、永州经济技术开发区），市县区有关单位</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blCellSpacing w:w="0" w:type="dxa"/>
        </w:trPr>
        <w:tc>
          <w:tcPr>
            <w:tcW w:w="643"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6</w:t>
            </w:r>
          </w:p>
        </w:tc>
        <w:tc>
          <w:tcPr>
            <w:tcW w:w="1266"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轻工</w:t>
            </w:r>
          </w:p>
        </w:tc>
        <w:tc>
          <w:tcPr>
            <w:tcW w:w="6765"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(1</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聚氯乙烯普通人造革生产线。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(2</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普通照明白炽灯、高压汞灯。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(3</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3万吨/年及以下的玻璃瓶罐生产线。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(4</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未达到日用玻璃行业清洁生产评价指标体系规定指标的玻璃窑炉。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(5</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生产能力小于18000瓶/时的啤酒灌装生产线。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(6</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白酒生产线。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(7</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酒精生产线。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(8</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大豆压榨及浸出项目,单线日处理花生100吨及以下的油料加工项目。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(9</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新建单条化学木浆30万吨/年以下、化学机械木浆10万吨/年以下、化学竹浆10万吨/年以下的生产线；新闻纸、铜版纸生产线。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(10) 元素氯漂白制浆工艺 。</w:t>
            </w:r>
          </w:p>
        </w:tc>
        <w:tc>
          <w:tcPr>
            <w:tcW w:w="3045" w:type="dxa"/>
            <w:vMerge w:val="continue"/>
            <w:shd w:val="clear"/>
            <w:vAlign w:val="center"/>
          </w:tcPr>
          <w:p>
            <w:pPr>
              <w:rPr>
                <w:rFonts w:hint="eastAsia" w:ascii="宋体"/>
                <w:sz w:val="24"/>
                <w:szCs w:val="24"/>
                <w:u w:val="none"/>
              </w:rPr>
            </w:pPr>
          </w:p>
        </w:tc>
        <w:tc>
          <w:tcPr>
            <w:tcW w:w="2254" w:type="dxa"/>
            <w:vMerge w:val="continue"/>
            <w:shd w:val="clear"/>
            <w:vAlign w:val="center"/>
          </w:tcPr>
          <w:p>
            <w:pPr>
              <w:rPr>
                <w:rFonts w:hint="eastAsia" w:ascii="宋体"/>
                <w:sz w:val="24"/>
                <w:szCs w:val="24"/>
                <w:u w:val="none"/>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blCellSpacing w:w="0" w:type="dxa"/>
        </w:trPr>
        <w:tc>
          <w:tcPr>
            <w:tcW w:w="643"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7</w:t>
            </w:r>
          </w:p>
        </w:tc>
        <w:tc>
          <w:tcPr>
            <w:tcW w:w="1266"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烟草</w:t>
            </w:r>
          </w:p>
        </w:tc>
        <w:tc>
          <w:tcPr>
            <w:tcW w:w="6765"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(1</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卷烟加工项目。</w:t>
            </w:r>
          </w:p>
        </w:tc>
        <w:tc>
          <w:tcPr>
            <w:tcW w:w="3045" w:type="dxa"/>
            <w:vMerge w:val="continue"/>
            <w:shd w:val="clear"/>
            <w:vAlign w:val="center"/>
          </w:tcPr>
          <w:p>
            <w:pPr>
              <w:rPr>
                <w:rFonts w:hint="eastAsia" w:ascii="宋体"/>
                <w:sz w:val="24"/>
                <w:szCs w:val="24"/>
                <w:u w:val="none"/>
              </w:rPr>
            </w:pPr>
          </w:p>
        </w:tc>
        <w:tc>
          <w:tcPr>
            <w:tcW w:w="2254" w:type="dxa"/>
            <w:vMerge w:val="continue"/>
            <w:shd w:val="clear"/>
            <w:vAlign w:val="center"/>
          </w:tcPr>
          <w:p>
            <w:pPr>
              <w:rPr>
                <w:rFonts w:hint="eastAsia" w:ascii="宋体"/>
                <w:sz w:val="24"/>
                <w:szCs w:val="24"/>
                <w:u w:val="none"/>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blCellSpacing w:w="0" w:type="dxa"/>
        </w:trPr>
        <w:tc>
          <w:tcPr>
            <w:tcW w:w="643"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8</w:t>
            </w:r>
          </w:p>
        </w:tc>
        <w:tc>
          <w:tcPr>
            <w:tcW w:w="1266"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纺织</w:t>
            </w:r>
          </w:p>
        </w:tc>
        <w:tc>
          <w:tcPr>
            <w:tcW w:w="6765"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(1</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双宫丝和柞蚕丝的立式缫丝工艺与设备。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(2</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绞纱染色工艺。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(3</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亚氯酸钠漂白设备。</w:t>
            </w:r>
          </w:p>
        </w:tc>
        <w:tc>
          <w:tcPr>
            <w:tcW w:w="3045" w:type="dxa"/>
            <w:vMerge w:val="continue"/>
            <w:shd w:val="clear"/>
            <w:vAlign w:val="center"/>
          </w:tcPr>
          <w:p>
            <w:pPr>
              <w:rPr>
                <w:rFonts w:hint="eastAsia" w:ascii="宋体"/>
                <w:sz w:val="24"/>
                <w:szCs w:val="24"/>
                <w:u w:val="none"/>
              </w:rPr>
            </w:pPr>
          </w:p>
        </w:tc>
        <w:tc>
          <w:tcPr>
            <w:tcW w:w="2254" w:type="dxa"/>
            <w:vMerge w:val="continue"/>
            <w:shd w:val="clear"/>
            <w:vAlign w:val="center"/>
          </w:tcPr>
          <w:p>
            <w:pPr>
              <w:rPr>
                <w:rFonts w:hint="eastAsia" w:ascii="宋体"/>
                <w:sz w:val="24"/>
                <w:szCs w:val="24"/>
                <w:u w:val="none"/>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blCellSpacing w:w="0" w:type="dxa"/>
        </w:trPr>
        <w:tc>
          <w:tcPr>
            <w:tcW w:w="643"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9</w:t>
            </w:r>
          </w:p>
        </w:tc>
        <w:tc>
          <w:tcPr>
            <w:tcW w:w="1266"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机械</w:t>
            </w:r>
          </w:p>
        </w:tc>
        <w:tc>
          <w:tcPr>
            <w:tcW w:w="6765"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(1</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非数控金属切削机床制造项目。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(2</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6300千牛及以下普通机械压力机制造项目。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(3</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非数控剪板机、折弯机、弯管机制造项目。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(4</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普通高速钢钻头、铣刀、锯片、丝锥、板牙项目。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(5</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棕刚玉、绿碳化硅、黑碳化硅等烧结块及磨料制造项目。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(6</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直径450毫米以下的各种结合剂砂轮（钢轨打磨砂轮除外）。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(7</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直径400毫米及以下人造金刚石切割锯片制造项目。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(8</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P0级、直径60毫米以下普通微小型轴承制造项目。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(9</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220千伏及以下电力变压器（非晶合金、卷铁芯等节能配电变压器除外）。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(10) 220千伏及以下高、中、低压开关柜制造项目（使用环保型中压气体的绝缘开关柜除外）。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(11) 民用普通电度表制造项目。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(12) 新建普通铸锻件项目。</w:t>
            </w:r>
          </w:p>
        </w:tc>
        <w:tc>
          <w:tcPr>
            <w:tcW w:w="3045" w:type="dxa"/>
            <w:vMerge w:val="continue"/>
            <w:shd w:val="clear"/>
            <w:vAlign w:val="center"/>
          </w:tcPr>
          <w:p>
            <w:pPr>
              <w:rPr>
                <w:rFonts w:hint="eastAsia" w:ascii="宋体"/>
                <w:sz w:val="24"/>
                <w:szCs w:val="24"/>
                <w:u w:val="none"/>
              </w:rPr>
            </w:pPr>
          </w:p>
        </w:tc>
        <w:tc>
          <w:tcPr>
            <w:tcW w:w="2254" w:type="dxa"/>
            <w:vMerge w:val="continue"/>
            <w:shd w:val="clear"/>
            <w:vAlign w:val="center"/>
          </w:tcPr>
          <w:p>
            <w:pPr>
              <w:rPr>
                <w:rFonts w:hint="eastAsia" w:ascii="宋体"/>
                <w:sz w:val="24"/>
                <w:szCs w:val="24"/>
                <w:u w:val="none"/>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blCellSpacing w:w="0" w:type="dxa"/>
        </w:trPr>
        <w:tc>
          <w:tcPr>
            <w:tcW w:w="13973" w:type="dxa"/>
            <w:gridSpan w:val="5"/>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　　（二）禁止投资类（共54类项目）</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blCellSpacing w:w="0" w:type="dxa"/>
        </w:trPr>
        <w:tc>
          <w:tcPr>
            <w:tcW w:w="643"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1</w:t>
            </w:r>
          </w:p>
        </w:tc>
        <w:tc>
          <w:tcPr>
            <w:tcW w:w="1266"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农林业</w:t>
            </w:r>
          </w:p>
        </w:tc>
        <w:tc>
          <w:tcPr>
            <w:tcW w:w="6765"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1</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湿法纤维板生产工艺。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2</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滴水法松香生产工艺。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3</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以木材、伐根为主要原料的活性炭生产以及氯化锌法活性炭生产工艺。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4</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超过生态承载力的旅游活动和药材等林产品采集。</w:t>
            </w:r>
          </w:p>
        </w:tc>
        <w:tc>
          <w:tcPr>
            <w:tcW w:w="3045" w:type="dxa"/>
            <w:vMerge w:val="restart"/>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　　2013年国家发改委关于修改《产业结构调整指导目录（2011年本）》有关条款的决定 （国家发展和改革委员会令第21号）；国家工业和信息化部《部分工业行业淘汰落后生产工艺装备和产品指导目录（2010年本）》（工产业〔2010〕第122号）</w:t>
            </w:r>
          </w:p>
        </w:tc>
        <w:tc>
          <w:tcPr>
            <w:tcW w:w="2254" w:type="dxa"/>
            <w:vMerge w:val="restart"/>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　　市、县区人民政府（含金洞、回龙圩、永州经济技术开发区），市县有关单位</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blCellSpacing w:w="0" w:type="dxa"/>
        </w:trPr>
        <w:tc>
          <w:tcPr>
            <w:tcW w:w="643"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2</w:t>
            </w:r>
          </w:p>
        </w:tc>
        <w:tc>
          <w:tcPr>
            <w:tcW w:w="1266"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轻工</w:t>
            </w:r>
          </w:p>
        </w:tc>
        <w:tc>
          <w:tcPr>
            <w:tcW w:w="6765"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(1</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超薄型（厚度低于0.025毫米）塑料购物袋生产。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(2</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300吨/年以下的油墨生产总装置（利用高新技术、无污染的除外）。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(3</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含苯类溶剂型油墨生产。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(4</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石灰法地池制浆设备（宣纸除外）。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(5</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5.1万吨/年以下的化学木浆生产线。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(6</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单条3.4万吨/年以下的非木浆生产线。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(7</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单条1万吨/年及以下、以废纸为原料的制浆生产线。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(8</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幅宽在1.76米及以下并且车速为120米/分以下的文化纸生产线。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(9</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幅宽在2米及以下并且车速为80米/分以下的白板纸、箱板纸及瓦楞纸生产线。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(10) 以氯氟烃（CFCs）为制冷剂和发泡剂的冰箱、冰柜、汽车空调器、工业商业用冷藏、制冷设备生产线。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(11) 猪、牛、羊、禽手工屠宰工艺。</w:t>
            </w:r>
          </w:p>
        </w:tc>
        <w:tc>
          <w:tcPr>
            <w:tcW w:w="3045" w:type="dxa"/>
            <w:vMerge w:val="continue"/>
            <w:shd w:val="clear"/>
            <w:vAlign w:val="center"/>
          </w:tcPr>
          <w:p>
            <w:pPr>
              <w:rPr>
                <w:rFonts w:hint="eastAsia" w:ascii="宋体"/>
                <w:sz w:val="24"/>
                <w:szCs w:val="24"/>
                <w:u w:val="none"/>
              </w:rPr>
            </w:pPr>
          </w:p>
        </w:tc>
        <w:tc>
          <w:tcPr>
            <w:tcW w:w="2254" w:type="dxa"/>
            <w:vMerge w:val="continue"/>
            <w:shd w:val="clear"/>
            <w:vAlign w:val="center"/>
          </w:tcPr>
          <w:p>
            <w:pPr>
              <w:rPr>
                <w:rFonts w:hint="eastAsia" w:ascii="宋体"/>
                <w:sz w:val="24"/>
                <w:szCs w:val="24"/>
                <w:u w:val="none"/>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blCellSpacing w:w="0" w:type="dxa"/>
        </w:trPr>
        <w:tc>
          <w:tcPr>
            <w:tcW w:w="643"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3</w:t>
            </w:r>
          </w:p>
        </w:tc>
        <w:tc>
          <w:tcPr>
            <w:tcW w:w="1266"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有色金属</w:t>
            </w:r>
          </w:p>
        </w:tc>
        <w:tc>
          <w:tcPr>
            <w:tcW w:w="6765"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(1</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电解铝项目（淘汰落后生产能力置换项目及优化产业布局项目除外）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(2</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1万吨/年以下的再生铝、再生铅项目。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(3</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4吨以下反射炉再生铝生产工艺及设备。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(4</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稀土氯化物电解制备金属工艺项目。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(5</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2000吨（REO）/年以下的稀土分离项目。</w:t>
            </w:r>
          </w:p>
        </w:tc>
        <w:tc>
          <w:tcPr>
            <w:tcW w:w="3045" w:type="dxa"/>
            <w:vMerge w:val="continue"/>
            <w:shd w:val="clear"/>
            <w:vAlign w:val="center"/>
          </w:tcPr>
          <w:p>
            <w:pPr>
              <w:rPr>
                <w:rFonts w:hint="eastAsia" w:ascii="宋体"/>
                <w:sz w:val="24"/>
                <w:szCs w:val="24"/>
                <w:u w:val="none"/>
              </w:rPr>
            </w:pPr>
          </w:p>
        </w:tc>
        <w:tc>
          <w:tcPr>
            <w:tcW w:w="2254" w:type="dxa"/>
            <w:vMerge w:val="continue"/>
            <w:shd w:val="clear"/>
            <w:vAlign w:val="center"/>
          </w:tcPr>
          <w:p>
            <w:pPr>
              <w:rPr>
                <w:rFonts w:hint="eastAsia" w:ascii="宋体"/>
                <w:sz w:val="24"/>
                <w:szCs w:val="24"/>
                <w:u w:val="none"/>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blCellSpacing w:w="0" w:type="dxa"/>
        </w:trPr>
        <w:tc>
          <w:tcPr>
            <w:tcW w:w="643"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4</w:t>
            </w:r>
          </w:p>
        </w:tc>
        <w:tc>
          <w:tcPr>
            <w:tcW w:w="1266"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纺织</w:t>
            </w:r>
          </w:p>
        </w:tc>
        <w:tc>
          <w:tcPr>
            <w:tcW w:w="6765"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(1</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使用直流电机驱动的印染生产线。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(2</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湿法氨纶生产工艺。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(3</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二甲基甲酰胺（DMF）溶剂法氨纶及腈纶生产工艺。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(4</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硝酸法腈纶常规纤维生产工艺及装置。</w:t>
            </w:r>
          </w:p>
        </w:tc>
        <w:tc>
          <w:tcPr>
            <w:tcW w:w="3045" w:type="dxa"/>
            <w:vMerge w:val="continue"/>
            <w:shd w:val="clear"/>
            <w:vAlign w:val="center"/>
          </w:tcPr>
          <w:p>
            <w:pPr>
              <w:rPr>
                <w:rFonts w:hint="eastAsia" w:ascii="宋体"/>
                <w:sz w:val="24"/>
                <w:szCs w:val="24"/>
                <w:u w:val="none"/>
              </w:rPr>
            </w:pPr>
          </w:p>
        </w:tc>
        <w:tc>
          <w:tcPr>
            <w:tcW w:w="2254" w:type="dxa"/>
            <w:vMerge w:val="continue"/>
            <w:shd w:val="clear"/>
            <w:vAlign w:val="center"/>
          </w:tcPr>
          <w:p>
            <w:pPr>
              <w:rPr>
                <w:rFonts w:hint="eastAsia" w:ascii="宋体"/>
                <w:sz w:val="24"/>
                <w:szCs w:val="24"/>
                <w:u w:val="none"/>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blCellSpacing w:w="0" w:type="dxa"/>
        </w:trPr>
        <w:tc>
          <w:tcPr>
            <w:tcW w:w="643"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5</w:t>
            </w:r>
          </w:p>
        </w:tc>
        <w:tc>
          <w:tcPr>
            <w:tcW w:w="1266"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建材</w:t>
            </w:r>
          </w:p>
        </w:tc>
        <w:tc>
          <w:tcPr>
            <w:tcW w:w="6765"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(1</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水泥干法中空窑（生产高铝水泥、硫铝酸盐水泥等特种水泥除外）、立波尔窑、湿法窑。</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(2</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直径3米以下水泥粉磨设备。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(3</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2000吨/日以下熟料新型干法水泥生产线，60万吨/年以下水泥粉磨站。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(4</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平拉工艺平板玻璃生产线（含格法）、普通浮法玻璃生产线。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(5</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150万平方米/年以下的建筑陶瓷砖、20万件/年以下低档卫生陶瓷生产线。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(6</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3000万平方米/年以下的纸面石膏板生产线。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(7</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500万平方米/年以下的改性沥青类防水卷材生产线；500万平方米/年以下沥青复合胎柔性防水卷材生产线；100万卷/年以下沥青纸胎油毡生产线。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(8</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无碱、中碱玻璃球生产线、铂金坩埚球法拉丝玻璃纤维生产线。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(9</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粘土空心砖和粘土实心砖生产线。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10) 15万平方米/年以下的石膏（空心）砌块生产线、单班2.5万立方米/年以下的混凝土小型空心砌块以及单班15万平方米/年以下的混凝土铺地砖固定式生产线、5万立方米/年以下的人造轻集料（陶粒）生产线。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(11) 3000万标砖/年以下的煤矸石、页岩烧结实心砖生产线。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(12) 10000吨/年以下岩（矿）棉制品生产线和8000吨/年以下玻璃棉制品生产线。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(13)              60万件/年以下的隧道窑卫生陶瓷生产线。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(14)              10万立方米/年以下的加气混凝土生产线。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(15)              100万米/年及以下预应力高强混凝土离心桩生产线。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(16) 预应力钢筒混凝土管（简称PCCP管）生产线：PCCP-L型：年设计生产能力≤50千米，PCCP-E型：年设计生产能力≤30千米。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(17) 人工浇筑、非机械成型的石膏（空心）砌块生产工艺。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(18) 非机械生产中空玻璃，双层双框各类门窗及单腔结构型的塑料门窗。</w:t>
            </w:r>
          </w:p>
        </w:tc>
        <w:tc>
          <w:tcPr>
            <w:tcW w:w="3045" w:type="dxa"/>
            <w:vMerge w:val="restart"/>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　　2013年国家发改委关于修改《产业结构调整指导目录（2011年本）》有关条款的决定 （国家发展和改革委员会令第21号）；国家工业和信息化部《部分工业行业淘汰落后生产工艺装备和产品指导目录（2010年本）》（工产业〔2010〕第122号）；国土资源部、国家发改委关于发布实施《限制用地项目目录（2012年本）》和《禁止用地项目目录（2012年本）》的通知（国土资发〔2012〕98号）;《国务院关于化解产能严重过剩矛盾的指导意见》(国发〔2013〕41号)</w:t>
            </w:r>
          </w:p>
        </w:tc>
        <w:tc>
          <w:tcPr>
            <w:tcW w:w="2254" w:type="dxa"/>
            <w:vMerge w:val="restart"/>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　　市、县区人民政府（含金洞、回龙圩、永州经济技术开发区），市县有关单位</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643"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6</w:t>
            </w:r>
          </w:p>
        </w:tc>
        <w:tc>
          <w:tcPr>
            <w:tcW w:w="1266"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钢铁</w:t>
            </w:r>
          </w:p>
        </w:tc>
        <w:tc>
          <w:tcPr>
            <w:tcW w:w="6765"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(1</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有效容积1200立方米以下炼铁高炉；1200立方米及以上但未同步配套煤粉喷吹装置、除尘装置、余压发电装置，能源消耗大于430公斤标煤/吨、新水耗量大于2. 4立方米/吨等达不到标准的炼铁高炉。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(2</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200立方米及以下铁合金、铸铁管生产用高炉；100立方米及以下铁合金锰铁高炉。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(3</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公称容量100吨以下炼钢转炉；公称容量100吨及以上但未同步配套煤气回收、除尘装置，新水耗量大于3立方米/吨等达不到标准的炼钢转炉。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(4</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公称容量100吨（合金钢50吨）以下电炉；公称容量100吨（合金钢50吨）及以上但未同步配套烟尘回收装置，能源消耗大于98公斤标煤/吨、新水耗量大于3.2立方米/吨等达不到标准的电炉。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(5</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3000千伏安及以上,未采用热装热兑工艺的中低碳锰铁、电炉金属锰和中低微碳铬铁精炼电炉。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(6</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300立方米以下锰铁高炉；300立方米及以上，但焦比高于1320千克/吨的锰铁高炉；规模小于10万吨/年的高炉锰铁企业。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(7</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间断浸出、间断送液的电解金属锰浸出工艺；10000吨/年以下电解金属锰单条生产线（一台变压器）， 电解金属锰生产总规模为30000吨/年以下的企业。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(8</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1450毫米以下热轧带钢（不含特殊钢）项目。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(9</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30万吨/年及以下热镀锌板卷项目。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(10) 20万吨/年及以下彩色涂层板卷项目。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(11) 含铬质耐火材料。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(12) 6300千伏安以下铁合金矿热电炉，3000千伏安以下铁合金半封闭直流电炉、铁合金精炼电炉（钨铁、钒铁等特殊品种的电炉除外）。</w:t>
            </w:r>
          </w:p>
        </w:tc>
        <w:tc>
          <w:tcPr>
            <w:tcW w:w="3045" w:type="dxa"/>
            <w:vMerge w:val="continue"/>
            <w:shd w:val="clear"/>
            <w:vAlign w:val="center"/>
          </w:tcPr>
          <w:p>
            <w:pPr>
              <w:rPr>
                <w:rFonts w:hint="eastAsia" w:ascii="宋体"/>
                <w:sz w:val="24"/>
                <w:szCs w:val="24"/>
                <w:u w:val="none"/>
              </w:rPr>
            </w:pPr>
          </w:p>
        </w:tc>
        <w:tc>
          <w:tcPr>
            <w:tcW w:w="2254" w:type="dxa"/>
            <w:vMerge w:val="continue"/>
            <w:shd w:val="clear"/>
            <w:vAlign w:val="center"/>
          </w:tcPr>
          <w:p>
            <w:pPr>
              <w:rPr>
                <w:rFonts w:hint="eastAsia" w:ascii="宋体"/>
                <w:sz w:val="24"/>
                <w:szCs w:val="24"/>
                <w:u w:val="none"/>
              </w:rPr>
            </w:pPr>
          </w:p>
        </w:tc>
      </w:tr>
    </w:tbl>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left"/>
        <w:rPr>
          <w:rFonts w:hint="eastAsia" w:ascii="微软雅黑" w:hAnsi="微软雅黑" w:eastAsia="微软雅黑" w:cs="微软雅黑"/>
          <w:i w:val="0"/>
          <w:iCs w:val="0"/>
          <w:caps w:val="0"/>
          <w:color w:val="666666"/>
          <w:spacing w:val="0"/>
          <w:sz w:val="24"/>
          <w:szCs w:val="24"/>
          <w:u w:val="none"/>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微软雅黑" w:hAnsi="微软雅黑" w:eastAsia="微软雅黑" w:cs="微软雅黑"/>
          <w:i w:val="0"/>
          <w:iCs w:val="0"/>
          <w:caps w:val="0"/>
          <w:color w:val="666666"/>
          <w:spacing w:val="0"/>
          <w:sz w:val="24"/>
          <w:szCs w:val="24"/>
          <w:u w:val="none"/>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微软雅黑" w:hAnsi="微软雅黑" w:eastAsia="微软雅黑" w:cs="微软雅黑"/>
          <w:i w:val="0"/>
          <w:iCs w:val="0"/>
          <w:caps w:val="0"/>
          <w:color w:val="666666"/>
          <w:spacing w:val="0"/>
          <w:sz w:val="24"/>
          <w:szCs w:val="24"/>
          <w:u w:val="none"/>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微软雅黑" w:hAnsi="微软雅黑" w:eastAsia="微软雅黑" w:cs="微软雅黑"/>
          <w:i w:val="0"/>
          <w:iCs w:val="0"/>
          <w:caps w:val="0"/>
          <w:color w:val="666666"/>
          <w:spacing w:val="0"/>
          <w:sz w:val="24"/>
          <w:szCs w:val="24"/>
          <w:u w:val="none"/>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微软雅黑" w:hAnsi="微软雅黑" w:eastAsia="微软雅黑" w:cs="微软雅黑"/>
          <w:i w:val="0"/>
          <w:iCs w:val="0"/>
          <w:caps w:val="0"/>
          <w:color w:val="666666"/>
          <w:spacing w:val="0"/>
          <w:sz w:val="24"/>
          <w:szCs w:val="24"/>
          <w:u w:val="none"/>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微软雅黑" w:hAnsi="微软雅黑" w:eastAsia="微软雅黑" w:cs="微软雅黑"/>
          <w:i w:val="0"/>
          <w:iCs w:val="0"/>
          <w:caps w:val="0"/>
          <w:color w:val="666666"/>
          <w:spacing w:val="0"/>
          <w:sz w:val="24"/>
          <w:szCs w:val="24"/>
          <w:u w:val="none"/>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微软雅黑" w:hAnsi="微软雅黑" w:eastAsia="微软雅黑" w:cs="微软雅黑"/>
          <w:u w:val="none"/>
        </w:rPr>
      </w:pPr>
      <w:r>
        <w:rPr>
          <w:rFonts w:hint="eastAsia" w:ascii="微软雅黑" w:hAnsi="微软雅黑" w:eastAsia="微软雅黑" w:cs="微软雅黑"/>
          <w:i w:val="0"/>
          <w:iCs w:val="0"/>
          <w:caps w:val="0"/>
          <w:color w:val="666666"/>
          <w:spacing w:val="0"/>
          <w:sz w:val="24"/>
          <w:szCs w:val="24"/>
          <w:u w:val="none"/>
          <w:bdr w:val="none" w:color="auto" w:sz="0" w:space="0"/>
          <w:shd w:val="clear" w:fill="FFFFFF"/>
        </w:rPr>
        <w:t>永州市企业投资项目管理负面清单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微软雅黑" w:hAnsi="微软雅黑" w:eastAsia="微软雅黑" w:cs="微软雅黑"/>
          <w:u w:val="none"/>
        </w:rPr>
      </w:pPr>
      <w:r>
        <w:rPr>
          <w:rFonts w:hint="eastAsia" w:ascii="微软雅黑" w:hAnsi="微软雅黑" w:eastAsia="微软雅黑" w:cs="微软雅黑"/>
          <w:i w:val="0"/>
          <w:iCs w:val="0"/>
          <w:caps w:val="0"/>
          <w:color w:val="666666"/>
          <w:spacing w:val="0"/>
          <w:sz w:val="24"/>
          <w:szCs w:val="24"/>
          <w:u w:val="none"/>
          <w:bdr w:val="none" w:color="auto" w:sz="0" w:space="0"/>
          <w:shd w:val="clear" w:fill="FFFFFF"/>
        </w:rPr>
        <w:t>（第一批）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eastAsia" w:ascii="微软雅黑" w:hAnsi="微软雅黑" w:eastAsia="微软雅黑" w:cs="微软雅黑"/>
          <w:u w:val="none"/>
        </w:rPr>
      </w:pPr>
      <w:r>
        <w:rPr>
          <w:rFonts w:hint="eastAsia" w:ascii="微软雅黑" w:hAnsi="微软雅黑" w:eastAsia="微软雅黑" w:cs="微软雅黑"/>
          <w:i w:val="0"/>
          <w:iCs w:val="0"/>
          <w:caps w:val="0"/>
          <w:color w:val="666666"/>
          <w:spacing w:val="0"/>
          <w:sz w:val="24"/>
          <w:szCs w:val="24"/>
          <w:u w:val="none"/>
          <w:bdr w:val="none" w:color="auto" w:sz="0" w:space="0"/>
          <w:shd w:val="clear" w:fill="FFFFFF"/>
        </w:rPr>
        <w:t>　　二、外商投资产业</w:t>
      </w:r>
    </w:p>
    <w:tbl>
      <w:tblPr>
        <w:tblW w:w="0" w:type="auto"/>
        <w:jc w:val="center"/>
        <w:tblCellSpacing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646"/>
        <w:gridCol w:w="1166"/>
        <w:gridCol w:w="6877"/>
        <w:gridCol w:w="3180"/>
        <w:gridCol w:w="2119"/>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blHeader/>
          <w:tblCellSpacing w:w="0" w:type="dxa"/>
          <w:jc w:val="center"/>
        </w:trPr>
        <w:tc>
          <w:tcPr>
            <w:tcW w:w="646"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序号</w:t>
            </w:r>
          </w:p>
        </w:tc>
        <w:tc>
          <w:tcPr>
            <w:tcW w:w="1166"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行业</w:t>
            </w:r>
          </w:p>
        </w:tc>
        <w:tc>
          <w:tcPr>
            <w:tcW w:w="6877"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项  目</w:t>
            </w:r>
          </w:p>
        </w:tc>
        <w:tc>
          <w:tcPr>
            <w:tcW w:w="3180"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主要文件依据</w:t>
            </w:r>
          </w:p>
        </w:tc>
        <w:tc>
          <w:tcPr>
            <w:tcW w:w="2119"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执行单位</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blCellSpacing w:w="0" w:type="dxa"/>
          <w:jc w:val="center"/>
        </w:trPr>
        <w:tc>
          <w:tcPr>
            <w:tcW w:w="13988" w:type="dxa"/>
            <w:gridSpan w:val="5"/>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　　（一）限制投资类（共15类项目）</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blCellSpacing w:w="0" w:type="dxa"/>
          <w:jc w:val="center"/>
        </w:trPr>
        <w:tc>
          <w:tcPr>
            <w:tcW w:w="646"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1</w:t>
            </w:r>
          </w:p>
        </w:tc>
        <w:tc>
          <w:tcPr>
            <w:tcW w:w="1166"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制造业</w:t>
            </w:r>
          </w:p>
        </w:tc>
        <w:tc>
          <w:tcPr>
            <w:tcW w:w="6877"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1</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烟草制品业：二醋酸纤维素及丝束加工（限于合资、合作）。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2</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烟草制品业：打叶复烤烟叶加工生产。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3</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造纸及纸制品业：主要利用境外木材资源的单条生产线年产30万吨及以上规模化学木浆和单条生产线年产10万吨及以上规模化学机械木浆以及同步建设的高档纸及纸板生产（限于合资、合作）。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4</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电气机械及器材制造业：额定功率350MW及以上大型抽水蓄能机组制造（限于合资、合作）：水泵水轮机及调速器、大型变速可逆式水泵水轮机组、发电电动机及励磁、启动装置等附属设备。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5</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农副食品加工业：豆油、菜籽油、花生油、棉籽油、茶籽油、葵花籽油、棕榈油等食用油脂加工（中方控股），大米、面粉加工，玉米深加工；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6</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农副食品加工业：生物液体燃料（燃料乙醇、生物柴油）生产（中方控股）。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7</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印刷业和记录媒介的复制：出版物印刷（中方控股）。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8</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医药制造业：血液制品的生产。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9</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有色金属冶炼及压延加工业：钨、钼、锡（锡化合物除外）、锑（含氧化锑和硫化锑）等稀有金属冶炼。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10) 有色金属冶炼及压延加工业：电解铝、铜、铅、锌等有色金属冶炼。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11) 有色金属冶炼及压延加工业：稀土冶炼、分离（限于合资、合作）。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12) 通用设备制造业: 各类普通级（P0）轴承及零件（钢球、保持架）、毛坯制造。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13) 通用设备制造业: 400吨以下轮式、履带式起重机械制造（限于合资、合作）。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14) 专用设备制造业:一般涤纶长丝、短纤维设备制造。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15) 专用设备制造业:320马力及以下推土机、30吨级及以下液压挖掘机、6吨级及以下轮式装载机、220马力及以下平地机、压路机、叉车、135吨级及以下电力传动非公路自卸翻斗车、60吨级及以下液力机械传动非公路自卸翻斗车、沥青混凝土搅拌与摊铺设备和高空作业机械、园林机械和机具、商品混凝土机械（托泵、搅拌车、搅拌站、泵车）制造。</w:t>
            </w:r>
          </w:p>
        </w:tc>
        <w:tc>
          <w:tcPr>
            <w:tcW w:w="3180"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　　《外商投资产业指导目录（2011年修订）》（国家发改委、商务部2011年第12号令）</w:t>
            </w:r>
          </w:p>
        </w:tc>
        <w:tc>
          <w:tcPr>
            <w:tcW w:w="2119"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　　市、县区人民政府（含金洞、回龙圩、永州经济技术开发区），市县有关单位</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blCellSpacing w:w="0" w:type="dxa"/>
          <w:jc w:val="center"/>
        </w:trPr>
        <w:tc>
          <w:tcPr>
            <w:tcW w:w="13988" w:type="dxa"/>
            <w:gridSpan w:val="5"/>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　　（二）禁止投资类（共16类项目）</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PrEx>
        <w:trPr>
          <w:tblCellSpacing w:w="0" w:type="dxa"/>
          <w:jc w:val="center"/>
        </w:trPr>
        <w:tc>
          <w:tcPr>
            <w:tcW w:w="646"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1</w:t>
            </w:r>
          </w:p>
        </w:tc>
        <w:tc>
          <w:tcPr>
            <w:tcW w:w="1166"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制造业</w:t>
            </w:r>
          </w:p>
        </w:tc>
        <w:tc>
          <w:tcPr>
            <w:tcW w:w="6877"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1</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饮料制造业：我国传统工艺的绿茶及特种茶加工（名茶、黑茶等）。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2</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医药制造业：列入《野生药材资源保护条例》和《中国珍稀、濒危保护植物名录》的中药材加工。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3</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医药制造业：中药饮片的蒸、炒、灸、煅等炮制技术的应用及中成药保密处方产品的生产。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4</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有色金属冶炼及压延加工业：放射性矿产的冶炼、加工。</w:t>
            </w: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5</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专用设备制造业：武器弹药制造。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6</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电气机械及器材制造业：开口式（即酸雾直接外排式）铅酸电池、含汞扣式氧化银电池、含汞扣式碱性锌锰电池、糊式锌锰电池、镉镍电池制造。</w:t>
            </w:r>
          </w:p>
        </w:tc>
        <w:tc>
          <w:tcPr>
            <w:tcW w:w="3180" w:type="dxa"/>
            <w:vMerge w:val="restart"/>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　　《外商投资产业指导目录（2011年修订）》（国家发改委、商务部2011年第12号令）</w:t>
            </w:r>
          </w:p>
        </w:tc>
        <w:tc>
          <w:tcPr>
            <w:tcW w:w="2119" w:type="dxa"/>
            <w:vMerge w:val="restart"/>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　　市、县区人民政府（含金洞、回龙圩、永州经济技术开发区），市县有关单位</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blCellSpacing w:w="0" w:type="dxa"/>
          <w:jc w:val="center"/>
        </w:trPr>
        <w:tc>
          <w:tcPr>
            <w:tcW w:w="646"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2</w:t>
            </w:r>
          </w:p>
        </w:tc>
        <w:tc>
          <w:tcPr>
            <w:tcW w:w="1166"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文化、体育和娱乐业</w:t>
            </w:r>
          </w:p>
        </w:tc>
        <w:tc>
          <w:tcPr>
            <w:tcW w:w="6877"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1</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新闻机构。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2</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图书、报纸、期刊的出版业务。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3</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音像制品和电子出版物的出版、制作业务。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4</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各级广播电台（站）、电视台（站）、广播电视频道（率）、广播电视传输覆盖网（发射台、转播台、广播电视卫星、卫星上行站、卫星收转站、微波站、监测台、有线广播电视传输覆盖网）。</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5</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广播电视节目制作经营公司。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6</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新闻网站、网络视听节目服务、互联网上网服务营业场所、互联网文化经营（音乐除外）。</w:t>
            </w:r>
          </w:p>
        </w:tc>
        <w:tc>
          <w:tcPr>
            <w:tcW w:w="3180" w:type="dxa"/>
            <w:vMerge w:val="continue"/>
            <w:shd w:val="clear"/>
            <w:vAlign w:val="center"/>
          </w:tcPr>
          <w:p>
            <w:pPr>
              <w:rPr>
                <w:rFonts w:hint="eastAsia" w:ascii="宋体"/>
                <w:sz w:val="24"/>
                <w:szCs w:val="24"/>
                <w:u w:val="none"/>
              </w:rPr>
            </w:pPr>
          </w:p>
        </w:tc>
        <w:tc>
          <w:tcPr>
            <w:tcW w:w="2119" w:type="dxa"/>
            <w:vMerge w:val="continue"/>
            <w:shd w:val="clear"/>
            <w:vAlign w:val="center"/>
          </w:tcPr>
          <w:p>
            <w:pPr>
              <w:rPr>
                <w:rFonts w:hint="eastAsia" w:ascii="宋体"/>
                <w:sz w:val="24"/>
                <w:szCs w:val="24"/>
                <w:u w:val="none"/>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blCellSpacing w:w="0" w:type="dxa"/>
          <w:jc w:val="center"/>
        </w:trPr>
        <w:tc>
          <w:tcPr>
            <w:tcW w:w="646"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3</w:t>
            </w:r>
          </w:p>
        </w:tc>
        <w:tc>
          <w:tcPr>
            <w:tcW w:w="1166"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水利、环境和公共设施管理业</w:t>
            </w:r>
          </w:p>
        </w:tc>
        <w:tc>
          <w:tcPr>
            <w:tcW w:w="6877"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1</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自然保护区和国际重要湿地的建设、经营。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2</w:t>
            </w: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国家保护的原产于我国的野生动、植物资源开发。</w:t>
            </w:r>
          </w:p>
        </w:tc>
        <w:tc>
          <w:tcPr>
            <w:tcW w:w="3180" w:type="dxa"/>
            <w:vMerge w:val="continue"/>
            <w:shd w:val="clear"/>
            <w:vAlign w:val="center"/>
          </w:tcPr>
          <w:p>
            <w:pPr>
              <w:rPr>
                <w:rFonts w:hint="eastAsia" w:ascii="宋体"/>
                <w:sz w:val="24"/>
                <w:szCs w:val="24"/>
                <w:u w:val="none"/>
              </w:rPr>
            </w:pPr>
          </w:p>
        </w:tc>
        <w:tc>
          <w:tcPr>
            <w:tcW w:w="2119" w:type="dxa"/>
            <w:vMerge w:val="continue"/>
            <w:shd w:val="clear"/>
            <w:vAlign w:val="center"/>
          </w:tcPr>
          <w:p>
            <w:pPr>
              <w:rPr>
                <w:rFonts w:hint="eastAsia" w:ascii="宋体"/>
                <w:sz w:val="24"/>
                <w:szCs w:val="24"/>
                <w:u w:val="none"/>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blCellSpacing w:w="0" w:type="dxa"/>
          <w:jc w:val="center"/>
        </w:trPr>
        <w:tc>
          <w:tcPr>
            <w:tcW w:w="646"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4</w:t>
            </w:r>
          </w:p>
        </w:tc>
        <w:tc>
          <w:tcPr>
            <w:tcW w:w="1166"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采矿业</w:t>
            </w:r>
          </w:p>
        </w:tc>
        <w:tc>
          <w:tcPr>
            <w:tcW w:w="6877"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1) 稀土勘查、开采、选矿。</w:t>
            </w:r>
          </w:p>
        </w:tc>
        <w:tc>
          <w:tcPr>
            <w:tcW w:w="3180" w:type="dxa"/>
            <w:vMerge w:val="continue"/>
            <w:shd w:val="clear"/>
            <w:vAlign w:val="center"/>
          </w:tcPr>
          <w:p>
            <w:pPr>
              <w:rPr>
                <w:rFonts w:hint="eastAsia" w:ascii="宋体"/>
                <w:sz w:val="24"/>
                <w:szCs w:val="24"/>
                <w:u w:val="none"/>
              </w:rPr>
            </w:pPr>
          </w:p>
        </w:tc>
        <w:tc>
          <w:tcPr>
            <w:tcW w:w="2119" w:type="dxa"/>
            <w:vMerge w:val="continue"/>
            <w:shd w:val="clear"/>
            <w:vAlign w:val="center"/>
          </w:tcPr>
          <w:p>
            <w:pPr>
              <w:rPr>
                <w:rFonts w:hint="eastAsia" w:ascii="宋体"/>
                <w:sz w:val="24"/>
                <w:szCs w:val="24"/>
                <w:u w:val="none"/>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blCellSpacing w:w="0" w:type="dxa"/>
          <w:jc w:val="center"/>
        </w:trPr>
        <w:tc>
          <w:tcPr>
            <w:tcW w:w="646"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5</w:t>
            </w:r>
          </w:p>
        </w:tc>
        <w:tc>
          <w:tcPr>
            <w:tcW w:w="1166"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教育</w:t>
            </w:r>
          </w:p>
        </w:tc>
        <w:tc>
          <w:tcPr>
            <w:tcW w:w="6877"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lang w:eastAsia="zh-CN"/>
              </w:rPr>
              <w:t>(</w:t>
            </w:r>
            <w:r>
              <w:rPr>
                <w:rFonts w:hint="eastAsia" w:ascii="微软雅黑" w:hAnsi="微软雅黑" w:eastAsia="微软雅黑" w:cs="微软雅黑"/>
                <w:u w:val="none"/>
                <w:bdr w:val="none" w:color="auto" w:sz="0" w:space="0"/>
              </w:rPr>
              <w:t>1) 义务教育机构，军事、警察、政治和党校等特殊领域教育机构。</w:t>
            </w:r>
          </w:p>
        </w:tc>
        <w:tc>
          <w:tcPr>
            <w:tcW w:w="3180"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　　《中华人民共和国民办教育促进法实施条例》（中华人民共和国国务院令第399号）、《外商投资产业指导目录（2011年修订）》（国家发改委、商务部2011年第12号令）</w:t>
            </w:r>
          </w:p>
        </w:tc>
        <w:tc>
          <w:tcPr>
            <w:tcW w:w="2119" w:type="dxa"/>
            <w:shd w:val="cle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微软雅黑" w:hAnsi="微软雅黑" w:eastAsia="微软雅黑" w:cs="微软雅黑"/>
                <w:u w:val="none"/>
              </w:rPr>
            </w:pPr>
            <w:r>
              <w:rPr>
                <w:rFonts w:hint="eastAsia" w:ascii="微软雅黑" w:hAnsi="微软雅黑" w:eastAsia="微软雅黑" w:cs="微软雅黑"/>
                <w:u w:val="none"/>
                <w:bdr w:val="none" w:color="auto" w:sz="0" w:space="0"/>
              </w:rPr>
              <w:t>　　市、县区人民政府（含金洞、回龙圩、永州经济技术开发区），市县有关单位</w:t>
            </w: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F426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18</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Administrator.2016-20170517BZ</dc:creator>
  <cp:lastModifiedBy>唐承伯</cp:lastModifiedBy>
  <dcterms:modified xsi:type="dcterms:W3CDTF">2022-03-03T08:39:32Z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92D3A5ABA225453BBDD2D2A2BF7452E5</vt:lpwstr>
  </property>
</Properties>
</file>