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A915BB">
      <w:pPr>
        <w:jc w:val="center"/>
        <w:rPr>
          <w:rFonts w:hint="eastAsia" w:ascii="黑体" w:hAnsi="黑体"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>专家论证意见汇总表</w:t>
      </w:r>
      <w:bookmarkStart w:id="0" w:name="_GoBack"/>
      <w:bookmarkEnd w:id="0"/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1418"/>
        <w:gridCol w:w="2126"/>
        <w:gridCol w:w="4927"/>
      </w:tblGrid>
      <w:tr w14:paraId="5AF0F2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817" w:type="dxa"/>
            <w:vAlign w:val="center"/>
          </w:tcPr>
          <w:p w14:paraId="4C0CAB8C">
            <w:pPr>
              <w:spacing w:before="0" w:after="0" w:line="240" w:lineRule="auto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ascii="仿宋" w:hAnsi="仿宋" w:eastAsia="仿宋"/>
                <w:b/>
                <w:sz w:val="24"/>
                <w:szCs w:val="24"/>
              </w:rPr>
              <w:t>序号</w:t>
            </w:r>
          </w:p>
        </w:tc>
        <w:tc>
          <w:tcPr>
            <w:tcW w:w="1418" w:type="dxa"/>
            <w:vAlign w:val="center"/>
          </w:tcPr>
          <w:p w14:paraId="4CF0C9D3">
            <w:pPr>
              <w:spacing w:before="0" w:after="0" w:line="240" w:lineRule="auto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ascii="仿宋" w:hAnsi="仿宋" w:eastAsia="仿宋"/>
                <w:b/>
                <w:sz w:val="24"/>
                <w:szCs w:val="24"/>
              </w:rPr>
              <w:t>专家/单位</w:t>
            </w:r>
          </w:p>
        </w:tc>
        <w:tc>
          <w:tcPr>
            <w:tcW w:w="2126" w:type="dxa"/>
            <w:vAlign w:val="center"/>
          </w:tcPr>
          <w:p w14:paraId="3D580736">
            <w:pPr>
              <w:spacing w:before="0" w:after="0" w:line="240" w:lineRule="auto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ascii="仿宋" w:hAnsi="仿宋" w:eastAsia="仿宋"/>
                <w:b/>
                <w:sz w:val="24"/>
                <w:szCs w:val="24"/>
              </w:rPr>
              <w:t>专业领域/身份</w:t>
            </w:r>
          </w:p>
        </w:tc>
        <w:tc>
          <w:tcPr>
            <w:tcW w:w="4927" w:type="dxa"/>
            <w:vAlign w:val="center"/>
          </w:tcPr>
          <w:p w14:paraId="33BB1DB5">
            <w:pPr>
              <w:spacing w:before="0" w:after="0" w:line="240" w:lineRule="auto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ascii="仿宋" w:hAnsi="仿宋" w:eastAsia="仿宋"/>
                <w:b/>
                <w:sz w:val="24"/>
                <w:szCs w:val="24"/>
              </w:rPr>
              <w:t>论证意见及建议</w:t>
            </w:r>
          </w:p>
        </w:tc>
      </w:tr>
      <w:tr w14:paraId="4FBE9A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 w14:paraId="7A982723">
            <w:pPr>
              <w:spacing w:before="0" w:after="0" w:line="24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14:paraId="15E9AA9C">
            <w:pPr>
              <w:spacing w:before="0" w:after="0" w:line="24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易达</w:t>
            </w:r>
          </w:p>
        </w:tc>
        <w:tc>
          <w:tcPr>
            <w:tcW w:w="2126" w:type="dxa"/>
            <w:vAlign w:val="center"/>
          </w:tcPr>
          <w:p w14:paraId="0CDA70C0">
            <w:pPr>
              <w:spacing w:before="0" w:after="0" w:line="24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行政法律专家</w:t>
            </w:r>
          </w:p>
        </w:tc>
        <w:tc>
          <w:tcPr>
            <w:tcW w:w="4927" w:type="dxa"/>
            <w:vAlign w:val="center"/>
          </w:tcPr>
          <w:p w14:paraId="604692D1">
            <w:pPr>
              <w:spacing w:before="0" w:after="0" w:line="240" w:lineRule="auto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1.补充上位法依据，将房票界定为货币补偿的电子化、凭证化形式，完善国有土地、集体土地征收适用法律支撑；2.优化拆票提现规则，调低可提现比例并增设限制条件，防范变相货币补偿风险；3.明确资金来源、拨付路径与应急保障机制；4.严控政府隐性债务风险，实行项目资金足额监管、房票发行总额上限管控；5.保障被征收人自主选择权，合理优化房票使用比例。</w:t>
            </w:r>
          </w:p>
        </w:tc>
      </w:tr>
      <w:tr w14:paraId="36A3CD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 w14:paraId="2BCC1110">
            <w:pPr>
              <w:spacing w:before="0" w:after="0" w:line="24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14:paraId="598235AA">
            <w:pPr>
              <w:spacing w:before="0" w:after="0" w:line="24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王家声</w:t>
            </w:r>
          </w:p>
        </w:tc>
        <w:tc>
          <w:tcPr>
            <w:tcW w:w="2126" w:type="dxa"/>
            <w:vAlign w:val="center"/>
          </w:tcPr>
          <w:p w14:paraId="7E564E22">
            <w:pPr>
              <w:spacing w:before="0" w:after="0" w:line="24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房屋征收与房地产管理专家</w:t>
            </w:r>
          </w:p>
        </w:tc>
        <w:tc>
          <w:tcPr>
            <w:tcW w:w="4927" w:type="dxa"/>
            <w:vAlign w:val="center"/>
          </w:tcPr>
          <w:p w14:paraId="6D54F490">
            <w:pPr>
              <w:spacing w:before="0" w:after="0" w:line="240" w:lineRule="auto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1.在《办法》开篇补充政策制定依据；2.优化自然资源和规划部门职责表述，规范补偿审核与登记衔接工作；3.明确冷水滩区、零陵区人民政府对国有、集体土地房屋征收协议金额的核实职责。</w:t>
            </w:r>
          </w:p>
        </w:tc>
      </w:tr>
      <w:tr w14:paraId="62F752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 w14:paraId="7FF18D87">
            <w:pPr>
              <w:spacing w:before="0" w:after="0" w:line="24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14:paraId="76038253">
            <w:pPr>
              <w:spacing w:before="0" w:after="0" w:line="24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周新宇</w:t>
            </w:r>
          </w:p>
        </w:tc>
        <w:tc>
          <w:tcPr>
            <w:tcW w:w="2126" w:type="dxa"/>
            <w:vAlign w:val="center"/>
          </w:tcPr>
          <w:p w14:paraId="0D0895CB">
            <w:pPr>
              <w:spacing w:before="0" w:after="0" w:line="24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房屋征收与房地产管理专家</w:t>
            </w:r>
          </w:p>
        </w:tc>
        <w:tc>
          <w:tcPr>
            <w:tcW w:w="4927" w:type="dxa"/>
            <w:vAlign w:val="center"/>
          </w:tcPr>
          <w:p w14:paraId="3F954EF9">
            <w:pPr>
              <w:spacing w:before="0" w:after="0" w:line="240" w:lineRule="auto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总体认可《办法》可行性，认为推行房票安置能够有效拓宽征拆安置渠道、破解历史遗留问题、满足群众多样化安置需求。</w:t>
            </w:r>
          </w:p>
        </w:tc>
      </w:tr>
      <w:tr w14:paraId="09BE97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 w14:paraId="39A249CB">
            <w:pPr>
              <w:spacing w:before="0" w:after="0" w:line="24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14:paraId="70B35BD4">
            <w:pPr>
              <w:spacing w:before="0" w:after="0" w:line="24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曾剑波</w:t>
            </w:r>
          </w:p>
        </w:tc>
        <w:tc>
          <w:tcPr>
            <w:tcW w:w="2126" w:type="dxa"/>
            <w:vAlign w:val="center"/>
          </w:tcPr>
          <w:p w14:paraId="501CD154">
            <w:pPr>
              <w:spacing w:before="0" w:after="0" w:line="24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财政金融专家</w:t>
            </w:r>
          </w:p>
        </w:tc>
        <w:tc>
          <w:tcPr>
            <w:tcW w:w="4927" w:type="dxa"/>
            <w:vAlign w:val="center"/>
          </w:tcPr>
          <w:p w14:paraId="6B0B346B">
            <w:pPr>
              <w:spacing w:before="0" w:after="0" w:line="240" w:lineRule="auto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1.对房票部分契税全额补贴的合法合规性作进一步论证；2.明确项目实施前必须论证资金来源，不得新增财政负担、严禁新增政府隐性债务，并纳入《办法》条款。</w:t>
            </w:r>
          </w:p>
        </w:tc>
      </w:tr>
      <w:tr w14:paraId="37C5E8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 w14:paraId="0B1BE563">
            <w:pPr>
              <w:spacing w:before="0" w:after="0" w:line="24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14:paraId="1A5AA931">
            <w:pPr>
              <w:spacing w:before="0" w:after="0" w:line="24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姜宁涛</w:t>
            </w:r>
          </w:p>
        </w:tc>
        <w:tc>
          <w:tcPr>
            <w:tcW w:w="2126" w:type="dxa"/>
            <w:vAlign w:val="center"/>
          </w:tcPr>
          <w:p w14:paraId="0F6B0A05">
            <w:pPr>
              <w:spacing w:before="0" w:after="0" w:line="24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市税务局</w:t>
            </w:r>
          </w:p>
        </w:tc>
        <w:tc>
          <w:tcPr>
            <w:tcW w:w="4927" w:type="dxa"/>
            <w:vAlign w:val="center"/>
          </w:tcPr>
          <w:p w14:paraId="6E624C35">
            <w:pPr>
              <w:spacing w:before="0" w:after="0" w:line="240" w:lineRule="auto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1.删除税务部门职责中“补贴”表述，与法定职能保持一致；2.将契税优惠政策规范为房票购房专项补贴，避免违规“先征后返”。</w:t>
            </w:r>
          </w:p>
        </w:tc>
      </w:tr>
      <w:tr w14:paraId="016C86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 w14:paraId="1795C32C">
            <w:pPr>
              <w:spacing w:before="0" w:after="0" w:line="24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14:paraId="1A3FA5C7">
            <w:pPr>
              <w:spacing w:before="0" w:after="0" w:line="24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赵小玉</w:t>
            </w:r>
          </w:p>
        </w:tc>
        <w:tc>
          <w:tcPr>
            <w:tcW w:w="2126" w:type="dxa"/>
            <w:vAlign w:val="center"/>
          </w:tcPr>
          <w:p w14:paraId="292DF2CF">
            <w:pPr>
              <w:spacing w:before="0" w:after="0" w:line="24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市住房公积金管理中心</w:t>
            </w:r>
          </w:p>
        </w:tc>
        <w:tc>
          <w:tcPr>
            <w:tcW w:w="4927" w:type="dxa"/>
            <w:vAlign w:val="center"/>
          </w:tcPr>
          <w:p w14:paraId="0C8EF473">
            <w:pPr>
              <w:spacing w:before="0" w:after="0" w:line="240" w:lineRule="auto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1.完善公积金部门职责，增加购房提取业务内容；2.删除原贷款相关条款，按实际购房价格核定公积金提取与贷款，保障房票受让人权益。</w:t>
            </w:r>
          </w:p>
        </w:tc>
      </w:tr>
      <w:tr w14:paraId="039760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 w14:paraId="4CF177EB">
            <w:pPr>
              <w:spacing w:before="0" w:after="0" w:line="240" w:lineRule="auto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7</w:t>
            </w:r>
          </w:p>
        </w:tc>
        <w:tc>
          <w:tcPr>
            <w:tcW w:w="1418" w:type="dxa"/>
            <w:vAlign w:val="center"/>
          </w:tcPr>
          <w:p w14:paraId="5D0D1815">
            <w:pPr>
              <w:spacing w:before="0" w:after="0" w:line="24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肖冰</w:t>
            </w:r>
          </w:p>
        </w:tc>
        <w:tc>
          <w:tcPr>
            <w:tcW w:w="2126" w:type="dxa"/>
            <w:vAlign w:val="center"/>
          </w:tcPr>
          <w:p w14:paraId="317615E9">
            <w:pPr>
              <w:spacing w:before="0" w:after="0" w:line="24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市自然资源和规划局</w:t>
            </w:r>
          </w:p>
        </w:tc>
        <w:tc>
          <w:tcPr>
            <w:tcW w:w="4927" w:type="dxa"/>
            <w:vAlign w:val="center"/>
          </w:tcPr>
          <w:p w14:paraId="7BBAE3B9">
            <w:pPr>
              <w:spacing w:before="0" w:after="0" w:line="240" w:lineRule="auto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1.补充上位法及政策依据，提升文件合法性；2.同步制定配套实施细则，增设关键环节流程指引，增强政策可操作性。</w:t>
            </w:r>
          </w:p>
        </w:tc>
      </w:tr>
    </w:tbl>
    <w:p w14:paraId="4B354448"/>
    <w:p w14:paraId="159FE453">
      <w:pPr>
        <w:spacing w:before="0" w:after="0" w:line="560" w:lineRule="exact"/>
        <w:ind w:firstLine="640" w:firstLineChars="200"/>
        <w:jc w:val="right"/>
        <w:rPr>
          <w:rFonts w:ascii="仿宋" w:hAnsi="仿宋" w:eastAsia="仿宋"/>
          <w:sz w:val="32"/>
          <w:szCs w:val="32"/>
        </w:rPr>
      </w:pPr>
    </w:p>
    <w:sectPr>
      <w:pgSz w:w="11906" w:h="16838"/>
      <w:pgMar w:top="1361" w:right="1417" w:bottom="1361" w:left="1417" w:header="712" w:footer="853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inorHAnsi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12" w:lineRule="auto"/>
      </w:pPr>
      <w:r>
        <w:separator/>
      </w:r>
    </w:p>
  </w:footnote>
  <w:footnote w:type="continuationSeparator" w:id="1">
    <w:p>
      <w:pPr>
        <w:spacing w:before="0" w:after="0" w:line="312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I1ZGM2ZTQ2NjU0MGRiNzkzYTYyMmJlYWQ2MmMyYmEifQ=="/>
  </w:docVars>
  <w:rsids>
    <w:rsidRoot w:val="00981641"/>
    <w:rsid w:val="005C034C"/>
    <w:rsid w:val="00981641"/>
    <w:rsid w:val="27486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minorHAnsi" w:hAnsi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9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snapToGrid w:val="0"/>
      <w:spacing w:before="60" w:after="60" w:line="312" w:lineRule="auto"/>
    </w:pPr>
    <w:rPr>
      <w:rFonts w:ascii="minorHAnsi" w:hAnsi="minorHAnsi" w:eastAsiaTheme="minorEastAsia" w:cstheme="minorBidi"/>
      <w:color w:val="333333"/>
      <w:kern w:val="2"/>
      <w:sz w:val="22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9"/>
    <w:pPr>
      <w:keepNext/>
      <w:keepLines/>
      <w:spacing w:before="0" w:after="0" w:line="408" w:lineRule="auto"/>
      <w:jc w:val="center"/>
      <w:outlineLvl w:val="0"/>
    </w:pPr>
    <w:rPr>
      <w:b/>
      <w:bCs/>
      <w:color w:val="1A1A1A"/>
      <w:sz w:val="48"/>
      <w:szCs w:val="48"/>
    </w:rPr>
  </w:style>
  <w:style w:type="table" w:styleId="4">
    <w:name w:val="Table Grid"/>
    <w:basedOn w:val="3"/>
    <w:uiPriority w:val="59"/>
    <w:pPr>
      <w:spacing w:before="0"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918</Words>
  <Characters>942</Characters>
  <Lines>7</Lines>
  <Paragraphs>1</Paragraphs>
  <TotalTime>7</TotalTime>
  <ScaleCrop>false</ScaleCrop>
  <LinksUpToDate>false</LinksUpToDate>
  <CharactersWithSpaces>942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2026-04-19T14:08:00Z</dcterms:created>
  <dc:creator>Administrator</dc:creator>
  <cp:lastModifiedBy>半歌</cp:lastModifiedBy>
  <dcterms:modified xsi:type="dcterms:W3CDTF">2026-04-21T03:37:59Z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7DDE104A9D264637B23C11BF846FCA32_13</vt:lpwstr>
  </property>
</Properties>
</file>