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《关于护航企业发展，持续优化法治化营商环境的若干措施》政策解读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一.起草背景及依据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为全面落实“三高四新”战略，定位司法使命任务，充分发挥人民法院审判职能，服务保障市委“三区两城”“一核两轴三圈”战略目标，持续优化全市营商环境，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  <w:lang w:eastAsia="zh-CN"/>
        </w:rPr>
        <w:t>市中级人民法院</w:t>
      </w:r>
      <w:r>
        <w:rPr>
          <w:rFonts w:hint="eastAsia" w:ascii="仿宋_GB2312" w:hAnsi="仿宋" w:eastAsia="仿宋_GB2312" w:cs="仿宋"/>
          <w:color w:val="000000"/>
          <w:kern w:val="0"/>
          <w:sz w:val="32"/>
          <w:szCs w:val="32"/>
        </w:rPr>
        <w:t>结合法院工作实际，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起草了《关于护航企业发展，持续优化法治化营商环境的若干措施》。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二.文件主要内容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永州市中级人民法院出台《关于护航企业发展，持续优化法治化营商环境的若干措施》（以下简称《措施》），提出13项具体举措具体包括：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1.深化一站式诉讼服务建设。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2.多元化解涉企纠纷。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3加强市场主体统一平等保护。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4.贯彻善意文明司法理念。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5.完善涉企案件经济影响评估制度。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6.提升案件审判效率。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7.搭建金融案件高效解纷平台。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8.提高破产财产清偿率。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9.坚持保护劳动者合法权益和维护企业生产发展并重。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10.主动开展精准司法服务。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11.开展妨害民事诉讼专项整治行动。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12.依法兑现市场主体胜诉权益。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13.加大营商环境司法保障工作宣传力度。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三、重大意义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市两级法院将进一步扛牢优化营商环境的政治责任、法治责任，以更高的站位，更实的举措，更大的作为，为全面落实“三高四新”战略定位和使命任务，服务保障永州“三区两城”“一核两轴三圈”战略目标，打造一流营商环境、实现永州经济高质量发展提供坚实有力的司法服务和保障。</w:t>
      </w: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2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ans-serif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FF070A"/>
    <w:rsid w:val="49FF070A"/>
    <w:rsid w:val="FECFE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Office_11.8.2.10251_F1E327BC-269C-435d-A152-05C5408002CA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2022-11-11T02:18:00Z</dcterms:created>
  <dc:creator>-堂吉柯德°</dc:creator>
  <cp:lastModifiedBy>-堂吉柯德°</cp:lastModifiedBy>
  <dcterms:modified xsi:type="dcterms:W3CDTF">2022-11-10T18:52:21Z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2052-11.8.2.10251</vt:lpwstr>
  </property>
</Properties>
</file>