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keepNext w:val="0"/>
        <w:keepLines w:val="0"/>
        <w:wordWrap w:val="0"/>
        <w:topLinePunct w:val="0"/>
        <w:autoSpaceDE/>
        <w:autoSpaceDN/>
        <w:adjustRightInd/>
        <w:spacing w:before="489" w:beforeLines="150" w:after="489" w:afterLines="150"/>
        <w:ind w:firstLine="0" w:firstLineChars="0"/>
        <w:rPr>
          <w:bCs/>
          <w:color w:val="000000" w:themeColor="text1"/>
        </w:rPr>
      </w:pPr>
      <w:bookmarkStart w:id="0" w:name="_Hlk13041150"/>
      <w:bookmarkStart w:id="1" w:name="_Toc459388207"/>
      <w:bookmarkStart w:id="2" w:name="_Toc30572"/>
      <w:bookmarkStart w:id="3" w:name="_Toc21852"/>
      <w:bookmarkStart w:id="4" w:name="_Toc459387027"/>
      <w:bookmarkStart w:id="5" w:name="_Toc459987188"/>
      <w:bookmarkStart w:id="6" w:name="_Toc18096109"/>
      <w:bookmarkStart w:id="7" w:name="_Hlk13121820"/>
      <w:r>
        <w:rPr>
          <w:rFonts w:hint="eastAsia"/>
          <w:bCs/>
          <w:color w:val="000000" w:themeColor="text1"/>
        </w:rPr>
        <w:t>3　</w:t>
      </w:r>
      <w:bookmarkEnd w:id="0"/>
      <w:r>
        <w:rPr>
          <w:rFonts w:hint="eastAsia"/>
          <w:bCs/>
          <w:color w:val="000000" w:themeColor="text1"/>
        </w:rPr>
        <w:t>　申报纳税规范</w:t>
      </w:r>
      <w:bookmarkEnd w:id="1"/>
      <w:bookmarkEnd w:id="2"/>
      <w:bookmarkEnd w:id="3"/>
      <w:bookmarkEnd w:id="4"/>
      <w:bookmarkEnd w:id="5"/>
      <w:bookmarkEnd w:id="6"/>
    </w:p>
    <w:p>
      <w:pPr>
        <w:wordWrap w:val="0"/>
        <w:spacing w:line="360" w:lineRule="auto"/>
        <w:ind w:firstLine="480"/>
        <w:rPr>
          <w:rFonts w:hint="default" w:ascii="楷体" w:hAnsi="楷体" w:eastAsia="楷体" w:cs="楷体"/>
          <w:color w:val="000000" w:themeColor="text1"/>
        </w:rPr>
      </w:pPr>
      <w:r>
        <w:rPr>
          <w:rFonts w:ascii="楷体" w:hAnsi="楷体" w:eastAsia="楷体" w:cs="楷体"/>
          <w:color w:val="000000" w:themeColor="text1"/>
        </w:rPr>
        <w:t>申报纳税规范是指税务机关和税务人员依照税收法律法规及相关规定，受理纳税人、扣缴义务人、委托代征人申报、缴纳、解缴、退还税费等业务的服务规范，包括</w:t>
      </w:r>
      <w:r>
        <w:rPr>
          <w:rFonts w:eastAsia="楷体" w:cs="Times New Roman"/>
          <w:color w:val="000000" w:themeColor="text1"/>
        </w:rPr>
        <w:t>26</w:t>
      </w:r>
      <w:r>
        <w:rPr>
          <w:rFonts w:ascii="楷体" w:hAnsi="楷体" w:eastAsia="楷体" w:cs="楷体"/>
          <w:color w:val="000000" w:themeColor="text1"/>
        </w:rPr>
        <w:t>类</w:t>
      </w:r>
      <w:r>
        <w:rPr>
          <w:rFonts w:eastAsia="楷体" w:cs="Times New Roman"/>
          <w:color w:val="000000" w:themeColor="text1"/>
        </w:rPr>
        <w:t>61</w:t>
      </w:r>
      <w:r>
        <w:rPr>
          <w:rFonts w:ascii="楷体" w:hAnsi="楷体" w:eastAsia="楷体" w:cs="楷体"/>
          <w:color w:val="000000" w:themeColor="text1"/>
        </w:rPr>
        <w:t>个事项。</w:t>
      </w:r>
    </w:p>
    <w:p>
      <w:pPr>
        <w:wordWrap w:val="0"/>
        <w:spacing w:line="360" w:lineRule="auto"/>
        <w:ind w:firstLine="480"/>
        <w:rPr>
          <w:rFonts w:hint="default" w:ascii="楷体" w:hAnsi="楷体" w:eastAsia="楷体" w:cs="楷体"/>
          <w:color w:val="000000" w:themeColor="text1"/>
        </w:rPr>
      </w:pPr>
      <w:r>
        <w:rPr>
          <w:rFonts w:ascii="楷体" w:hAnsi="楷体" w:eastAsia="楷体" w:cs="楷体"/>
          <w:color w:val="000000" w:themeColor="text1"/>
        </w:rPr>
        <w:t>享受税收优惠的纳税人无论当期是否产生应纳税额，均应按期、如实向税务机关报告其税收优惠享受情况，税务人员应按减免税管理规定，将纳税人申报信息如实完整录入征管信息系统。</w:t>
      </w:r>
    </w:p>
    <w:bookmarkEnd w:id="7"/>
    <w:p>
      <w:pPr>
        <w:pStyle w:val="29"/>
        <w:wordWrap w:val="0"/>
        <w:spacing w:before="978" w:after="489"/>
        <w:rPr>
          <w:color w:val="000000" w:themeColor="text1"/>
        </w:rPr>
      </w:pPr>
      <w:bookmarkStart w:id="8" w:name="_Toc459387028"/>
      <w:bookmarkStart w:id="9" w:name="_Toc3356"/>
      <w:bookmarkStart w:id="10" w:name="_Toc459388208"/>
      <w:bookmarkStart w:id="11" w:name="_Toc18096110"/>
      <w:bookmarkStart w:id="12" w:name="_Toc459987189"/>
      <w:bookmarkStart w:id="13" w:name="_Toc19929"/>
      <w:bookmarkStart w:id="14" w:name="_Toc18822"/>
      <w:bookmarkStart w:id="15" w:name="_Toc10986"/>
      <w:r>
        <w:rPr>
          <w:rFonts w:hint="eastAsia"/>
          <w:color w:val="000000" w:themeColor="text1"/>
        </w:rPr>
        <w:t>3.1　　增值税申报</w:t>
      </w:r>
      <w:bookmarkEnd w:id="8"/>
      <w:bookmarkEnd w:id="9"/>
      <w:bookmarkEnd w:id="10"/>
      <w:bookmarkEnd w:id="11"/>
      <w:bookmarkEnd w:id="12"/>
      <w:bookmarkEnd w:id="13"/>
    </w:p>
    <w:p>
      <w:pPr>
        <w:pStyle w:val="30"/>
        <w:wordWrap w:val="0"/>
        <w:topLinePunct w:val="0"/>
        <w:spacing w:before="326" w:after="326"/>
        <w:rPr>
          <w:color w:val="000000" w:themeColor="text1"/>
        </w:rPr>
      </w:pPr>
      <w:bookmarkStart w:id="16" w:name="_Toc6830"/>
      <w:bookmarkStart w:id="17" w:name="_Toc28245"/>
      <w:bookmarkStart w:id="18" w:name="_Toc18096111"/>
      <w:bookmarkStart w:id="19" w:name="_Hlk16023251"/>
      <w:r>
        <w:rPr>
          <w:rFonts w:hint="eastAsia"/>
          <w:color w:val="000000" w:themeColor="text1"/>
        </w:rPr>
        <w:t>3.1.1—06</w:t>
      </w:r>
      <w:r>
        <w:rPr>
          <w:color w:val="000000" w:themeColor="text1"/>
        </w:rPr>
        <w:t>5</w:t>
      </w:r>
      <w:r>
        <w:rPr>
          <w:rFonts w:hint="eastAsia"/>
          <w:color w:val="000000" w:themeColor="text1"/>
        </w:rPr>
        <w:t>　</w:t>
      </w:r>
      <w:r>
        <w:rPr>
          <w:color w:val="000000" w:themeColor="text1"/>
        </w:rPr>
        <w:t>　</w:t>
      </w:r>
      <w:r>
        <w:rPr>
          <w:rFonts w:hint="eastAsia"/>
          <w:color w:val="000000" w:themeColor="text1"/>
        </w:rPr>
        <w:t>增值税一般纳税人申报</w:t>
      </w:r>
      <w:bookmarkEnd w:id="16"/>
      <w:bookmarkEnd w:id="17"/>
      <w:bookmarkEnd w:id="18"/>
    </w:p>
    <w:p>
      <w:pPr>
        <w:pStyle w:val="31"/>
        <w:wordWrap w:val="0"/>
        <w:adjustRightInd/>
        <w:snapToGrid/>
        <w:rPr>
          <w:color w:val="000000" w:themeColor="text1"/>
        </w:rPr>
      </w:pPr>
      <w:bookmarkStart w:id="20" w:name="_Hlk12517724"/>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增值税一般纳税人申报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增值税一般纳税人应依照税收法律、法规、规章及其他有关规定，在规定的纳税期限内填报《增值税纳税申报表（一般纳税人适用）》、附列资料及其他相关资料，向税务机关进行纳税申报。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bookmarkEnd w:id="20"/>
    <w:p>
      <w:pPr>
        <w:pStyle w:val="31"/>
        <w:wordWrap w:val="0"/>
        <w:adjustRightInd/>
        <w:snapToGrid/>
        <w:rPr>
          <w:color w:val="000000" w:themeColor="text1"/>
        </w:rPr>
      </w:pPr>
      <w:bookmarkStart w:id="21" w:name="_Hlk507771424"/>
      <w:r>
        <w:rPr>
          <w:rFonts w:hint="eastAsia"/>
          <w:color w:val="000000" w:themeColor="text1"/>
        </w:rPr>
        <w:t>【办理材料】</w:t>
      </w:r>
      <w:bookmarkEnd w:id="21"/>
      <w:bookmarkStart w:id="22" w:name="_Hlk507772566"/>
    </w:p>
    <w:tbl>
      <w:tblPr>
        <w:tblStyle w:val="18"/>
        <w:tblW w:w="8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16"/>
        <w:gridCol w:w="640"/>
        <w:gridCol w:w="3150"/>
        <w:gridCol w:w="720"/>
        <w:gridCol w:w="1258"/>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adjustRightInd/>
              <w:snapToGrid/>
              <w:spacing w:line="240" w:lineRule="auto"/>
              <w:rPr>
                <w:color w:val="000000" w:themeColor="text1"/>
              </w:rPr>
            </w:pPr>
            <w:r>
              <w:rPr>
                <w:rFonts w:hint="eastAsia"/>
                <w:color w:val="000000" w:themeColor="text1"/>
              </w:rPr>
              <w:t>序号</w:t>
            </w:r>
          </w:p>
        </w:tc>
        <w:tc>
          <w:tcPr>
            <w:tcW w:w="5506"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72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125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bookmarkStart w:id="23" w:name="_Hlk508143936"/>
            <w:r>
              <w:rPr>
                <w:rFonts w:hint="eastAsia" w:ascii="Times New Roman" w:hAnsi="Times New Roman"/>
                <w:color w:val="000000" w:themeColor="text1"/>
              </w:rPr>
              <w:t>1</w:t>
            </w:r>
          </w:p>
        </w:tc>
        <w:tc>
          <w:tcPr>
            <w:tcW w:w="5506" w:type="dxa"/>
            <w:gridSpan w:val="3"/>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《增值税纳税申报表（一般纳税人适用）》及其附列资料</w:t>
            </w:r>
          </w:p>
        </w:tc>
        <w:tc>
          <w:tcPr>
            <w:tcW w:w="72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125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bookmarkEnd w:id="2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8164" w:type="dxa"/>
            <w:gridSpan w:val="6"/>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tcBorders>
              <w:left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适用情形</w:t>
            </w:r>
          </w:p>
        </w:tc>
        <w:tc>
          <w:tcPr>
            <w:tcW w:w="3790" w:type="dxa"/>
            <w:gridSpan w:val="2"/>
            <w:tcBorders>
              <w:left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72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125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1628"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2015</w:t>
            </w:r>
            <w:r>
              <w:rPr>
                <w:color w:val="000000" w:themeColor="text1"/>
              </w:rPr>
              <w:t>年</w:t>
            </w:r>
            <w:r>
              <w:rPr>
                <w:rFonts w:hint="eastAsia" w:ascii="Times New Roman" w:hAnsi="Times New Roman"/>
                <w:color w:val="000000" w:themeColor="text1"/>
              </w:rPr>
              <w:t>4</w:t>
            </w:r>
            <w:r>
              <w:rPr>
                <w:color w:val="000000" w:themeColor="text1"/>
              </w:rPr>
              <w:t>月</w:t>
            </w:r>
            <w:r>
              <w:rPr>
                <w:rFonts w:hint="eastAsia" w:ascii="Times New Roman" w:hAnsi="Times New Roman"/>
                <w:color w:val="000000" w:themeColor="text1"/>
              </w:rPr>
              <w:t>1</w:t>
            </w:r>
            <w:r>
              <w:rPr>
                <w:color w:val="000000" w:themeColor="text1"/>
              </w:rPr>
              <w:t>日起使用增值税发票系统升级版的，按照有关规定不使用网络办税或不具备网络条件的特定纳税人</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金税盘或税控盘</w:t>
            </w:r>
          </w:p>
        </w:tc>
        <w:tc>
          <w:tcPr>
            <w:tcW w:w="72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中国铁路总公司的铁路建设基金增值税纳税申报</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《铁路建设基金纳税申报表》</w:t>
            </w:r>
          </w:p>
        </w:tc>
        <w:tc>
          <w:tcPr>
            <w:tcW w:w="72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海关回函结果为</w:t>
            </w:r>
            <w:r>
              <w:rPr>
                <w:color w:val="000000" w:themeColor="text1"/>
              </w:rPr>
              <w:t>“</w:t>
            </w:r>
            <w:r>
              <w:rPr>
                <w:rFonts w:hint="eastAsia"/>
                <w:color w:val="000000" w:themeColor="text1"/>
              </w:rPr>
              <w:t>有一致的入库信息</w:t>
            </w:r>
            <w:r>
              <w:rPr>
                <w:color w:val="000000" w:themeColor="text1"/>
              </w:rPr>
              <w:t>”</w:t>
            </w:r>
            <w:r>
              <w:rPr>
                <w:rFonts w:hint="eastAsia"/>
                <w:color w:val="000000" w:themeColor="text1"/>
              </w:rPr>
              <w:t>的海关缴款书</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《海关缴款书核查结果通知书》</w:t>
            </w:r>
          </w:p>
        </w:tc>
        <w:tc>
          <w:tcPr>
            <w:tcW w:w="72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辅导期一般纳税人</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《稽核结果比对通知书》</w:t>
            </w:r>
          </w:p>
        </w:tc>
        <w:tc>
          <w:tcPr>
            <w:tcW w:w="72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各类汇总纳税企业</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分支机构增值税汇总纳税信息传递单</w:t>
            </w:r>
          </w:p>
        </w:tc>
        <w:tc>
          <w:tcPr>
            <w:tcW w:w="72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采用预缴方式缴纳增值税的发、供电企业</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《电力企业增值税销项税额和进项税额传递单》</w:t>
            </w:r>
          </w:p>
        </w:tc>
        <w:tc>
          <w:tcPr>
            <w:tcW w:w="72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增值税一般纳税人发生代扣代缴事项</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《代扣代缴税收通用缴款书抵扣清单》</w:t>
            </w:r>
          </w:p>
        </w:tc>
        <w:tc>
          <w:tcPr>
            <w:tcW w:w="720"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2464" w:hRule="exact"/>
          <w:jc w:val="center"/>
        </w:trPr>
        <w:tc>
          <w:tcPr>
            <w:tcW w:w="239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增值税一般纳税人在资产重组过程中，将全部资产、负债和劳动力一并转让给其他增值税一般纳税人，原纳税人在办理注销登记前尚未抵扣的进项税额可结转至新纳税人处继续抵扣</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《增值税一般纳税人资产重组进项留抵税额转移单》</w:t>
            </w:r>
          </w:p>
        </w:tc>
        <w:tc>
          <w:tcPr>
            <w:tcW w:w="720"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纳税人取得的符合抵扣条件且在本期申报抵扣的相关凭证</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1</w:t>
            </w:r>
            <w:r>
              <w:rPr>
                <w:rFonts w:hint="eastAsia"/>
                <w:color w:val="000000" w:themeColor="text1"/>
              </w:rPr>
              <w:t>）增值税专用发票（含税控机动车销售统一发票）的抵扣联</w:t>
            </w:r>
          </w:p>
        </w:tc>
        <w:tc>
          <w:tcPr>
            <w:tcW w:w="720" w:type="dxa"/>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2</w:t>
            </w:r>
            <w:r>
              <w:rPr>
                <w:rFonts w:hint="eastAsia"/>
                <w:color w:val="000000" w:themeColor="text1"/>
              </w:rPr>
              <w:t>）海关进口增值税专用缴款书、购进农产品取得的普通发票的复印件</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3</w:t>
            </w:r>
            <w:r>
              <w:rPr>
                <w:rFonts w:hint="eastAsia"/>
                <w:color w:val="000000" w:themeColor="text1"/>
              </w:rPr>
              <w:t>）税收完税凭证及其清单，书面合同、付款证明和境外单位的对账单或者发票</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4</w:t>
            </w:r>
            <w:r>
              <w:rPr>
                <w:rFonts w:hint="eastAsia"/>
                <w:color w:val="000000" w:themeColor="text1"/>
              </w:rPr>
              <w:t>）已开具的农产品收购凭证的存根联或报查联</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96"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纳税人销售服务、不动产和无形资产，在确定服务、不动产和无形资产销售额时，按照有关规定从取得的全部价款和价外费用中扣除价款</w:t>
            </w:r>
          </w:p>
        </w:tc>
        <w:tc>
          <w:tcPr>
            <w:tcW w:w="640" w:type="dxa"/>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符合法律、行政法规和国家税务总局规定的有效凭证及清单，主要包括</w:t>
            </w:r>
          </w:p>
        </w:tc>
        <w:tc>
          <w:tcPr>
            <w:tcW w:w="315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1</w:t>
            </w:r>
            <w:r>
              <w:rPr>
                <w:rFonts w:hint="eastAsia"/>
                <w:color w:val="000000" w:themeColor="text1"/>
              </w:rPr>
              <w:t>）支付给境内单位或者个人的款项，以发票为合法有效凭证</w:t>
            </w:r>
          </w:p>
        </w:tc>
        <w:tc>
          <w:tcPr>
            <w:tcW w:w="720" w:type="dxa"/>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85"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64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15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2</w:t>
            </w:r>
            <w:r>
              <w:rPr>
                <w:rFonts w:hint="eastAsia"/>
                <w:color w:val="000000" w:themeColor="text1"/>
              </w:rPr>
              <w:t>）支付给境外单位或者个人的款项，以该单位或者个人的签收单据为合法有效凭证，税务机关对签收单据有疑义的，可以要求其提供境外公证机构的确认证明</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85"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64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15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3</w:t>
            </w:r>
            <w:r>
              <w:rPr>
                <w:rFonts w:hint="eastAsia"/>
                <w:color w:val="000000" w:themeColor="text1"/>
              </w:rPr>
              <w:t>）缴纳的税款，以完税凭证为合法有效凭证</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85"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64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15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4</w:t>
            </w:r>
            <w:r>
              <w:rPr>
                <w:rFonts w:hint="eastAsia"/>
                <w:color w:val="000000" w:themeColor="text1"/>
              </w:rPr>
              <w:t>）扣除的政府性基金、行政事业性收费或者向政府支付的土地价款，以省级以上（含省级）财政部门监（印）制的财政票据为合法有效凭证</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85"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64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15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w:t>
            </w:r>
            <w:r>
              <w:rPr>
                <w:rFonts w:hint="eastAsia" w:ascii="Times New Roman" w:hAnsi="Times New Roman"/>
                <w:color w:val="000000" w:themeColor="text1"/>
              </w:rPr>
              <w:t>5</w:t>
            </w:r>
            <w:r>
              <w:rPr>
                <w:rFonts w:hint="eastAsia"/>
                <w:color w:val="000000" w:themeColor="text1"/>
              </w:rPr>
              <w:t>）国家税务总局规定的其他凭证</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85"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部分行业试行农产品增值税进项税额核定扣除办法的一般纳税人</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《农产品核定扣除增值税进项税额计算表（汇总表）》</w:t>
            </w:r>
          </w:p>
        </w:tc>
        <w:tc>
          <w:tcPr>
            <w:tcW w:w="720" w:type="dxa"/>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《投入产出法核定农产品增值税进项税额计算表》</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《成本法核定农产品增值税进项税额计算表》</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《购进农产品直接销售核定农产品增值税进项税额计算表》</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《购进农产品用于生产经营且不构成货物实体核定农产品增值税进项税额计算表》</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从事成品油销售业务的一般纳税人</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《成品油购销存情况明细表》</w:t>
            </w:r>
          </w:p>
        </w:tc>
        <w:tc>
          <w:tcPr>
            <w:tcW w:w="720" w:type="dxa"/>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258" w:type="dxa"/>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《加油站</w:t>
            </w:r>
            <w:r>
              <w:rPr>
                <w:color w:val="000000" w:themeColor="text1"/>
              </w:rPr>
              <w:t>XX</w:t>
            </w:r>
            <w:r>
              <w:rPr>
                <w:rFonts w:hint="eastAsia"/>
                <w:color w:val="000000" w:themeColor="text1"/>
              </w:rPr>
              <w:t>月份加油信息明细表》或加油</w:t>
            </w:r>
            <w:r>
              <w:rPr>
                <w:color w:val="000000" w:themeColor="text1"/>
              </w:rPr>
              <w:t>IC卡</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《加油站月销售油品汇总表》</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《成品油购销存数量明细表》</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125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restart"/>
            <w:tcBorders>
              <w:left w:val="single" w:color="auto" w:sz="4" w:space="0"/>
              <w:right w:val="single" w:color="auto" w:sz="4" w:space="0"/>
            </w:tcBorders>
            <w:vAlign w:val="center"/>
          </w:tcPr>
          <w:p>
            <w:pPr>
              <w:pStyle w:val="34"/>
              <w:wordWrap w:val="0"/>
              <w:adjustRightInd/>
              <w:snapToGrid/>
              <w:spacing w:line="240" w:lineRule="auto"/>
            </w:pPr>
            <w:bookmarkStart w:id="24" w:name="_Hlk18965133"/>
            <w:r>
              <w:rPr>
                <w:rFonts w:hint="eastAsia"/>
              </w:rPr>
              <w:t>跨地区经营固定业户总分支机构申请汇总缴纳增值税</w:t>
            </w: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pPr>
            <w:r>
              <w:rPr>
                <w:rFonts w:hint="eastAsia"/>
              </w:rPr>
              <w:t>《书面报告》</w:t>
            </w:r>
          </w:p>
        </w:tc>
        <w:tc>
          <w:tcPr>
            <w:tcW w:w="720" w:type="dxa"/>
            <w:vMerge w:val="restart"/>
            <w:tcBorders>
              <w:left w:val="single" w:color="auto" w:sz="4" w:space="0"/>
              <w:right w:val="single" w:color="auto" w:sz="4" w:space="0"/>
            </w:tcBorders>
            <w:vAlign w:val="center"/>
          </w:tcPr>
          <w:p>
            <w:pPr>
              <w:pStyle w:val="34"/>
              <w:wordWrap w:val="0"/>
              <w:adjustRightInd/>
              <w:snapToGrid/>
              <w:spacing w:line="240" w:lineRule="auto"/>
            </w:pPr>
            <w:r>
              <w:rPr>
                <w:rFonts w:hint="eastAsia"/>
              </w:rPr>
              <w:t>1份</w:t>
            </w:r>
          </w:p>
        </w:tc>
        <w:tc>
          <w:tcPr>
            <w:tcW w:w="1258" w:type="dxa"/>
            <w:tcBorders>
              <w:left w:val="single" w:color="auto" w:sz="4" w:space="0"/>
              <w:right w:val="single" w:color="auto" w:sz="4" w:space="0"/>
            </w:tcBorders>
            <w:vAlign w:val="center"/>
          </w:tcPr>
          <w:p>
            <w:pPr>
              <w:pStyle w:val="34"/>
              <w:wordWrap w:val="0"/>
              <w:adjustRightInd/>
              <w:snapToGrid/>
              <w:spacing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adjustRightInd/>
              <w:snapToGrid/>
              <w:spacing w:line="240" w:lineRule="auto"/>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pPr>
            <w:r>
              <w:rPr>
                <w:rFonts w:hint="eastAsia"/>
              </w:rPr>
              <w:t>批准设立分支机构的文件复印件</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pPr>
          </w:p>
        </w:tc>
        <w:tc>
          <w:tcPr>
            <w:tcW w:w="1258" w:type="dxa"/>
            <w:tcBorders>
              <w:left w:val="single" w:color="auto" w:sz="4" w:space="0"/>
              <w:right w:val="single" w:color="auto" w:sz="4" w:space="0"/>
            </w:tcBorders>
            <w:vAlign w:val="center"/>
          </w:tcPr>
          <w:p>
            <w:pPr>
              <w:pStyle w:val="34"/>
              <w:adjustRightInd/>
              <w:snapToGrid/>
              <w:spacing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794" w:hRule="exact"/>
          <w:jc w:val="center"/>
        </w:trPr>
        <w:tc>
          <w:tcPr>
            <w:tcW w:w="2396" w:type="dxa"/>
            <w:gridSpan w:val="2"/>
            <w:vMerge w:val="continue"/>
            <w:tcBorders>
              <w:left w:val="single" w:color="auto" w:sz="4" w:space="0"/>
              <w:right w:val="single" w:color="auto" w:sz="4" w:space="0"/>
            </w:tcBorders>
            <w:vAlign w:val="center"/>
          </w:tcPr>
          <w:p>
            <w:pPr>
              <w:pStyle w:val="34"/>
              <w:wordWrap w:val="0"/>
              <w:adjustRightInd/>
              <w:snapToGrid/>
              <w:spacing w:line="240" w:lineRule="auto"/>
            </w:pPr>
          </w:p>
        </w:tc>
        <w:tc>
          <w:tcPr>
            <w:tcW w:w="3790" w:type="dxa"/>
            <w:gridSpan w:val="2"/>
            <w:tcBorders>
              <w:left w:val="single" w:color="auto" w:sz="4" w:space="0"/>
              <w:right w:val="single" w:color="auto" w:sz="4" w:space="0"/>
            </w:tcBorders>
            <w:vAlign w:val="center"/>
          </w:tcPr>
          <w:p>
            <w:pPr>
              <w:pStyle w:val="34"/>
              <w:wordWrap w:val="0"/>
              <w:adjustRightInd/>
              <w:snapToGrid/>
              <w:spacing w:line="240" w:lineRule="auto"/>
            </w:pPr>
            <w:r>
              <w:rPr>
                <w:rFonts w:hint="eastAsia"/>
              </w:rPr>
              <w:t>《纳税人统一财务管理制度和统一财务经营管理软件使用说明书》</w:t>
            </w:r>
          </w:p>
        </w:tc>
        <w:tc>
          <w:tcPr>
            <w:tcW w:w="720" w:type="dxa"/>
            <w:vMerge w:val="continue"/>
            <w:tcBorders>
              <w:left w:val="single" w:color="auto" w:sz="4" w:space="0"/>
              <w:right w:val="single" w:color="auto" w:sz="4" w:space="0"/>
            </w:tcBorders>
            <w:vAlign w:val="center"/>
          </w:tcPr>
          <w:p>
            <w:pPr>
              <w:pStyle w:val="34"/>
              <w:wordWrap w:val="0"/>
              <w:adjustRightInd/>
              <w:snapToGrid/>
              <w:spacing w:line="240" w:lineRule="auto"/>
            </w:pPr>
          </w:p>
        </w:tc>
        <w:tc>
          <w:tcPr>
            <w:tcW w:w="1258" w:type="dxa"/>
            <w:tcBorders>
              <w:left w:val="single" w:color="auto" w:sz="4" w:space="0"/>
              <w:right w:val="single" w:color="auto" w:sz="4" w:space="0"/>
            </w:tcBorders>
            <w:vAlign w:val="center"/>
          </w:tcPr>
          <w:p>
            <w:pPr>
              <w:pStyle w:val="34"/>
              <w:wordWrap w:val="0"/>
              <w:adjustRightInd/>
              <w:snapToGrid/>
              <w:spacing w:line="240" w:lineRule="auto"/>
            </w:pPr>
          </w:p>
        </w:tc>
      </w:tr>
      <w:bookmarkEnd w:id="24"/>
    </w:tbl>
    <w:p>
      <w:pPr>
        <w:pStyle w:val="31"/>
        <w:wordWrap w:val="0"/>
        <w:adjustRightInd/>
        <w:snapToGrid/>
        <w:rPr>
          <w:color w:val="000000" w:themeColor="text1"/>
        </w:rPr>
      </w:pPr>
      <w:bookmarkStart w:id="25" w:name="_Hlk12355397"/>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bookmarkStart w:id="26" w:name="_Hlk507772549"/>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bookmarkEnd w:id="22"/>
    <w:bookmarkEnd w:id="26"/>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bookmarkEnd w:id="25"/>
    <w:p>
      <w:pPr>
        <w:pStyle w:val="31"/>
        <w:wordWrap w:val="0"/>
        <w:adjustRightInd/>
        <w:snapToGrid/>
        <w:rPr>
          <w:color w:val="000000" w:themeColor="text1"/>
        </w:rPr>
      </w:pPr>
      <w:bookmarkStart w:id="27" w:name="_Hlk12355565"/>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bookmarkEnd w:id="27"/>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3"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3"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bookmarkStart w:id="28" w:name="_Hlk507774399"/>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增值税的纳税期限分别为</w:t>
      </w:r>
      <w:r>
        <w:rPr>
          <w:rFonts w:cs="Times New Roman"/>
          <w:color w:val="000000" w:themeColor="text1"/>
        </w:rPr>
        <w:t>1</w:t>
      </w:r>
      <w:r>
        <w:rPr>
          <w:rFonts w:ascii="宋体" w:hAnsi="宋体" w:cs="Times New Roman"/>
          <w:color w:val="000000" w:themeColor="text1"/>
        </w:rPr>
        <w:t>日、</w:t>
      </w:r>
      <w:r>
        <w:rPr>
          <w:rFonts w:cs="Times New Roman"/>
          <w:color w:val="000000" w:themeColor="text1"/>
        </w:rPr>
        <w:t>3</w:t>
      </w:r>
      <w:r>
        <w:rPr>
          <w:rFonts w:ascii="宋体" w:hAnsi="宋体" w:cs="Times New Roman"/>
          <w:color w:val="000000" w:themeColor="text1"/>
        </w:rPr>
        <w:t>日、</w:t>
      </w:r>
      <w:r>
        <w:rPr>
          <w:rFonts w:cs="Times New Roman"/>
          <w:color w:val="000000" w:themeColor="text1"/>
        </w:rPr>
        <w:t>5</w:t>
      </w:r>
      <w:r>
        <w:rPr>
          <w:rFonts w:ascii="宋体" w:hAnsi="宋体" w:cs="Times New Roman"/>
          <w:color w:val="000000" w:themeColor="text1"/>
        </w:rPr>
        <w:t>日、</w:t>
      </w:r>
      <w:r>
        <w:rPr>
          <w:rFonts w:cs="Times New Roman"/>
          <w:color w:val="000000" w:themeColor="text1"/>
        </w:rPr>
        <w:t>10</w:t>
      </w:r>
      <w:r>
        <w:rPr>
          <w:rFonts w:ascii="宋体" w:hAnsi="宋体" w:cs="Times New Roman"/>
          <w:color w:val="000000" w:themeColor="text1"/>
        </w:rPr>
        <w:t>日、</w:t>
      </w:r>
      <w:r>
        <w:rPr>
          <w:rFonts w:cs="Times New Roman"/>
          <w:color w:val="000000" w:themeColor="text1"/>
        </w:rPr>
        <w:t>15</w:t>
      </w:r>
      <w:r>
        <w:rPr>
          <w:rFonts w:ascii="宋体" w:hAnsi="宋体" w:cs="Times New Roman"/>
          <w:color w:val="000000" w:themeColor="text1"/>
        </w:rPr>
        <w:t>日、</w:t>
      </w:r>
      <w:r>
        <w:rPr>
          <w:rFonts w:cs="Times New Roman"/>
          <w:color w:val="000000" w:themeColor="text1"/>
        </w:rPr>
        <w:t>1</w:t>
      </w:r>
      <w:r>
        <w:rPr>
          <w:rFonts w:ascii="宋体" w:hAnsi="宋体" w:cs="Times New Roman"/>
          <w:color w:val="000000" w:themeColor="text1"/>
        </w:rPr>
        <w:t>个月或者</w:t>
      </w:r>
      <w:r>
        <w:rPr>
          <w:rFonts w:cs="Times New Roman"/>
          <w:color w:val="000000" w:themeColor="text1"/>
        </w:rPr>
        <w:t>1</w:t>
      </w:r>
      <w:r>
        <w:rPr>
          <w:rFonts w:ascii="宋体" w:hAnsi="宋体" w:cs="Times New Roman"/>
          <w:color w:val="000000" w:themeColor="text1"/>
        </w:rPr>
        <w:t>个季度。纳税人的具体纳税期限，由主管税务机关根据纳税人应纳税额的大小分别核定；不能按照固定期限纳税的，可以按次纳税。纳税人以</w:t>
      </w:r>
      <w:r>
        <w:rPr>
          <w:rFonts w:cs="Times New Roman"/>
          <w:color w:val="000000" w:themeColor="text1"/>
        </w:rPr>
        <w:t>1</w:t>
      </w:r>
      <w:r>
        <w:rPr>
          <w:rFonts w:ascii="宋体" w:hAnsi="宋体" w:cs="Times New Roman"/>
          <w:color w:val="000000" w:themeColor="text1"/>
        </w:rPr>
        <w:t>个月或者</w:t>
      </w:r>
      <w:r>
        <w:rPr>
          <w:rFonts w:cs="Times New Roman"/>
          <w:color w:val="000000" w:themeColor="text1"/>
        </w:rPr>
        <w:t>1</w:t>
      </w:r>
      <w:r>
        <w:rPr>
          <w:rFonts w:ascii="宋体" w:hAnsi="宋体" w:cs="Times New Roman"/>
          <w:color w:val="000000" w:themeColor="text1"/>
        </w:rPr>
        <w:t>个季度为</w:t>
      </w:r>
      <w:r>
        <w:rPr>
          <w:rFonts w:cs="Times New Roman"/>
          <w:color w:val="000000" w:themeColor="text1"/>
        </w:rPr>
        <w:t>1</w:t>
      </w:r>
      <w:r>
        <w:rPr>
          <w:rFonts w:ascii="宋体" w:hAnsi="宋体" w:cs="Times New Roman"/>
          <w:color w:val="000000" w:themeColor="text1"/>
        </w:rPr>
        <w:t>个纳税期的，自期满之日起</w:t>
      </w:r>
      <w:r>
        <w:rPr>
          <w:rFonts w:cs="Times New Roman"/>
          <w:color w:val="000000" w:themeColor="text1"/>
        </w:rPr>
        <w:t>15</w:t>
      </w:r>
      <w:r>
        <w:rPr>
          <w:rFonts w:ascii="宋体" w:hAnsi="宋体" w:cs="Times New Roman"/>
          <w:color w:val="000000" w:themeColor="text1"/>
        </w:rPr>
        <w:t>日内申报纳税；以</w:t>
      </w:r>
      <w:r>
        <w:rPr>
          <w:rFonts w:cs="Times New Roman"/>
          <w:color w:val="000000" w:themeColor="text1"/>
        </w:rPr>
        <w:t>1</w:t>
      </w:r>
      <w:r>
        <w:rPr>
          <w:rFonts w:ascii="宋体" w:hAnsi="宋体" w:cs="Times New Roman"/>
          <w:color w:val="000000" w:themeColor="text1"/>
        </w:rPr>
        <w:t>日、</w:t>
      </w:r>
      <w:r>
        <w:rPr>
          <w:rFonts w:cs="Times New Roman"/>
          <w:color w:val="000000" w:themeColor="text1"/>
        </w:rPr>
        <w:t>3</w:t>
      </w:r>
      <w:r>
        <w:rPr>
          <w:rFonts w:ascii="宋体" w:hAnsi="宋体" w:cs="Times New Roman"/>
          <w:color w:val="000000" w:themeColor="text1"/>
        </w:rPr>
        <w:t>日、</w:t>
      </w:r>
      <w:r>
        <w:rPr>
          <w:rFonts w:cs="Times New Roman"/>
          <w:color w:val="000000" w:themeColor="text1"/>
        </w:rPr>
        <w:t>5</w:t>
      </w:r>
      <w:r>
        <w:rPr>
          <w:rFonts w:ascii="宋体" w:hAnsi="宋体" w:cs="Times New Roman"/>
          <w:color w:val="000000" w:themeColor="text1"/>
        </w:rPr>
        <w:t>日、</w:t>
      </w:r>
      <w:r>
        <w:rPr>
          <w:rFonts w:cs="Times New Roman"/>
          <w:color w:val="000000" w:themeColor="text1"/>
        </w:rPr>
        <w:t>10</w:t>
      </w:r>
      <w:r>
        <w:rPr>
          <w:rFonts w:ascii="宋体" w:hAnsi="宋体" w:cs="Times New Roman"/>
          <w:color w:val="000000" w:themeColor="text1"/>
        </w:rPr>
        <w:t>日或者</w:t>
      </w:r>
      <w:r>
        <w:rPr>
          <w:rFonts w:cs="Times New Roman"/>
          <w:color w:val="000000" w:themeColor="text1"/>
        </w:rPr>
        <w:t>15</w:t>
      </w:r>
      <w:r>
        <w:rPr>
          <w:rFonts w:ascii="宋体" w:hAnsi="宋体" w:cs="Times New Roman"/>
          <w:color w:val="000000" w:themeColor="text1"/>
        </w:rPr>
        <w:t>日为</w:t>
      </w:r>
      <w:r>
        <w:rPr>
          <w:rFonts w:cs="Times New Roman"/>
          <w:color w:val="000000" w:themeColor="text1"/>
        </w:rPr>
        <w:t>1</w:t>
      </w:r>
      <w:r>
        <w:rPr>
          <w:rFonts w:ascii="宋体" w:hAnsi="宋体" w:cs="Times New Roman"/>
          <w:color w:val="000000" w:themeColor="text1"/>
        </w:rPr>
        <w:t>个纳税期的，自期满之日起</w:t>
      </w:r>
      <w:r>
        <w:rPr>
          <w:rFonts w:cs="Times New Roman"/>
          <w:color w:val="000000" w:themeColor="text1"/>
        </w:rPr>
        <w:t>5</w:t>
      </w:r>
      <w:r>
        <w:rPr>
          <w:rFonts w:ascii="宋体" w:hAnsi="宋体" w:cs="Times New Roman"/>
          <w:color w:val="000000" w:themeColor="text1"/>
        </w:rPr>
        <w:t>日内预缴税款，于次月</w:t>
      </w:r>
      <w:r>
        <w:rPr>
          <w:rFonts w:cs="Times New Roman"/>
          <w:color w:val="000000" w:themeColor="text1"/>
        </w:rPr>
        <w:t>1</w:t>
      </w:r>
      <w:r>
        <w:rPr>
          <w:rFonts w:ascii="宋体" w:hAnsi="宋体" w:cs="Times New Roman"/>
          <w:color w:val="000000" w:themeColor="text1"/>
        </w:rPr>
        <w:t>日起</w:t>
      </w:r>
      <w:r>
        <w:rPr>
          <w:rFonts w:cs="Times New Roman"/>
          <w:color w:val="000000" w:themeColor="text1"/>
        </w:rPr>
        <w:t>15</w:t>
      </w:r>
      <w:r>
        <w:rPr>
          <w:rFonts w:ascii="宋体" w:hAnsi="宋体" w:cs="Times New Roman"/>
          <w:color w:val="000000" w:themeColor="text1"/>
        </w:rPr>
        <w:t>日内申报纳税并结清上月应纳税款。纳税人进口货物，应当自海关填发海关进口增值税专用缴款书之日起</w:t>
      </w:r>
      <w:r>
        <w:rPr>
          <w:rFonts w:cs="Times New Roman"/>
          <w:color w:val="000000" w:themeColor="text1"/>
        </w:rPr>
        <w:t>15</w:t>
      </w:r>
      <w:r>
        <w:rPr>
          <w:rFonts w:ascii="宋体" w:hAnsi="宋体" w:cs="Times New Roman"/>
          <w:color w:val="000000" w:themeColor="text1"/>
        </w:rPr>
        <w:t>日内缴纳税款。纳税期限遇最后一日是法定休假日的，以休假日期满的次日为期限的最后一日；在期限内有连续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银行、财务公司、信托投资公司、信用社</w:t>
      </w:r>
      <w:r>
        <w:rPr>
          <w:rFonts w:ascii="宋体" w:hAnsi="宋体" w:cs="Times New Roman"/>
          <w:color w:val="000000" w:themeColor="text1"/>
        </w:rPr>
        <w:t>、</w:t>
      </w:r>
      <w:r>
        <w:rPr>
          <w:rFonts w:hint="default" w:ascii="宋体" w:hAnsi="宋体" w:cs="Times New Roman"/>
          <w:color w:val="000000" w:themeColor="text1"/>
        </w:rPr>
        <w:t>财政部和国家税务总局规定的其他纳税人</w:t>
      </w:r>
      <w:r>
        <w:rPr>
          <w:rFonts w:ascii="宋体" w:hAnsi="宋体" w:cs="Times New Roman"/>
          <w:color w:val="000000" w:themeColor="text1"/>
        </w:rPr>
        <w:t>可选择按季申报</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纳税人自办理税务登记至登记为一般纳税人期间，未取得生产经营收入，未按照销售额和</w:t>
      </w:r>
      <w:r>
        <w:rPr>
          <w:rFonts w:hint="default" w:ascii="宋体" w:hAnsi="宋体" w:cs="Times New Roman"/>
          <w:color w:val="000000" w:themeColor="text1"/>
        </w:rPr>
        <w:t>征收率简易计算应纳税额申报缴纳增值税的，其在此期间取得的增值税扣税凭证，可以在登记为一般纳税人后抵扣进项税额。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ascii="宋体" w:hAnsi="宋体" w:cs="Times New Roman"/>
          <w:color w:val="000000" w:themeColor="text1"/>
        </w:rPr>
        <w:t>纳税人当月有增值税留抵税额，又存在欠税的，可办理增值税留抵抵欠业务；纳税人有多缴税金，又存在欠税，可办理抵缴欠税业务。</w:t>
      </w:r>
    </w:p>
    <w:bookmarkEnd w:id="28"/>
    <w:p>
      <w:pPr>
        <w:wordWrap w:val="0"/>
        <w:spacing w:line="360" w:lineRule="auto"/>
        <w:ind w:firstLine="480"/>
        <w:rPr>
          <w:rFonts w:hint="default" w:ascii="宋体" w:hAnsi="宋体" w:cs="Times New Roman"/>
          <w:color w:val="000000" w:themeColor="text1"/>
        </w:rPr>
      </w:pPr>
      <w:bookmarkStart w:id="29" w:name="_Hlk12556294"/>
      <w:r>
        <w:rPr>
          <w:rFonts w:cs="Times New Roman"/>
          <w:color w:val="000000" w:themeColor="text1"/>
        </w:rPr>
        <w:t>11.</w:t>
      </w:r>
      <w:r>
        <w:rPr>
          <w:rFonts w:ascii="宋体" w:hAnsi="宋体" w:cs="Times New Roman"/>
          <w:color w:val="000000" w:themeColor="text1"/>
        </w:rPr>
        <w:t>纳税人享受减税、免税待遇的，在减税、免税期间应当按照规定办理纳税申报，</w:t>
      </w:r>
      <w:r>
        <w:rPr>
          <w:rFonts w:hint="default" w:ascii="宋体" w:hAnsi="宋体" w:cs="Times New Roman"/>
          <w:color w:val="000000" w:themeColor="text1"/>
        </w:rPr>
        <w:t>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bookmarkEnd w:id="29"/>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办理结束后，在文书表单上加盖</w:t>
      </w:r>
      <w:r>
        <w:rPr>
          <w:rFonts w:ascii="宋体" w:hAnsi="宋体" w:cs="Times New Roman"/>
          <w:color w:val="000000" w:themeColor="text1"/>
        </w:rPr>
        <w:t>印</w:t>
      </w:r>
      <w:r>
        <w:rPr>
          <w:rFonts w:hint="default" w:ascii="宋体" w:hAnsi="宋体" w:cs="Times New Roman"/>
          <w:color w:val="000000" w:themeColor="text1"/>
        </w:rPr>
        <w:t>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bookmarkStart w:id="30" w:name="_Hlk12525170"/>
      <w:r>
        <w:rPr>
          <w:rFonts w:hint="eastAsia"/>
          <w:color w:val="000000" w:themeColor="text1"/>
        </w:rPr>
        <w:t>【升级规范】</w:t>
      </w:r>
      <w:bookmarkEnd w:id="30"/>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实行主税附加税合并申报。纳税人申报增值税、消费税，附征的城市维护建设税、教育费附加、地方教育附加自动计算申报，纳税人可以一次性完成主税附加税申报。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wordWrap w:val="0"/>
        <w:spacing w:line="360" w:lineRule="auto"/>
        <w:ind w:firstLine="480"/>
        <w:rPr>
          <w:rFonts w:hint="default"/>
          <w:color w:val="000000" w:themeColor="text1"/>
        </w:rPr>
      </w:pPr>
      <w:r>
        <w:rPr>
          <w:rFonts w:ascii="黑体" w:hAnsi="黑体" w:eastAsia="黑体" w:cs="Times New Roman"/>
          <w:bCs/>
          <w:color w:val="000000" w:themeColor="text1"/>
        </w:rPr>
        <w:t>【操作规范</w:t>
      </w:r>
      <w:r>
        <w:rPr>
          <w:color w:val="000000" w:themeColor="text1"/>
        </w:rPr>
        <w:t>】</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增值税申报】—【增值税申报（适用于一般纳税人）】的路径进入功能模块。保存成功后依系统提示自动跳转至【附加税（费）申报】模块进行申报。</w:t>
      </w:r>
    </w:p>
    <w:p>
      <w:pPr>
        <w:wordWrap w:val="0"/>
        <w:spacing w:line="360" w:lineRule="auto"/>
        <w:ind w:firstLine="480"/>
        <w:rPr>
          <w:rFonts w:hint="default" w:cs="Times New Roman"/>
          <w:color w:val="000000" w:themeColor="text1"/>
        </w:rPr>
      </w:pPr>
      <w:r>
        <w:rPr>
          <w:rFonts w:cs="Times New Roman"/>
          <w:color w:val="000000" w:themeColor="text1"/>
        </w:rPr>
        <w:t>2.提示事项</w:t>
      </w:r>
    </w:p>
    <w:p>
      <w:pPr>
        <w:wordWrap w:val="0"/>
        <w:spacing w:line="360" w:lineRule="auto"/>
        <w:ind w:firstLine="480"/>
        <w:rPr>
          <w:rFonts w:hint="default" w:cs="Times New Roman"/>
        </w:rPr>
      </w:pPr>
      <w:r>
        <w:rPr>
          <w:rFonts w:cs="Times New Roman"/>
        </w:rPr>
        <w:t>（1）享受增值税即征即退优惠的纳税人，需先进行增值税即征即退备案，才能填写相对应的即征即退栏次数据：进入金三操作系统，通过文书受理岗权限，按照【管理服务】—【文书管理】—【优惠管理类】—【增值税即征即退备案】的路径进入功能模块。</w:t>
      </w:r>
    </w:p>
    <w:p>
      <w:pPr>
        <w:wordWrap w:val="0"/>
        <w:spacing w:line="360" w:lineRule="auto"/>
        <w:ind w:firstLine="480"/>
        <w:rPr>
          <w:rFonts w:hint="default" w:cs="Times New Roman"/>
          <w:color w:val="000000" w:themeColor="text1"/>
        </w:rPr>
      </w:pPr>
      <w:r>
        <w:rPr>
          <w:rFonts w:cs="Times New Roman"/>
          <w:color w:val="000000" w:themeColor="text1"/>
        </w:rPr>
        <w:t>（2）汇总纳税企业申报的前提是纳税人必须通过总分机构认定，其中非跨省汇总纳税人由总机构向其主管税务机关申请认定汇总纳税，确定总分机构的申报缴纳方式；跨省总分机构由总分机构各自向其主管税务机关申请认定汇总纳税，确定总分机构的申报缴纳方式。</w:t>
      </w:r>
    </w:p>
    <w:p>
      <w:pPr>
        <w:wordWrap w:val="0"/>
        <w:spacing w:line="360" w:lineRule="auto"/>
        <w:ind w:firstLine="480"/>
        <w:rPr>
          <w:rFonts w:hint="default" w:cs="Times New Roman"/>
          <w:color w:val="000000" w:themeColor="text1"/>
        </w:rPr>
      </w:pPr>
      <w:r>
        <w:rPr>
          <w:rFonts w:cs="Times New Roman"/>
          <w:color w:val="000000" w:themeColor="text1"/>
        </w:rPr>
        <w:t>（3）航空运输企业、邮政企业、中国铁路总公司、电信企业分支机构只能采取按“预征率”方式预征缴纳税款。</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83"/>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bookmarkStart w:id="31" w:name="_Hlk12526722"/>
            <w:r>
              <w:rPr>
                <w:rFonts w:hint="eastAsia"/>
              </w:rPr>
              <w:t>序号</w:t>
            </w:r>
          </w:p>
        </w:tc>
        <w:tc>
          <w:tcPr>
            <w:tcW w:w="5783" w:type="dxa"/>
            <w:vAlign w:val="center"/>
          </w:tcPr>
          <w:p>
            <w:pPr>
              <w:pStyle w:val="33"/>
              <w:adjustRightInd/>
              <w:snapToGrid/>
              <w:spacing w:line="276" w:lineRule="auto"/>
            </w:pPr>
            <w:r>
              <w:rPr>
                <w:rFonts w:hint="eastAsia"/>
              </w:rPr>
              <w:t>文件名称</w:t>
            </w:r>
          </w:p>
        </w:tc>
        <w:tc>
          <w:tcPr>
            <w:tcW w:w="166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83" w:type="dxa"/>
            <w:vAlign w:val="center"/>
          </w:tcPr>
          <w:p>
            <w:pPr>
              <w:pStyle w:val="50"/>
              <w:adjustRightInd/>
              <w:snapToGrid/>
              <w:spacing w:line="276" w:lineRule="auto"/>
            </w:pPr>
            <w:r>
              <w:rPr>
                <w:rFonts w:hint="eastAsia"/>
              </w:rPr>
              <w:t>《中华人民共和国税收征收管理法》</w:t>
            </w:r>
          </w:p>
        </w:tc>
        <w:tc>
          <w:tcPr>
            <w:tcW w:w="1667" w:type="dxa"/>
            <w:vAlign w:val="center"/>
          </w:tcPr>
          <w:p>
            <w:pPr>
              <w:pStyle w:val="50"/>
              <w:adjustRightInd/>
              <w:snapToGrid/>
              <w:spacing w:line="276" w:lineRule="auto"/>
            </w:pPr>
            <w:r>
              <w:rPr>
                <w:rFonts w:hint="eastAsia"/>
              </w:rPr>
              <w:t>主动公开</w:t>
            </w:r>
          </w:p>
        </w:tc>
      </w:tr>
      <w:bookmarkEnd w:id="3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83" w:type="dxa"/>
            <w:vAlign w:val="center"/>
          </w:tcPr>
          <w:p>
            <w:pPr>
              <w:pStyle w:val="50"/>
              <w:adjustRightInd/>
              <w:snapToGrid/>
              <w:spacing w:line="276" w:lineRule="auto"/>
            </w:pPr>
            <w:r>
              <w:rPr>
                <w:rFonts w:hint="eastAsia"/>
              </w:rPr>
              <w:t>《中华人民共和国增值税暂行条例》</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83" w:type="dxa"/>
            <w:vAlign w:val="center"/>
          </w:tcPr>
          <w:p>
            <w:pPr>
              <w:pStyle w:val="50"/>
              <w:adjustRightInd/>
              <w:snapToGrid/>
              <w:spacing w:line="276" w:lineRule="auto"/>
            </w:pPr>
            <w:bookmarkStart w:id="32" w:name="RANGE!B3"/>
            <w:r>
              <w:rPr>
                <w:rFonts w:hint="eastAsia"/>
              </w:rPr>
              <w:t>《中华人民共和国增值税暂行条例实施细则》（中华人民共和国财政部令第65号令）</w:t>
            </w:r>
            <w:bookmarkEnd w:id="32"/>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83" w:type="dxa"/>
            <w:vAlign w:val="center"/>
          </w:tcPr>
          <w:p>
            <w:pPr>
              <w:pStyle w:val="50"/>
              <w:adjustRightInd/>
              <w:snapToGrid/>
              <w:spacing w:line="276" w:lineRule="auto"/>
            </w:pPr>
            <w:r>
              <w:rPr>
                <w:rFonts w:hint="eastAsia"/>
              </w:rPr>
              <w:t>《成品油零售加油站增值税征收管理办法》（国家税务总局令第2号）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83" w:type="dxa"/>
            <w:vAlign w:val="center"/>
          </w:tcPr>
          <w:p>
            <w:pPr>
              <w:pStyle w:val="50"/>
              <w:adjustRightInd/>
              <w:snapToGrid/>
              <w:spacing w:line="276" w:lineRule="auto"/>
            </w:pPr>
            <w:r>
              <w:rPr>
                <w:rFonts w:hint="eastAsia"/>
              </w:rPr>
              <w:t>《电力产品增值税征收管理办法》（国家税务总局令第10号）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83" w:type="dxa"/>
            <w:vAlign w:val="center"/>
          </w:tcPr>
          <w:p>
            <w:pPr>
              <w:pStyle w:val="50"/>
              <w:adjustRightInd/>
              <w:snapToGrid/>
              <w:spacing w:line="276" w:lineRule="auto"/>
            </w:pPr>
            <w:r>
              <w:rPr>
                <w:rFonts w:hint="eastAsia"/>
              </w:rPr>
              <w:t>《税收票证管理办法》（国家税务总局令第28号）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83" w:type="dxa"/>
            <w:vAlign w:val="center"/>
          </w:tcPr>
          <w:p>
            <w:pPr>
              <w:pStyle w:val="50"/>
              <w:adjustRightInd/>
              <w:snapToGrid/>
              <w:spacing w:line="276" w:lineRule="auto"/>
            </w:pPr>
            <w:r>
              <w:rPr>
                <w:rFonts w:hint="eastAsia"/>
              </w:rPr>
              <w:t>《增值税一般纳税人登记管理办法》（国家税务总局令43号）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83" w:type="dxa"/>
            <w:vAlign w:val="center"/>
          </w:tcPr>
          <w:p>
            <w:pPr>
              <w:pStyle w:val="50"/>
              <w:adjustRightInd/>
              <w:snapToGrid/>
              <w:spacing w:line="276" w:lineRule="auto"/>
            </w:pPr>
            <w:r>
              <w:rPr>
                <w:rFonts w:hint="eastAsia"/>
              </w:rPr>
              <w:t>《财政部 国家税务总局关于扩大农产品增值税进项税额核定扣除试点行业范围的通知》（财税〔2013〕57号）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83" w:type="dxa"/>
            <w:vAlign w:val="center"/>
          </w:tcPr>
          <w:p>
            <w:pPr>
              <w:pStyle w:val="50"/>
              <w:adjustRightInd/>
              <w:snapToGrid/>
              <w:spacing w:line="276" w:lineRule="auto"/>
            </w:pPr>
            <w:r>
              <w:rPr>
                <w:rFonts w:hint="eastAsia"/>
              </w:rPr>
              <w:t>《财政部 税务总局 海关总署关于深化增值税改革有关政策的公告》（财政部税务总局海关总署公告2019年第39号）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0</w:t>
            </w:r>
          </w:p>
        </w:tc>
        <w:tc>
          <w:tcPr>
            <w:tcW w:w="5783" w:type="dxa"/>
            <w:vAlign w:val="center"/>
          </w:tcPr>
          <w:p>
            <w:pPr>
              <w:pStyle w:val="50"/>
              <w:adjustRightInd/>
              <w:snapToGrid/>
              <w:spacing w:line="276" w:lineRule="auto"/>
            </w:pPr>
            <w:r>
              <w:rPr>
                <w:rFonts w:hint="eastAsia"/>
              </w:rPr>
              <w:t>《国家税务总局关于在部分行业试行农产品增值税进项税额核定扣除办法有关问题的公告》（国家税务总局公告2012年第35号）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1</w:t>
            </w:r>
          </w:p>
        </w:tc>
        <w:tc>
          <w:tcPr>
            <w:tcW w:w="5783" w:type="dxa"/>
            <w:vAlign w:val="center"/>
          </w:tcPr>
          <w:p>
            <w:pPr>
              <w:pStyle w:val="50"/>
              <w:adjustRightInd/>
              <w:snapToGrid/>
              <w:spacing w:line="276" w:lineRule="auto"/>
            </w:pPr>
            <w:r>
              <w:rPr>
                <w:rFonts w:hint="eastAsia"/>
              </w:rPr>
              <w:t>《国家税务总局关于实施〈税收票证管理办法〉若干问题的公告》（国家税务总局公告2013年第34号）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2</w:t>
            </w:r>
          </w:p>
        </w:tc>
        <w:tc>
          <w:tcPr>
            <w:tcW w:w="5783" w:type="dxa"/>
            <w:vAlign w:val="center"/>
          </w:tcPr>
          <w:p>
            <w:pPr>
              <w:pStyle w:val="50"/>
              <w:adjustRightInd/>
              <w:snapToGrid/>
              <w:spacing w:line="276" w:lineRule="auto"/>
            </w:pPr>
            <w:r>
              <w:rPr>
                <w:rFonts w:hint="eastAsia"/>
              </w:rPr>
              <w:t>《国家税务总局关于全面推行增值税发票系统升级版有关问题的公告》（国家税务总局公告2015年第19号）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3</w:t>
            </w:r>
          </w:p>
        </w:tc>
        <w:tc>
          <w:tcPr>
            <w:tcW w:w="5783" w:type="dxa"/>
            <w:vAlign w:val="center"/>
          </w:tcPr>
          <w:p>
            <w:pPr>
              <w:pStyle w:val="50"/>
              <w:adjustRightInd/>
              <w:snapToGrid/>
              <w:spacing w:line="276" w:lineRule="auto"/>
            </w:pPr>
            <w:r>
              <w:rPr>
                <w:rFonts w:hint="eastAsia"/>
              </w:rPr>
              <w:t>《国家税务总局关于停止使用货物运输业增值税专用发票有关问题的公告》（国家税务总局公告2015年第99号）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4</w:t>
            </w:r>
          </w:p>
        </w:tc>
        <w:tc>
          <w:tcPr>
            <w:tcW w:w="5783" w:type="dxa"/>
            <w:vAlign w:val="center"/>
          </w:tcPr>
          <w:p>
            <w:pPr>
              <w:pStyle w:val="50"/>
              <w:adjustRightInd/>
              <w:snapToGrid/>
              <w:spacing w:line="276" w:lineRule="auto"/>
            </w:pPr>
            <w:r>
              <w:rPr>
                <w:rFonts w:hint="eastAsia"/>
              </w:rPr>
              <w:t>《国家税务总局关于优化完善增值税发票选择确认平台功能及系统维护有关事项的公告》（国家税务总局公告2016年第57号）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5</w:t>
            </w:r>
          </w:p>
        </w:tc>
        <w:tc>
          <w:tcPr>
            <w:tcW w:w="5783" w:type="dxa"/>
            <w:vAlign w:val="center"/>
          </w:tcPr>
          <w:p>
            <w:pPr>
              <w:pStyle w:val="50"/>
              <w:adjustRightInd/>
              <w:snapToGrid/>
              <w:spacing w:line="276" w:lineRule="auto"/>
            </w:pPr>
            <w:r>
              <w:rPr>
                <w:rFonts w:hint="eastAsia"/>
              </w:rPr>
              <w:t>《国家税务总局关于增值税一般纳税人登记管理若干事项的公告》（国家税务总局公告2018年6号）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6</w:t>
            </w:r>
          </w:p>
        </w:tc>
        <w:tc>
          <w:tcPr>
            <w:tcW w:w="578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7</w:t>
            </w:r>
          </w:p>
        </w:tc>
        <w:tc>
          <w:tcPr>
            <w:tcW w:w="5783" w:type="dxa"/>
            <w:vAlign w:val="center"/>
          </w:tcPr>
          <w:p>
            <w:pPr>
              <w:pStyle w:val="50"/>
              <w:adjustRightInd/>
              <w:snapToGrid/>
              <w:spacing w:line="276" w:lineRule="auto"/>
            </w:pPr>
            <w:r>
              <w:rPr>
                <w:rFonts w:hint="eastAsia"/>
              </w:rPr>
              <w:t>《国家税务总局关于小规模纳税人免征增值税政策有关征管问题的公告》（国家税务总局公告2019年第4号）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8</w:t>
            </w:r>
          </w:p>
        </w:tc>
        <w:tc>
          <w:tcPr>
            <w:tcW w:w="5783" w:type="dxa"/>
            <w:vAlign w:val="center"/>
          </w:tcPr>
          <w:p>
            <w:pPr>
              <w:pStyle w:val="50"/>
              <w:adjustRightInd/>
              <w:snapToGrid/>
              <w:spacing w:line="276" w:lineRule="auto"/>
            </w:pPr>
            <w:r>
              <w:rPr>
                <w:rFonts w:hint="eastAsia"/>
              </w:rPr>
              <w:t>《国家税务总局关于调整增值税纳税申报有关事项的公告》（国家税务总局公告2019年第15号）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19</w:t>
            </w:r>
          </w:p>
        </w:tc>
        <w:tc>
          <w:tcPr>
            <w:tcW w:w="5783" w:type="dxa"/>
            <w:vAlign w:val="center"/>
          </w:tcPr>
          <w:p>
            <w:pPr>
              <w:pStyle w:val="50"/>
              <w:adjustRightInd/>
              <w:snapToGrid/>
              <w:spacing w:line="276" w:lineRule="auto"/>
            </w:pPr>
            <w:r>
              <w:rPr>
                <w:rFonts w:hint="eastAsia"/>
              </w:rPr>
              <w:t>《国家税务总局关于增值税网上申报有关问题的通知》（国税发〔2006〕20号）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0</w:t>
            </w:r>
          </w:p>
        </w:tc>
        <w:tc>
          <w:tcPr>
            <w:tcW w:w="5783" w:type="dxa"/>
            <w:vAlign w:val="center"/>
          </w:tcPr>
          <w:p>
            <w:pPr>
              <w:pStyle w:val="50"/>
              <w:adjustRightInd/>
              <w:snapToGrid/>
              <w:spacing w:line="276" w:lineRule="auto"/>
            </w:pPr>
            <w:r>
              <w:rPr>
                <w:rFonts w:hint="eastAsia"/>
              </w:rPr>
              <w:t>《国家税务总局关于推行机动车销售统一发票税控系统有关工作的紧急通知》（国税发〔2008〕117号）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1</w:t>
            </w:r>
          </w:p>
        </w:tc>
        <w:tc>
          <w:tcPr>
            <w:tcW w:w="5783" w:type="dxa"/>
            <w:vAlign w:val="center"/>
          </w:tcPr>
          <w:p>
            <w:pPr>
              <w:pStyle w:val="50"/>
              <w:adjustRightInd/>
              <w:snapToGrid/>
              <w:spacing w:line="276" w:lineRule="auto"/>
            </w:pPr>
            <w:r>
              <w:rPr>
                <w:rFonts w:hint="eastAsia"/>
              </w:rPr>
              <w:t>《国家税务总局关于印发〈增值税一般纳税人纳税辅导期管理办法〉的通知》（国税发〔2010〕40号）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2</w:t>
            </w:r>
          </w:p>
        </w:tc>
        <w:tc>
          <w:tcPr>
            <w:tcW w:w="5783" w:type="dxa"/>
            <w:vAlign w:val="center"/>
          </w:tcPr>
          <w:p>
            <w:pPr>
              <w:pStyle w:val="50"/>
              <w:adjustRightInd/>
              <w:snapToGrid/>
              <w:spacing w:line="276" w:lineRule="auto"/>
            </w:pPr>
            <w:r>
              <w:rPr>
                <w:rFonts w:hint="eastAsia"/>
              </w:rPr>
              <w:t>《国家税务总局关于机动车辆生产企业和经销企业增值税纳税评估有关问题的通知》（国税函〔2006〕546号）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3</w:t>
            </w:r>
          </w:p>
        </w:tc>
        <w:tc>
          <w:tcPr>
            <w:tcW w:w="5783" w:type="dxa"/>
            <w:vAlign w:val="center"/>
          </w:tcPr>
          <w:p>
            <w:pPr>
              <w:pStyle w:val="50"/>
              <w:adjustRightInd/>
              <w:snapToGrid/>
              <w:spacing w:line="276" w:lineRule="auto"/>
            </w:pPr>
            <w:r>
              <w:rPr>
                <w:rFonts w:hint="eastAsia"/>
              </w:rPr>
              <w:t>《国家税务总局关于创新税收服务和管理的意见》（税总发〔2014〕85号）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4</w:t>
            </w:r>
          </w:p>
        </w:tc>
        <w:tc>
          <w:tcPr>
            <w:tcW w:w="5783" w:type="dxa"/>
            <w:vAlign w:val="center"/>
          </w:tcPr>
          <w:p>
            <w:pPr>
              <w:pStyle w:val="50"/>
              <w:adjustRightInd/>
              <w:snapToGrid/>
              <w:spacing w:line="276" w:lineRule="auto"/>
            </w:pPr>
            <w:r>
              <w:rPr>
                <w:rFonts w:hint="eastAsia"/>
              </w:rPr>
              <w:t>《国家税务总局关于加快推行办税事项同城通办的通知》（税总发〔2016〕46号）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5</w:t>
            </w:r>
          </w:p>
        </w:tc>
        <w:tc>
          <w:tcPr>
            <w:tcW w:w="5783" w:type="dxa"/>
            <w:vAlign w:val="center"/>
          </w:tcPr>
          <w:p>
            <w:pPr>
              <w:pStyle w:val="50"/>
              <w:adjustRightInd/>
              <w:snapToGrid/>
              <w:spacing w:line="276" w:lineRule="auto"/>
            </w:pPr>
            <w:r>
              <w:rPr>
                <w:rFonts w:hint="eastAsia"/>
              </w:rPr>
              <w:t>《国家税务总局关于印发〈增值税纳税申报比对管理操作规程（试行）〉的通知》（税总发〔2017〕124号）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6</w:t>
            </w:r>
          </w:p>
        </w:tc>
        <w:tc>
          <w:tcPr>
            <w:tcW w:w="578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6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7</w:t>
            </w:r>
          </w:p>
        </w:tc>
        <w:tc>
          <w:tcPr>
            <w:tcW w:w="578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6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8</w:t>
            </w:r>
          </w:p>
        </w:tc>
        <w:tc>
          <w:tcPr>
            <w:tcW w:w="578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67" w:type="dxa"/>
            <w:vAlign w:val="center"/>
          </w:tcPr>
          <w:p>
            <w:pPr>
              <w:pStyle w:val="50"/>
              <w:adjustRightInd/>
              <w:snapToGrid/>
              <w:spacing w:line="276" w:lineRule="auto"/>
            </w:pPr>
            <w:r>
              <w:rPr>
                <w:rFonts w:hint="eastAsia"/>
              </w:rPr>
              <w:t>依申请公开</w:t>
            </w:r>
          </w:p>
        </w:tc>
      </w:tr>
      <w:bookmarkEnd w:id="19"/>
    </w:tbl>
    <w:p>
      <w:pPr>
        <w:pStyle w:val="30"/>
        <w:wordWrap w:val="0"/>
        <w:topLinePunct w:val="0"/>
        <w:spacing w:before="326" w:after="326"/>
        <w:rPr>
          <w:color w:val="000000" w:themeColor="text1"/>
        </w:rPr>
      </w:pPr>
      <w:bookmarkStart w:id="33" w:name="_Toc31684"/>
      <w:bookmarkStart w:id="34" w:name="_Toc18096112"/>
      <w:bookmarkStart w:id="35" w:name="_Toc20151"/>
      <w:bookmarkStart w:id="36" w:name="_Hlk17898802"/>
      <w:r>
        <w:rPr>
          <w:rFonts w:hint="eastAsia"/>
          <w:color w:val="000000" w:themeColor="text1"/>
        </w:rPr>
        <w:t>3.1.2—06</w:t>
      </w:r>
      <w:r>
        <w:rPr>
          <w:color w:val="000000" w:themeColor="text1"/>
        </w:rPr>
        <w:t>6</w:t>
      </w:r>
      <w:r>
        <w:rPr>
          <w:rFonts w:hint="eastAsia"/>
          <w:color w:val="000000" w:themeColor="text1"/>
        </w:rPr>
        <w:t>　</w:t>
      </w:r>
      <w:r>
        <w:rPr>
          <w:color w:val="000000" w:themeColor="text1"/>
        </w:rPr>
        <w:t>　</w:t>
      </w:r>
      <w:r>
        <w:rPr>
          <w:rFonts w:hint="eastAsia"/>
          <w:color w:val="000000" w:themeColor="text1"/>
        </w:rPr>
        <w:t>增值税小规模纳税人申报</w:t>
      </w:r>
      <w:bookmarkEnd w:id="33"/>
      <w:bookmarkEnd w:id="34"/>
      <w:bookmarkEnd w:id="35"/>
    </w:p>
    <w:bookmarkEnd w:id="36"/>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增值税小规模纳税人申报</w:t>
      </w:r>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增值税小规模纳税人应依照税收法律、法规、规章及其他有关规定，在规定的纳税期限内填报《增值税纳税申报表（小规模纳税人适用）》、附列资料和其他相关资料，向税务机关进行纳税申报。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tbl>
      <w:tblPr>
        <w:tblStyle w:val="18"/>
        <w:tblW w:w="8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01"/>
        <w:gridCol w:w="28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《增值税纳税申报表（小规模纳税人适用）》及其附列资料</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8164" w:type="dxa"/>
            <w:gridSpan w:val="5"/>
            <w:tcBorders>
              <w:top w:val="single" w:color="auto" w:sz="4" w:space="0"/>
              <w:left w:val="single" w:color="auto" w:sz="4" w:space="0"/>
              <w:bottom w:val="single" w:color="auto" w:sz="4" w:space="0"/>
              <w:right w:val="single" w:color="auto" w:sz="4" w:space="0"/>
            </w:tcBorders>
            <w:shd w:val="clear" w:color="auto" w:fill="D8D8D8"/>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2381" w:type="dxa"/>
            <w:gridSpan w:val="2"/>
            <w:tcBorders>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835" w:type="dxa"/>
            <w:tcBorders>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exact"/>
          <w:jc w:val="center"/>
        </w:trPr>
        <w:tc>
          <w:tcPr>
            <w:tcW w:w="2381" w:type="dxa"/>
            <w:gridSpan w:val="2"/>
            <w:tcBorders>
              <w:left w:val="single" w:color="auto" w:sz="4" w:space="0"/>
              <w:right w:val="single" w:color="auto" w:sz="4" w:space="0"/>
            </w:tcBorders>
            <w:vAlign w:val="center"/>
          </w:tcPr>
          <w:p>
            <w:pPr>
              <w:pStyle w:val="16"/>
              <w:spacing w:beforeLines="0" w:afterLines="0" w:line="240" w:lineRule="auto"/>
              <w:ind w:firstLine="0" w:firstLineChars="0"/>
              <w:jc w:val="center"/>
              <w:rPr>
                <w:color w:val="000000" w:themeColor="text1"/>
              </w:rPr>
            </w:pPr>
            <w:bookmarkStart w:id="37" w:name="_Hlk17898831"/>
            <w:r>
              <w:rPr>
                <w:rFonts w:hint="eastAsia" w:ascii="黑体" w:hAnsi="黑体" w:eastAsia="黑体" w:cs="Times New Roman"/>
                <w:color w:val="000000" w:themeColor="text1"/>
                <w:kern w:val="2"/>
                <w:sz w:val="18"/>
                <w:szCs w:val="18"/>
              </w:rPr>
              <w:t>机动车经销企业的纳税人</w:t>
            </w:r>
          </w:p>
        </w:tc>
        <w:tc>
          <w:tcPr>
            <w:tcW w:w="2835"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已开具发票的存根联</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FF0000"/>
              </w:rPr>
            </w:pPr>
          </w:p>
        </w:tc>
      </w:tr>
      <w:bookmarkEnd w:id="3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2015</w:t>
            </w:r>
            <w:r>
              <w:rPr>
                <w:rFonts w:hint="eastAsia"/>
                <w:color w:val="000000" w:themeColor="text1"/>
              </w:rPr>
              <w:t>年</w:t>
            </w:r>
            <w:r>
              <w:rPr>
                <w:rFonts w:hint="eastAsia" w:ascii="Times New Roman" w:hAnsi="Times New Roman"/>
                <w:color w:val="000000" w:themeColor="text1"/>
              </w:rPr>
              <w:t>4</w:t>
            </w:r>
            <w:r>
              <w:rPr>
                <w:rFonts w:hint="eastAsia"/>
                <w:color w:val="000000" w:themeColor="text1"/>
              </w:rPr>
              <w:t>月</w:t>
            </w:r>
            <w:r>
              <w:rPr>
                <w:rFonts w:hint="eastAsia" w:ascii="Times New Roman" w:hAnsi="Times New Roman"/>
                <w:color w:val="000000" w:themeColor="text1"/>
              </w:rPr>
              <w:t>1</w:t>
            </w:r>
            <w:r>
              <w:rPr>
                <w:rFonts w:hint="eastAsia"/>
                <w:color w:val="000000" w:themeColor="text1"/>
              </w:rPr>
              <w:t>日起使用增值税发票系统升级版的，按照有关规定不使用网络办税或不具备网络条件的纳税人</w:t>
            </w:r>
          </w:p>
        </w:tc>
        <w:tc>
          <w:tcPr>
            <w:tcW w:w="28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金税盘或税控盘</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268"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实行预缴方式缴纳增值税的电力产品增值税纳税人</w:t>
            </w:r>
          </w:p>
        </w:tc>
        <w:tc>
          <w:tcPr>
            <w:tcW w:w="28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电力企业增值税销项税额和进项税额传递单</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bookmarkStart w:id="38" w:name="_Hlk15412386"/>
            <w:r>
              <w:rPr>
                <w:color w:val="000000" w:themeColor="text1"/>
              </w:rPr>
              <w:t>使用税控收款机的</w:t>
            </w:r>
            <w:r>
              <w:rPr>
                <w:rFonts w:hint="eastAsia"/>
                <w:color w:val="000000" w:themeColor="text1"/>
              </w:rPr>
              <w:t>纳税人</w:t>
            </w:r>
            <w:bookmarkEnd w:id="38"/>
          </w:p>
        </w:tc>
        <w:tc>
          <w:tcPr>
            <w:tcW w:w="28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bookmarkStart w:id="39" w:name="_Hlk15412350"/>
            <w:r>
              <w:rPr>
                <w:color w:val="000000" w:themeColor="text1"/>
              </w:rPr>
              <w:t>税控收款机用户卡等存储开票信息的存储介质，也可点对点或网络传输开票信息</w:t>
            </w:r>
            <w:bookmarkEnd w:id="39"/>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268"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7"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7"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bookmarkStart w:id="40" w:name="_Hlk12906757"/>
      <w:r>
        <w:rPr>
          <w:rFonts w:cs="Times New Roman"/>
          <w:color w:val="000000" w:themeColor="text1"/>
        </w:rPr>
        <w:t>7.</w:t>
      </w:r>
      <w:r>
        <w:rPr>
          <w:rFonts w:hint="default" w:ascii="宋体" w:hAnsi="宋体" w:cs="Times New Roman"/>
          <w:color w:val="000000" w:themeColor="text1"/>
        </w:rPr>
        <w:t>增值税的纳税期限分别为</w:t>
      </w:r>
      <w:r>
        <w:rPr>
          <w:rFonts w:cs="Times New Roman"/>
          <w:color w:val="000000" w:themeColor="text1"/>
        </w:rPr>
        <w:t>1</w:t>
      </w:r>
      <w:r>
        <w:rPr>
          <w:rFonts w:hint="default" w:ascii="宋体" w:hAnsi="宋体" w:cs="Times New Roman"/>
          <w:color w:val="000000" w:themeColor="text1"/>
        </w:rPr>
        <w:t>日、</w:t>
      </w:r>
      <w:r>
        <w:rPr>
          <w:rFonts w:cs="Times New Roman"/>
          <w:color w:val="000000" w:themeColor="text1"/>
        </w:rPr>
        <w:t>3</w:t>
      </w:r>
      <w:r>
        <w:rPr>
          <w:rFonts w:hint="default" w:ascii="宋体" w:hAnsi="宋体" w:cs="Times New Roman"/>
          <w:color w:val="000000" w:themeColor="text1"/>
        </w:rPr>
        <w:t>日、</w:t>
      </w:r>
      <w:r>
        <w:rPr>
          <w:rFonts w:cs="Times New Roman"/>
          <w:color w:val="000000" w:themeColor="text1"/>
        </w:rPr>
        <w:t>5</w:t>
      </w:r>
      <w:r>
        <w:rPr>
          <w:rFonts w:hint="default" w:ascii="宋体" w:hAnsi="宋体" w:cs="Times New Roman"/>
          <w:color w:val="000000" w:themeColor="text1"/>
        </w:rPr>
        <w:t>日、</w:t>
      </w:r>
      <w:r>
        <w:rPr>
          <w:rFonts w:cs="Times New Roman"/>
          <w:color w:val="000000" w:themeColor="text1"/>
        </w:rPr>
        <w:t>10</w:t>
      </w:r>
      <w:r>
        <w:rPr>
          <w:rFonts w:hint="default" w:ascii="宋体" w:hAnsi="宋体" w:cs="Times New Roman"/>
          <w:color w:val="000000" w:themeColor="text1"/>
        </w:rPr>
        <w:t>日、</w:t>
      </w:r>
      <w:r>
        <w:rPr>
          <w:rFonts w:cs="Times New Roman"/>
          <w:color w:val="000000" w:themeColor="text1"/>
        </w:rPr>
        <w:t>15</w:t>
      </w:r>
      <w:r>
        <w:rPr>
          <w:rFonts w:hint="default" w:ascii="宋体" w:hAnsi="宋体" w:cs="Times New Roman"/>
          <w:color w:val="000000" w:themeColor="text1"/>
        </w:rPr>
        <w:t>日、</w:t>
      </w:r>
      <w:r>
        <w:rPr>
          <w:rFonts w:cs="Times New Roman"/>
          <w:color w:val="000000" w:themeColor="text1"/>
        </w:rPr>
        <w:t>1</w:t>
      </w:r>
      <w:r>
        <w:rPr>
          <w:rFonts w:hint="default" w:ascii="宋体" w:hAnsi="宋体" w:cs="Times New Roman"/>
          <w:color w:val="000000" w:themeColor="text1"/>
        </w:rPr>
        <w:t>个月或者</w:t>
      </w:r>
      <w:r>
        <w:rPr>
          <w:rFonts w:cs="Times New Roman"/>
          <w:color w:val="000000" w:themeColor="text1"/>
        </w:rPr>
        <w:t>1</w:t>
      </w:r>
      <w:r>
        <w:rPr>
          <w:rFonts w:hint="default" w:ascii="宋体" w:hAnsi="宋体" w:cs="Times New Roman"/>
          <w:color w:val="000000" w:themeColor="text1"/>
        </w:rPr>
        <w:t>个季度。纳税人的具体纳税期限，由主管税务机关根据纳税人应纳税额的大小分别核定；不能按照固定期限纳税的，可以按次纳税。纳税人以</w:t>
      </w:r>
      <w:r>
        <w:rPr>
          <w:rFonts w:cs="Times New Roman"/>
          <w:color w:val="000000" w:themeColor="text1"/>
        </w:rPr>
        <w:t>1</w:t>
      </w:r>
      <w:r>
        <w:rPr>
          <w:rFonts w:hint="default" w:ascii="宋体" w:hAnsi="宋体" w:cs="Times New Roman"/>
          <w:color w:val="000000" w:themeColor="text1"/>
        </w:rPr>
        <w:t>个月或者</w:t>
      </w:r>
      <w:r>
        <w:rPr>
          <w:rFonts w:cs="Times New Roman"/>
          <w:color w:val="000000" w:themeColor="text1"/>
        </w:rPr>
        <w:t>1</w:t>
      </w:r>
      <w:r>
        <w:rPr>
          <w:rFonts w:hint="default" w:ascii="宋体" w:hAnsi="宋体" w:cs="Times New Roman"/>
          <w:color w:val="000000" w:themeColor="text1"/>
        </w:rPr>
        <w:t>个季度为</w:t>
      </w:r>
      <w:r>
        <w:rPr>
          <w:rFonts w:cs="Times New Roman"/>
          <w:color w:val="000000" w:themeColor="text1"/>
        </w:rPr>
        <w:t>1</w:t>
      </w:r>
      <w:r>
        <w:rPr>
          <w:rFonts w:hint="default" w:ascii="宋体" w:hAnsi="宋体" w:cs="Times New Roman"/>
          <w:color w:val="000000" w:themeColor="text1"/>
        </w:rPr>
        <w:t>个纳税期的，自期满之日起</w:t>
      </w:r>
      <w:r>
        <w:rPr>
          <w:rFonts w:cs="Times New Roman"/>
          <w:color w:val="000000" w:themeColor="text1"/>
        </w:rPr>
        <w:t>15</w:t>
      </w:r>
      <w:r>
        <w:rPr>
          <w:rFonts w:hint="default" w:ascii="宋体" w:hAnsi="宋体" w:cs="Times New Roman"/>
          <w:color w:val="000000" w:themeColor="text1"/>
        </w:rPr>
        <w:t>日内申报纳税；以</w:t>
      </w:r>
      <w:r>
        <w:rPr>
          <w:rFonts w:cs="Times New Roman"/>
          <w:color w:val="000000" w:themeColor="text1"/>
        </w:rPr>
        <w:t>1</w:t>
      </w:r>
      <w:r>
        <w:rPr>
          <w:rFonts w:hint="default" w:ascii="宋体" w:hAnsi="宋体" w:cs="Times New Roman"/>
          <w:color w:val="000000" w:themeColor="text1"/>
        </w:rPr>
        <w:t>日、</w:t>
      </w:r>
      <w:r>
        <w:rPr>
          <w:rFonts w:cs="Times New Roman"/>
          <w:color w:val="000000" w:themeColor="text1"/>
        </w:rPr>
        <w:t>3</w:t>
      </w:r>
      <w:r>
        <w:rPr>
          <w:rFonts w:hint="default" w:ascii="宋体" w:hAnsi="宋体" w:cs="Times New Roman"/>
          <w:color w:val="000000" w:themeColor="text1"/>
        </w:rPr>
        <w:t>日、</w:t>
      </w:r>
      <w:r>
        <w:rPr>
          <w:rFonts w:cs="Times New Roman"/>
          <w:color w:val="000000" w:themeColor="text1"/>
        </w:rPr>
        <w:t>5</w:t>
      </w:r>
      <w:r>
        <w:rPr>
          <w:rFonts w:hint="default" w:ascii="宋体" w:hAnsi="宋体" w:cs="Times New Roman"/>
          <w:color w:val="000000" w:themeColor="text1"/>
        </w:rPr>
        <w:t>日、</w:t>
      </w:r>
      <w:r>
        <w:rPr>
          <w:rFonts w:cs="Times New Roman"/>
          <w:color w:val="000000" w:themeColor="text1"/>
        </w:rPr>
        <w:t>10</w:t>
      </w:r>
      <w:r>
        <w:rPr>
          <w:rFonts w:hint="default" w:ascii="宋体" w:hAnsi="宋体" w:cs="Times New Roman"/>
          <w:color w:val="000000" w:themeColor="text1"/>
        </w:rPr>
        <w:t>日或者</w:t>
      </w:r>
      <w:r>
        <w:rPr>
          <w:rFonts w:cs="Times New Roman"/>
          <w:color w:val="000000" w:themeColor="text1"/>
        </w:rPr>
        <w:t>15</w:t>
      </w:r>
      <w:r>
        <w:rPr>
          <w:rFonts w:hint="default" w:ascii="宋体" w:hAnsi="宋体" w:cs="Times New Roman"/>
          <w:color w:val="000000" w:themeColor="text1"/>
        </w:rPr>
        <w:t>日为</w:t>
      </w:r>
      <w:r>
        <w:rPr>
          <w:rFonts w:cs="Times New Roman"/>
          <w:color w:val="000000" w:themeColor="text1"/>
        </w:rPr>
        <w:t>1</w:t>
      </w:r>
      <w:r>
        <w:rPr>
          <w:rFonts w:hint="default" w:ascii="宋体" w:hAnsi="宋体" w:cs="Times New Roman"/>
          <w:color w:val="000000" w:themeColor="text1"/>
        </w:rPr>
        <w:t>个纳税期的，自期满之日起</w:t>
      </w:r>
      <w:r>
        <w:rPr>
          <w:rFonts w:cs="Times New Roman"/>
          <w:color w:val="000000" w:themeColor="text1"/>
        </w:rPr>
        <w:t>5</w:t>
      </w:r>
      <w:r>
        <w:rPr>
          <w:rFonts w:hint="default" w:ascii="宋体" w:hAnsi="宋体" w:cs="Times New Roman"/>
          <w:color w:val="000000" w:themeColor="text1"/>
        </w:rPr>
        <w:t>日内预缴税款，于次月</w:t>
      </w:r>
      <w:r>
        <w:rPr>
          <w:rFonts w:cs="Times New Roman"/>
          <w:color w:val="000000" w:themeColor="text1"/>
        </w:rPr>
        <w:t>1</w:t>
      </w:r>
      <w:r>
        <w:rPr>
          <w:rFonts w:hint="default" w:ascii="宋体" w:hAnsi="宋体" w:cs="Times New Roman"/>
          <w:color w:val="000000" w:themeColor="text1"/>
        </w:rPr>
        <w:t>日起</w:t>
      </w:r>
      <w:r>
        <w:rPr>
          <w:rFonts w:cs="Times New Roman"/>
          <w:color w:val="000000" w:themeColor="text1"/>
        </w:rPr>
        <w:t>15</w:t>
      </w:r>
      <w:r>
        <w:rPr>
          <w:rFonts w:hint="default" w:ascii="宋体" w:hAnsi="宋体" w:cs="Times New Roman"/>
          <w:color w:val="000000" w:themeColor="text1"/>
        </w:rPr>
        <w:t>日内申报纳税并结清上月应纳税款。纳税人进口货物，应当自海关填发海关进口增值税专用缴款书之日起</w:t>
      </w:r>
      <w:r>
        <w:rPr>
          <w:rFonts w:cs="Times New Roman"/>
          <w:color w:val="000000" w:themeColor="text1"/>
        </w:rPr>
        <w:t>15</w:t>
      </w:r>
      <w:r>
        <w:rPr>
          <w:rFonts w:hint="default" w:ascii="宋体" w:hAnsi="宋体" w:cs="Times New Roman"/>
          <w:color w:val="000000" w:themeColor="text1"/>
        </w:rPr>
        <w:t>日内缴纳税款。</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按固定期限纳税的小规模纳税人可以选择以</w:t>
      </w:r>
      <w:r>
        <w:rPr>
          <w:rFonts w:cs="Times New Roman"/>
          <w:color w:val="000000" w:themeColor="text1"/>
        </w:rPr>
        <w:t>1</w:t>
      </w:r>
      <w:r>
        <w:rPr>
          <w:rFonts w:hint="default" w:ascii="宋体" w:hAnsi="宋体" w:cs="Times New Roman"/>
          <w:color w:val="000000" w:themeColor="text1"/>
        </w:rPr>
        <w:t>个月或</w:t>
      </w:r>
      <w:r>
        <w:rPr>
          <w:rFonts w:cs="Times New Roman"/>
          <w:color w:val="000000" w:themeColor="text1"/>
        </w:rPr>
        <w:t>1</w:t>
      </w:r>
      <w:r>
        <w:rPr>
          <w:rFonts w:hint="default" w:ascii="宋体" w:hAnsi="宋体" w:cs="Times New Roman"/>
          <w:color w:val="000000" w:themeColor="text1"/>
        </w:rPr>
        <w:t>个季度为纳税期限，一经选择，一个会计年度内不得变更。增值税小规模纳税人缴纳增值税、消费税、文化事业建设费，以及随增值税、消费税附征的城市维护建设税、教育费附加等税费，原则上实行按季申报。</w:t>
      </w:r>
    </w:p>
    <w:p>
      <w:pPr>
        <w:pStyle w:val="16"/>
        <w:spacing w:beforeLines="0" w:afterLines="0"/>
        <w:rPr>
          <w:color w:val="000000" w:themeColor="text1"/>
        </w:rPr>
      </w:pPr>
      <w:r>
        <w:rPr>
          <w:rFonts w:hint="eastAsia" w:ascii="Times New Roman" w:hAnsi="Times New Roman" w:cs="Times New Roman"/>
          <w:color w:val="000000" w:themeColor="text1"/>
          <w:kern w:val="2"/>
        </w:rPr>
        <w:t>9.</w:t>
      </w:r>
      <w:r>
        <w:rPr>
          <w:rFonts w:cs="Times New Roman"/>
          <w:color w:val="000000" w:themeColor="text1"/>
          <w:kern w:val="2"/>
        </w:rPr>
        <w:t>年应税销售额超过小规模纳税人标准的其他个人按小规模纳税人纳税；原增值税纳税人中非企业性单位、不经常发生应税行为的企业可选择按小规模纳税人规定申报缴纳增值税；营改增纳税人中年应税销售额超过规定标准但不经常发生应税行为的单位和个体工商户可选择按照小规模纳税人纳税</w:t>
      </w:r>
      <w:r>
        <w:rPr>
          <w:rFonts w:hint="eastAsia" w:cs="Times New Roman"/>
          <w:color w:val="000000" w:themeColor="text1"/>
          <w:kern w:val="2"/>
        </w:rPr>
        <w:t>。</w:t>
      </w:r>
    </w:p>
    <w:bookmarkEnd w:id="40"/>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小微企业免征规定</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）自</w:t>
      </w:r>
      <w:r>
        <w:rPr>
          <w:rFonts w:cs="Times New Roman"/>
          <w:color w:val="000000" w:themeColor="text1"/>
        </w:rPr>
        <w:t>2019</w:t>
      </w:r>
      <w:r>
        <w:rPr>
          <w:rFonts w:hint="default" w:ascii="宋体" w:hAnsi="宋体" w:cs="Times New Roman"/>
          <w:color w:val="000000" w:themeColor="text1"/>
        </w:rPr>
        <w:t>年</w:t>
      </w:r>
      <w:r>
        <w:rPr>
          <w:rFonts w:cs="Times New Roman"/>
          <w:color w:val="000000" w:themeColor="text1"/>
        </w:rPr>
        <w:t>1</w:t>
      </w:r>
      <w:r>
        <w:rPr>
          <w:rFonts w:hint="default" w:ascii="宋体" w:hAnsi="宋体" w:cs="Times New Roman"/>
          <w:color w:val="000000" w:themeColor="text1"/>
        </w:rPr>
        <w:t>月</w:t>
      </w:r>
      <w:r>
        <w:rPr>
          <w:rFonts w:cs="Times New Roman"/>
          <w:color w:val="000000" w:themeColor="text1"/>
        </w:rPr>
        <w:t>1</w:t>
      </w:r>
      <w:r>
        <w:rPr>
          <w:rFonts w:hint="default" w:ascii="宋体" w:hAnsi="宋体" w:cs="Times New Roman"/>
          <w:color w:val="000000" w:themeColor="text1"/>
        </w:rPr>
        <w:t>日至</w:t>
      </w:r>
      <w:r>
        <w:rPr>
          <w:rFonts w:cs="Times New Roman"/>
          <w:color w:val="000000" w:themeColor="text1"/>
        </w:rPr>
        <w:t>2021</w:t>
      </w:r>
      <w:r>
        <w:rPr>
          <w:rFonts w:hint="default" w:ascii="宋体" w:hAnsi="宋体" w:cs="Times New Roman"/>
          <w:color w:val="000000" w:themeColor="text1"/>
        </w:rPr>
        <w:t>年</w:t>
      </w:r>
      <w:r>
        <w:rPr>
          <w:rFonts w:cs="Times New Roman"/>
          <w:color w:val="000000" w:themeColor="text1"/>
        </w:rPr>
        <w:t>12</w:t>
      </w:r>
      <w:r>
        <w:rPr>
          <w:rFonts w:hint="default" w:ascii="宋体" w:hAnsi="宋体" w:cs="Times New Roman"/>
          <w:color w:val="000000" w:themeColor="text1"/>
        </w:rPr>
        <w:t>月</w:t>
      </w:r>
      <w:r>
        <w:rPr>
          <w:rFonts w:cs="Times New Roman"/>
          <w:color w:val="000000" w:themeColor="text1"/>
        </w:rPr>
        <w:t>31</w:t>
      </w:r>
      <w:r>
        <w:rPr>
          <w:rFonts w:hint="default" w:ascii="宋体" w:hAnsi="宋体" w:cs="Times New Roman"/>
          <w:color w:val="000000" w:themeColor="text1"/>
        </w:rPr>
        <w:t>日，小规模纳税人发生增值税应税销售行为，合计月销售额未超过</w:t>
      </w:r>
      <w:r>
        <w:rPr>
          <w:rFonts w:cs="Times New Roman"/>
          <w:color w:val="000000" w:themeColor="text1"/>
        </w:rPr>
        <w:t>10</w:t>
      </w:r>
      <w:r>
        <w:rPr>
          <w:rFonts w:hint="default" w:ascii="宋体" w:hAnsi="宋体" w:cs="Times New Roman"/>
          <w:color w:val="000000" w:themeColor="text1"/>
        </w:rPr>
        <w:t>万元（以</w:t>
      </w:r>
      <w:r>
        <w:rPr>
          <w:rFonts w:cs="Times New Roman"/>
          <w:color w:val="000000" w:themeColor="text1"/>
        </w:rPr>
        <w:t>1</w:t>
      </w:r>
      <w:r>
        <w:rPr>
          <w:rFonts w:hint="default" w:ascii="宋体" w:hAnsi="宋体" w:cs="Times New Roman"/>
          <w:color w:val="000000" w:themeColor="text1"/>
        </w:rPr>
        <w:t>个季度为</w:t>
      </w:r>
      <w:r>
        <w:rPr>
          <w:rFonts w:cs="Times New Roman"/>
          <w:color w:val="000000" w:themeColor="text1"/>
        </w:rPr>
        <w:t>1</w:t>
      </w:r>
      <w:r>
        <w:rPr>
          <w:rFonts w:hint="default" w:ascii="宋体" w:hAnsi="宋体" w:cs="Times New Roman"/>
          <w:color w:val="000000" w:themeColor="text1"/>
        </w:rPr>
        <w:t>个纳税期的，季度销售额未超过</w:t>
      </w:r>
      <w:r>
        <w:rPr>
          <w:rFonts w:cs="Times New Roman"/>
          <w:color w:val="000000" w:themeColor="text1"/>
        </w:rPr>
        <w:t>30</w:t>
      </w:r>
      <w:r>
        <w:rPr>
          <w:rFonts w:hint="default" w:ascii="宋体" w:hAnsi="宋体" w:cs="Times New Roman"/>
          <w:color w:val="000000" w:themeColor="text1"/>
        </w:rPr>
        <w:t>万元，下同）的，免征增值税。小规模纳税人发生增值税应税销售行为，合计月销售额超过</w:t>
      </w:r>
      <w:r>
        <w:rPr>
          <w:rFonts w:cs="Times New Roman"/>
          <w:color w:val="000000" w:themeColor="text1"/>
        </w:rPr>
        <w:t>10</w:t>
      </w:r>
      <w:r>
        <w:rPr>
          <w:rFonts w:hint="default" w:ascii="宋体" w:hAnsi="宋体" w:cs="Times New Roman"/>
          <w:color w:val="000000" w:themeColor="text1"/>
        </w:rPr>
        <w:t>万元，但扣除本期发生的销售不动产的销售额后未超过</w:t>
      </w:r>
      <w:r>
        <w:rPr>
          <w:rFonts w:cs="Times New Roman"/>
          <w:color w:val="000000" w:themeColor="text1"/>
        </w:rPr>
        <w:t>10</w:t>
      </w:r>
      <w:r>
        <w:rPr>
          <w:rFonts w:hint="default" w:ascii="宋体" w:hAnsi="宋体" w:cs="Times New Roman"/>
          <w:color w:val="000000" w:themeColor="text1"/>
        </w:rPr>
        <w:t>万元的，其销售货物、劳务、服务、无形资产取得的销售额免征增值税。</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）自</w:t>
      </w:r>
      <w:r>
        <w:rPr>
          <w:rFonts w:cs="Times New Roman"/>
          <w:color w:val="000000" w:themeColor="text1"/>
        </w:rPr>
        <w:t>2019</w:t>
      </w:r>
      <w:r>
        <w:rPr>
          <w:rFonts w:hint="default" w:ascii="宋体" w:hAnsi="宋体" w:cs="Times New Roman"/>
          <w:color w:val="000000" w:themeColor="text1"/>
        </w:rPr>
        <w:t>年</w:t>
      </w:r>
      <w:r>
        <w:rPr>
          <w:rFonts w:cs="Times New Roman"/>
          <w:color w:val="000000" w:themeColor="text1"/>
        </w:rPr>
        <w:t>1</w:t>
      </w:r>
      <w:r>
        <w:rPr>
          <w:rFonts w:hint="default" w:ascii="宋体" w:hAnsi="宋体" w:cs="Times New Roman"/>
          <w:color w:val="000000" w:themeColor="text1"/>
        </w:rPr>
        <w:t>月</w:t>
      </w:r>
      <w:r>
        <w:rPr>
          <w:rFonts w:cs="Times New Roman"/>
          <w:color w:val="000000" w:themeColor="text1"/>
        </w:rPr>
        <w:t>1</w:t>
      </w:r>
      <w:r>
        <w:rPr>
          <w:rFonts w:hint="default" w:ascii="宋体" w:hAnsi="宋体" w:cs="Times New Roman"/>
          <w:color w:val="000000" w:themeColor="text1"/>
        </w:rPr>
        <w:t>日起至</w:t>
      </w:r>
      <w:r>
        <w:rPr>
          <w:rFonts w:cs="Times New Roman"/>
          <w:color w:val="000000" w:themeColor="text1"/>
        </w:rPr>
        <w:t>2021</w:t>
      </w:r>
      <w:r>
        <w:rPr>
          <w:rFonts w:hint="default" w:ascii="宋体" w:hAnsi="宋体" w:cs="Times New Roman"/>
          <w:color w:val="000000" w:themeColor="text1"/>
        </w:rPr>
        <w:t>年</w:t>
      </w:r>
      <w:r>
        <w:rPr>
          <w:rFonts w:cs="Times New Roman"/>
          <w:color w:val="000000" w:themeColor="text1"/>
        </w:rPr>
        <w:t>12</w:t>
      </w:r>
      <w:r>
        <w:rPr>
          <w:rFonts w:hint="default" w:ascii="宋体" w:hAnsi="宋体" w:cs="Times New Roman"/>
          <w:color w:val="000000" w:themeColor="text1"/>
        </w:rPr>
        <w:t>月</w:t>
      </w:r>
      <w:r>
        <w:rPr>
          <w:rFonts w:cs="Times New Roman"/>
          <w:color w:val="000000" w:themeColor="text1"/>
        </w:rPr>
        <w:t>31</w:t>
      </w:r>
      <w:r>
        <w:rPr>
          <w:rFonts w:hint="default" w:ascii="宋体" w:hAnsi="宋体" w:cs="Times New Roman"/>
          <w:color w:val="000000" w:themeColor="text1"/>
        </w:rPr>
        <w:t>日，增值税小规模纳税人月销售额不超过</w:t>
      </w:r>
      <w:r>
        <w:rPr>
          <w:rFonts w:cs="Times New Roman"/>
          <w:color w:val="000000" w:themeColor="text1"/>
        </w:rPr>
        <w:t>10</w:t>
      </w:r>
      <w:r>
        <w:rPr>
          <w:rFonts w:hint="default" w:ascii="宋体" w:hAnsi="宋体" w:cs="Times New Roman"/>
          <w:color w:val="000000" w:themeColor="text1"/>
        </w:rPr>
        <w:t>万元的，当期因代开增值税专用发票已经缴纳的税款，在专用发票全部联次追回或者按规定开具红字专用发票后，可以向税务机关申请退还。</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）适用增值税差额征收政策的增值税小规模纳税人，以差额后的销售额确定是否可以享受</w:t>
      </w:r>
      <w:r>
        <w:rPr>
          <w:rFonts w:cs="Times New Roman"/>
          <w:color w:val="000000" w:themeColor="text1"/>
        </w:rPr>
        <w:t>10</w:t>
      </w:r>
      <w:r>
        <w:rPr>
          <w:rFonts w:hint="default" w:ascii="宋体" w:hAnsi="宋体" w:cs="Times New Roman"/>
          <w:color w:val="000000" w:themeColor="text1"/>
        </w:rPr>
        <w:t>万元以下免征增值税政策。</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）其他个人采取一次性收取租金的形式出租不动产，取得的租金收入可在租金对应的租赁期内平均分摊，分摊后的月租金收入不超过</w:t>
      </w:r>
      <w:r>
        <w:rPr>
          <w:rFonts w:cs="Times New Roman"/>
          <w:color w:val="000000" w:themeColor="text1"/>
        </w:rPr>
        <w:t>10</w:t>
      </w:r>
      <w:r>
        <w:rPr>
          <w:rFonts w:hint="default" w:ascii="宋体" w:hAnsi="宋体" w:cs="Times New Roman"/>
          <w:color w:val="000000" w:themeColor="text1"/>
        </w:rPr>
        <w:t>万元的，可享受小微企业免征增值税优惠政策。</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hint="default" w:ascii="宋体" w:hAnsi="宋体" w:cs="Times New Roman"/>
          <w:color w:val="000000" w:themeColor="text1"/>
        </w:rPr>
        <w:t>自</w:t>
      </w:r>
      <w:r>
        <w:rPr>
          <w:rFonts w:cs="Times New Roman"/>
          <w:color w:val="000000" w:themeColor="text1"/>
        </w:rPr>
        <w:t>2019</w:t>
      </w:r>
      <w:r>
        <w:rPr>
          <w:rFonts w:hint="default" w:ascii="宋体" w:hAnsi="宋体" w:cs="Times New Roman"/>
          <w:color w:val="000000" w:themeColor="text1"/>
        </w:rPr>
        <w:t>年</w:t>
      </w:r>
      <w:r>
        <w:rPr>
          <w:rFonts w:cs="Times New Roman"/>
          <w:color w:val="000000" w:themeColor="text1"/>
        </w:rPr>
        <w:t>1</w:t>
      </w:r>
      <w:r>
        <w:rPr>
          <w:rFonts w:hint="default" w:ascii="宋体" w:hAnsi="宋体" w:cs="Times New Roman"/>
          <w:color w:val="000000" w:themeColor="text1"/>
        </w:rPr>
        <w:t>月</w:t>
      </w:r>
      <w:r>
        <w:rPr>
          <w:rFonts w:cs="Times New Roman"/>
          <w:color w:val="000000" w:themeColor="text1"/>
        </w:rPr>
        <w:t>1</w:t>
      </w:r>
      <w:r>
        <w:rPr>
          <w:rFonts w:hint="default" w:ascii="宋体" w:hAnsi="宋体" w:cs="Times New Roman"/>
          <w:color w:val="000000" w:themeColor="text1"/>
        </w:rPr>
        <w:t>日起，增值税小规模纳税人按规定享受的增值税减征税额在《增值税减免税申报明细表》中反映</w:t>
      </w:r>
      <w:r>
        <w:rPr>
          <w:rFonts w:ascii="宋体" w:hAnsi="宋体" w:cs="Times New Roman"/>
          <w:color w:val="000000" w:themeColor="text1"/>
        </w:rPr>
        <w:t>，该表</w:t>
      </w:r>
      <w:r>
        <w:rPr>
          <w:rFonts w:hint="default" w:ascii="宋体" w:hAnsi="宋体" w:cs="Times New Roman"/>
          <w:color w:val="000000" w:themeColor="text1"/>
        </w:rPr>
        <w:t>不包括仅享受月销售额不超过</w:t>
      </w:r>
      <w:r>
        <w:rPr>
          <w:rFonts w:cs="Times New Roman"/>
          <w:color w:val="000000" w:themeColor="text1"/>
        </w:rPr>
        <w:t>10</w:t>
      </w:r>
      <w:r>
        <w:rPr>
          <w:rFonts w:hint="default" w:ascii="宋体" w:hAnsi="宋体" w:cs="Times New Roman"/>
          <w:color w:val="000000" w:themeColor="text1"/>
        </w:rPr>
        <w:t>万元免征增值税政策或未达起征点的增值税小规模纳税人。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12.</w:t>
      </w:r>
      <w:r>
        <w:rPr>
          <w:rFonts w:hint="default" w:ascii="宋体" w:hAnsi="宋体" w:cs="Times New Roman"/>
          <w:color w:val="000000" w:themeColor="text1"/>
        </w:rPr>
        <w:t>纳税人有多缴税金，又存在欠税，可办理抵缴欠税业务。</w:t>
      </w:r>
    </w:p>
    <w:p>
      <w:pPr>
        <w:wordWrap w:val="0"/>
        <w:spacing w:line="360" w:lineRule="auto"/>
        <w:ind w:firstLine="480"/>
        <w:rPr>
          <w:rFonts w:hint="default" w:ascii="宋体" w:hAnsi="宋体" w:cs="Times New Roman"/>
          <w:color w:val="000000" w:themeColor="text1"/>
        </w:rPr>
      </w:pPr>
      <w:r>
        <w:rPr>
          <w:rFonts w:cs="Times New Roman"/>
          <w:color w:val="000000" w:themeColor="text1"/>
        </w:rPr>
        <w:t>13.</w:t>
      </w:r>
      <w:r>
        <w:rPr>
          <w:rFonts w:ascii="宋体" w:hAnsi="宋体" w:cs="Times New Roman"/>
          <w:color w:val="000000" w:themeColor="text1"/>
        </w:rPr>
        <w:t>纳税人享受减税、免税待遇的，在减税、免税期间应当按照规定办理纳税申报，</w:t>
      </w:r>
      <w:r>
        <w:rPr>
          <w:rFonts w:hint="default" w:ascii="宋体" w:hAnsi="宋体" w:cs="Times New Roman"/>
          <w:color w:val="000000" w:themeColor="text1"/>
        </w:rPr>
        <w:t>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firstLineChars="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firstLineChars="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税务机关提供移动办税终端小规模纳税人申报服务。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实行主税附加税合并申报。纳税人申报增值税、消费税，附征的城市维护建设税、教育费附加、地方教育附加自动计算申报，纳税人可以一次性完成主税附加税申报。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税务机关通过电子税务局对临近申报期限结束还未申报的纳税人提供提示提醒服务。</w:t>
      </w:r>
    </w:p>
    <w:p>
      <w:pPr>
        <w:wordWrap w:val="0"/>
        <w:spacing w:line="360" w:lineRule="auto"/>
        <w:ind w:firstLine="480"/>
        <w:rPr>
          <w:rFonts w:hint="default"/>
          <w:color w:val="000000" w:themeColor="text1"/>
        </w:rPr>
      </w:pPr>
      <w:r>
        <w:rPr>
          <w:rFonts w:ascii="黑体" w:hAnsi="黑体" w:eastAsia="黑体" w:cs="Times New Roman"/>
          <w:bCs/>
          <w:color w:val="000000" w:themeColor="text1"/>
        </w:rPr>
        <w:t>【操作规范</w:t>
      </w:r>
      <w:r>
        <w:rPr>
          <w:color w:val="000000" w:themeColor="text1"/>
        </w:rPr>
        <w:t>】</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增值税申报】—【增值税申报（适用于小规模纳税人）】的路径进入功能模块，保存成功后根据系统提示自动跳转至【附加税（费）申报】模块进行申报。</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12"/>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12" w:type="dxa"/>
            <w:vAlign w:val="center"/>
          </w:tcPr>
          <w:p>
            <w:pPr>
              <w:pStyle w:val="33"/>
              <w:adjustRightInd/>
              <w:snapToGrid/>
              <w:spacing w:line="276" w:lineRule="auto"/>
            </w:pPr>
            <w:r>
              <w:rPr>
                <w:rFonts w:hint="eastAsia"/>
              </w:rPr>
              <w:t>文件名称</w:t>
            </w:r>
          </w:p>
        </w:tc>
        <w:tc>
          <w:tcPr>
            <w:tcW w:w="1638"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812" w:type="dxa"/>
            <w:vAlign w:val="center"/>
          </w:tcPr>
          <w:p>
            <w:pPr>
              <w:pStyle w:val="50"/>
              <w:adjustRightInd/>
              <w:snapToGrid/>
              <w:spacing w:line="276" w:lineRule="auto"/>
            </w:pPr>
            <w:r>
              <w:rPr>
                <w:rFonts w:hint="eastAsia"/>
              </w:rPr>
              <w:t>《中华人民共和国税收征收管理法》</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12" w:type="dxa"/>
            <w:vAlign w:val="center"/>
          </w:tcPr>
          <w:p>
            <w:pPr>
              <w:pStyle w:val="50"/>
              <w:adjustRightInd/>
              <w:snapToGrid/>
              <w:spacing w:line="276" w:lineRule="auto"/>
            </w:pPr>
            <w:r>
              <w:rPr>
                <w:rFonts w:hint="eastAsia"/>
              </w:rPr>
              <w:t>《中华人民共和国增值税暂行条例》</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12" w:type="dxa"/>
            <w:vAlign w:val="center"/>
          </w:tcPr>
          <w:p>
            <w:pPr>
              <w:pStyle w:val="50"/>
              <w:adjustRightInd/>
              <w:snapToGrid/>
              <w:spacing w:line="276" w:lineRule="auto"/>
            </w:pPr>
            <w:r>
              <w:rPr>
                <w:rFonts w:hint="eastAsia"/>
              </w:rPr>
              <w:t>《中华人民共和国增值税暂行条例实施细则》（中华人民共和国财政部令第65号令）</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4</w:t>
            </w:r>
          </w:p>
        </w:tc>
        <w:tc>
          <w:tcPr>
            <w:tcW w:w="5812" w:type="dxa"/>
            <w:vAlign w:val="center"/>
          </w:tcPr>
          <w:p>
            <w:pPr>
              <w:pStyle w:val="50"/>
              <w:adjustRightInd/>
              <w:snapToGrid/>
              <w:spacing w:line="276" w:lineRule="auto"/>
            </w:pPr>
            <w:r>
              <w:rPr>
                <w:rFonts w:hint="eastAsia"/>
              </w:rPr>
              <w:t>《税收票证管理办法》（国家税务总局令第28号）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12" w:type="dxa"/>
            <w:vAlign w:val="center"/>
          </w:tcPr>
          <w:p>
            <w:pPr>
              <w:pStyle w:val="50"/>
              <w:adjustRightInd/>
              <w:snapToGrid/>
              <w:spacing w:line="276" w:lineRule="auto"/>
            </w:pPr>
            <w:r>
              <w:rPr>
                <w:rFonts w:hint="eastAsia"/>
              </w:rPr>
              <w:t>《国家税务总局关于增值税网上申报有关问题的通知》（国税发〔</w:t>
            </w:r>
            <w:r>
              <w:t>2006〕20号）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812" w:type="dxa"/>
            <w:vAlign w:val="center"/>
          </w:tcPr>
          <w:p>
            <w:pPr>
              <w:pStyle w:val="50"/>
              <w:adjustRightInd/>
              <w:snapToGrid/>
              <w:spacing w:line="276" w:lineRule="auto"/>
            </w:pPr>
            <w:r>
              <w:rPr>
                <w:rFonts w:hint="eastAsia"/>
              </w:rPr>
              <w:t>《国家税务总局关于实施〈税收票证管理办法〉若干问题的公告》（国家税务总局公告2013年第34号）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812" w:type="dxa"/>
            <w:vAlign w:val="center"/>
          </w:tcPr>
          <w:p>
            <w:pPr>
              <w:pStyle w:val="50"/>
              <w:adjustRightInd/>
              <w:snapToGrid/>
              <w:spacing w:line="276" w:lineRule="auto"/>
            </w:pPr>
            <w:r>
              <w:rPr>
                <w:rFonts w:hint="eastAsia"/>
              </w:rPr>
              <w:t>《国家税务总局关于全面推开营业税改征增值税试点后增值税纳税申报有关事项的公告》（国家税务总局公告</w:t>
            </w:r>
            <w:r>
              <w:t>2016年第13号）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812"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9</w:t>
            </w:r>
          </w:p>
        </w:tc>
        <w:tc>
          <w:tcPr>
            <w:tcW w:w="5812" w:type="dxa"/>
            <w:vAlign w:val="center"/>
          </w:tcPr>
          <w:p>
            <w:pPr>
              <w:pStyle w:val="50"/>
              <w:adjustRightInd/>
              <w:snapToGrid/>
              <w:spacing w:line="276" w:lineRule="auto"/>
            </w:pPr>
            <w:r>
              <w:rPr>
                <w:rFonts w:hint="eastAsia"/>
              </w:rPr>
              <w:t>《国家税务总局关于小规模纳税人免征增值税政策有关征管问题的公告》（国家税务总局公告2019年第4号）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10</w:t>
            </w:r>
          </w:p>
        </w:tc>
        <w:tc>
          <w:tcPr>
            <w:tcW w:w="5812" w:type="dxa"/>
            <w:vAlign w:val="center"/>
          </w:tcPr>
          <w:p>
            <w:pPr>
              <w:pStyle w:val="50"/>
              <w:adjustRightInd/>
              <w:snapToGrid/>
              <w:spacing w:line="276" w:lineRule="auto"/>
            </w:pPr>
            <w:r>
              <w:rPr>
                <w:rFonts w:hint="eastAsia"/>
              </w:rPr>
              <w:t>《国家税务总局关于扩大小规模纳税人自行开具增值税专用发票试点范围等事项的公告》（国家税务总局公告</w:t>
            </w:r>
            <w:r>
              <w:t>2019年第8号</w:t>
            </w:r>
            <w:r>
              <w:rPr>
                <w:rFonts w:hint="eastAsia"/>
              </w:rPr>
              <w:t>）</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1</w:t>
            </w:r>
          </w:p>
        </w:tc>
        <w:tc>
          <w:tcPr>
            <w:tcW w:w="5812" w:type="dxa"/>
            <w:vAlign w:val="center"/>
          </w:tcPr>
          <w:p>
            <w:pPr>
              <w:pStyle w:val="50"/>
              <w:adjustRightInd/>
              <w:snapToGrid/>
              <w:spacing w:line="276" w:lineRule="auto"/>
            </w:pPr>
            <w:r>
              <w:rPr>
                <w:rFonts w:hint="eastAsia"/>
              </w:rPr>
              <w:t>《国家税务总局关于创新税收服务和管理的意见》（税总发〔</w:t>
            </w:r>
            <w:r>
              <w:t>2014〕85号）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12</w:t>
            </w:r>
          </w:p>
        </w:tc>
        <w:tc>
          <w:tcPr>
            <w:tcW w:w="5812" w:type="dxa"/>
            <w:vAlign w:val="center"/>
          </w:tcPr>
          <w:p>
            <w:pPr>
              <w:pStyle w:val="50"/>
              <w:adjustRightInd/>
              <w:snapToGrid/>
              <w:spacing w:line="276" w:lineRule="auto"/>
            </w:pPr>
            <w:r>
              <w:rPr>
                <w:rFonts w:hint="eastAsia"/>
              </w:rPr>
              <w:t>《国家税务总局关于加快推行办税事项同城通办的通知》（税总发〔2016〕46号）</w:t>
            </w:r>
          </w:p>
        </w:tc>
        <w:tc>
          <w:tcPr>
            <w:tcW w:w="16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13</w:t>
            </w:r>
          </w:p>
        </w:tc>
        <w:tc>
          <w:tcPr>
            <w:tcW w:w="5812"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638"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14</w:t>
            </w:r>
          </w:p>
        </w:tc>
        <w:tc>
          <w:tcPr>
            <w:tcW w:w="5812" w:type="dxa"/>
            <w:vAlign w:val="center"/>
          </w:tcPr>
          <w:p>
            <w:pPr>
              <w:pStyle w:val="50"/>
              <w:adjustRightInd/>
              <w:snapToGrid/>
              <w:spacing w:line="276" w:lineRule="auto"/>
            </w:pPr>
            <w:r>
              <w:rPr>
                <w:rFonts w:hint="eastAsia"/>
              </w:rPr>
              <w:t>《国家税务总局关于印发&lt;办税服务厅管理办法&gt;的通知》（税总发〔2018〕189号）</w:t>
            </w:r>
          </w:p>
        </w:tc>
        <w:tc>
          <w:tcPr>
            <w:tcW w:w="1638"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15</w:t>
            </w:r>
          </w:p>
        </w:tc>
        <w:tc>
          <w:tcPr>
            <w:tcW w:w="5812"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38" w:type="dxa"/>
            <w:vAlign w:val="center"/>
          </w:tcPr>
          <w:p>
            <w:pPr>
              <w:pStyle w:val="50"/>
              <w:adjustRightInd/>
              <w:snapToGrid/>
              <w:spacing w:line="276" w:lineRule="auto"/>
            </w:pPr>
            <w:r>
              <w:rPr>
                <w:rFonts w:hint="eastAsia"/>
              </w:rPr>
              <w:t>依申请公开</w:t>
            </w:r>
          </w:p>
        </w:tc>
      </w:tr>
    </w:tbl>
    <w:p>
      <w:pPr>
        <w:pStyle w:val="35"/>
        <w:keepNext w:val="0"/>
        <w:wordWrap w:val="0"/>
        <w:topLinePunct w:val="0"/>
        <w:adjustRightInd/>
        <w:snapToGrid/>
        <w:spacing w:before="326" w:beforeLines="100" w:after="326" w:afterLines="100"/>
        <w:rPr>
          <w:color w:val="000000" w:themeColor="text1"/>
        </w:rPr>
      </w:pPr>
      <w:bookmarkStart w:id="41" w:name="_Toc2309"/>
      <w:bookmarkStart w:id="42" w:name="_Toc18096113"/>
      <w:bookmarkStart w:id="43" w:name="_Toc6673"/>
      <w:bookmarkStart w:id="44" w:name="_Hlk12453672"/>
      <w:r>
        <w:rPr>
          <w:rFonts w:hint="eastAsia"/>
          <w:color w:val="000000" w:themeColor="text1"/>
        </w:rPr>
        <w:t>3.1.3—06</w:t>
      </w:r>
      <w:r>
        <w:rPr>
          <w:color w:val="000000" w:themeColor="text1"/>
        </w:rPr>
        <w:t>7</w:t>
      </w:r>
      <w:r>
        <w:rPr>
          <w:rFonts w:hint="eastAsia"/>
          <w:color w:val="000000" w:themeColor="text1"/>
        </w:rPr>
        <w:t>　</w:t>
      </w:r>
      <w:r>
        <w:rPr>
          <w:color w:val="000000" w:themeColor="text1"/>
        </w:rPr>
        <w:t>　</w:t>
      </w:r>
      <w:r>
        <w:rPr>
          <w:rFonts w:hint="eastAsia"/>
          <w:color w:val="000000" w:themeColor="text1"/>
        </w:rPr>
        <w:t>增值税预缴申报</w:t>
      </w:r>
      <w:bookmarkEnd w:id="41"/>
      <w:bookmarkEnd w:id="42"/>
      <w:bookmarkEnd w:id="43"/>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增值税预缴申报</w:t>
      </w:r>
    </w:p>
    <w:p>
      <w:pPr>
        <w:pStyle w:val="31"/>
        <w:wordWrap w:val="0"/>
        <w:adjustRightInd/>
        <w:snapToGrid/>
        <w:rPr>
          <w:color w:val="000000" w:themeColor="text1"/>
        </w:rPr>
      </w:pPr>
      <w:r>
        <w:rPr>
          <w:rFonts w:hint="eastAsia"/>
          <w:color w:val="000000" w:themeColor="text1"/>
        </w:rPr>
        <w:t>【业务描述】</w:t>
      </w:r>
    </w:p>
    <w:p>
      <w:pPr>
        <w:pStyle w:val="16"/>
        <w:tabs>
          <w:tab w:val="left" w:pos="6237"/>
        </w:tabs>
        <w:spacing w:beforeLines="0" w:afterLines="0"/>
        <w:rPr>
          <w:rFonts w:cs="Times New Roman"/>
          <w:color w:val="000000" w:themeColor="text1"/>
          <w:kern w:val="2"/>
        </w:rPr>
      </w:pPr>
      <w:r>
        <w:rPr>
          <w:rFonts w:cs="Times New Roman"/>
          <w:color w:val="000000" w:themeColor="text1"/>
          <w:kern w:val="2"/>
        </w:rPr>
        <w:t>纳税人（不含其他个人）跨地（市、州）提供建筑服务、房地产开发企业预售自行开发的房地产项目、纳税人（不含其他个人）出租与机构所在地不在同一县（市）的不动产</w:t>
      </w:r>
      <w:r>
        <w:rPr>
          <w:rFonts w:hint="eastAsia" w:cs="Times New Roman"/>
          <w:color w:val="000000" w:themeColor="text1"/>
          <w:kern w:val="2"/>
        </w:rPr>
        <w:t>等</w:t>
      </w:r>
      <w:r>
        <w:rPr>
          <w:rFonts w:cs="Times New Roman"/>
          <w:color w:val="000000" w:themeColor="text1"/>
          <w:kern w:val="2"/>
        </w:rPr>
        <w:t>按规定需要在项目所在地或不动产所在地主管税务机关预缴税款的，需填</w:t>
      </w:r>
      <w:r>
        <w:rPr>
          <w:rFonts w:hint="eastAsia" w:cs="Times New Roman"/>
          <w:color w:val="000000" w:themeColor="text1"/>
          <w:kern w:val="2"/>
        </w:rPr>
        <w:t>报</w:t>
      </w:r>
      <w:r>
        <w:rPr>
          <w:rFonts w:cs="Times New Roman"/>
          <w:color w:val="000000" w:themeColor="text1"/>
          <w:kern w:val="2"/>
        </w:rPr>
        <w:t>《增值税预缴税款表》</w:t>
      </w:r>
      <w:r>
        <w:rPr>
          <w:rFonts w:hint="eastAsia" w:cs="Times New Roman"/>
          <w:color w:val="000000" w:themeColor="text1"/>
          <w:kern w:val="2"/>
        </w:rPr>
        <w:t>及其他相关资料，向税务机关进行纳税申报</w:t>
      </w:r>
      <w:r>
        <w:rPr>
          <w:rFonts w:cs="Times New Roman"/>
          <w:color w:val="000000" w:themeColor="text1"/>
          <w:kern w:val="2"/>
        </w:rPr>
        <w:t>。</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bookmarkEnd w:id="44"/>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73"/>
        <w:gridCol w:w="3262"/>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《增值税预缴税款表》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8D8D8"/>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3262" w:type="dxa"/>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restart"/>
            <w:tcBorders>
              <w:left w:val="single" w:color="auto" w:sz="4" w:space="0"/>
              <w:right w:val="single" w:color="auto" w:sz="4" w:space="0"/>
            </w:tcBorders>
            <w:vAlign w:val="center"/>
          </w:tcPr>
          <w:p>
            <w:pPr>
              <w:pStyle w:val="34"/>
              <w:wordWrap w:val="0"/>
              <w:adjustRightInd/>
              <w:snapToGrid/>
              <w:spacing w:line="240" w:lineRule="auto"/>
            </w:pPr>
            <w:r>
              <w:rPr>
                <w:rFonts w:hint="eastAsia"/>
              </w:rPr>
              <w:t>跨县（市、区）提供建筑服务的纳税人</w:t>
            </w:r>
          </w:p>
        </w:tc>
        <w:tc>
          <w:tcPr>
            <w:tcW w:w="3262" w:type="dxa"/>
            <w:tcBorders>
              <w:left w:val="single" w:color="auto" w:sz="4" w:space="0"/>
              <w:right w:val="single" w:color="auto" w:sz="4" w:space="0"/>
            </w:tcBorders>
            <w:vAlign w:val="center"/>
          </w:tcPr>
          <w:p>
            <w:pPr>
              <w:pStyle w:val="34"/>
              <w:wordWrap w:val="0"/>
              <w:adjustRightInd/>
              <w:snapToGrid/>
              <w:spacing w:line="240" w:lineRule="auto"/>
            </w:pPr>
            <w:r>
              <w:rPr>
                <w:rFonts w:hint="eastAsia"/>
              </w:rPr>
              <w:t>（</w:t>
            </w:r>
            <w:r>
              <w:rPr>
                <w:rFonts w:hint="eastAsia" w:ascii="Times New Roman" w:hAnsi="Times New Roman"/>
              </w:rPr>
              <w:t>1</w:t>
            </w:r>
            <w:r>
              <w:rPr>
                <w:rFonts w:hint="eastAsia"/>
              </w:rPr>
              <w:t>）与发包方签订的建筑合同复印件（加盖纳税人公章）</w:t>
            </w:r>
          </w:p>
        </w:tc>
        <w:tc>
          <w:tcPr>
            <w:tcW w:w="680" w:type="dxa"/>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rPr>
                <w:rFonts w:ascii="仿宋" w:hAnsi="仿宋" w:eastAsia="仿宋"/>
              </w:rPr>
            </w:pPr>
            <w:r>
              <w:rPr>
                <w:rFonts w:hint="eastAsia" w:ascii="Times New Roman" w:hAnsi="Times New Roman"/>
              </w:rPr>
              <w:t>1</w:t>
            </w:r>
            <w:r>
              <w:rPr>
                <w:rFonts w:hint="eastAsia"/>
              </w:rPr>
              <w:t>份</w:t>
            </w:r>
          </w:p>
        </w:tc>
        <w:tc>
          <w:tcPr>
            <w:tcW w:w="2268" w:type="dxa"/>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pPr>
            <w:r>
              <w:rPr>
                <w:rFonts w:hint="eastAsia"/>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262"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w:t>
            </w:r>
            <w:r>
              <w:rPr>
                <w:rFonts w:hint="eastAsia" w:ascii="Times New Roman" w:hAnsi="Times New Roman"/>
                <w:color w:val="000000" w:themeColor="text1"/>
              </w:rPr>
              <w:t>2</w:t>
            </w:r>
            <w:r>
              <w:rPr>
                <w:rFonts w:hint="eastAsia"/>
                <w:color w:val="000000" w:themeColor="text1"/>
              </w:rPr>
              <w:t>）与分包方签订的分包合同复印件（加盖纳税人公章）</w:t>
            </w:r>
          </w:p>
        </w:tc>
        <w:tc>
          <w:tcPr>
            <w:tcW w:w="680"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268" w:type="dxa"/>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262"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w:t>
            </w:r>
            <w:r>
              <w:rPr>
                <w:rFonts w:hint="eastAsia" w:ascii="Times New Roman" w:hAnsi="Times New Roman"/>
                <w:color w:val="000000" w:themeColor="text1"/>
              </w:rPr>
              <w:t>3</w:t>
            </w:r>
            <w:r>
              <w:rPr>
                <w:rFonts w:hint="eastAsia"/>
                <w:color w:val="000000" w:themeColor="text1"/>
              </w:rPr>
              <w:t>）从分包方取得的发票复印件（加盖纳税人公章）</w:t>
            </w:r>
          </w:p>
        </w:tc>
        <w:tc>
          <w:tcPr>
            <w:tcW w:w="680" w:type="dxa"/>
            <w:vMerge w:val="continue"/>
            <w:tcBorders>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268" w:type="dxa"/>
            <w:vMerge w:val="continue"/>
            <w:tcBorders>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bookmarkStart w:id="45" w:name="_Hlk12454360"/>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rFonts w:ascii="宋体" w:hAnsi="宋体" w:eastAsia="宋体"/>
          <w:bCs w:val="0"/>
          <w:color w:val="000000" w:themeColor="text1"/>
        </w:rPr>
      </w:pPr>
      <w:r>
        <w:rPr>
          <w:color w:val="000000" w:themeColor="text1"/>
        </w:rPr>
        <w:drawing>
          <wp:inline distT="0" distB="0" distL="114300" distR="114300">
            <wp:extent cx="5184140" cy="1765935"/>
            <wp:effectExtent l="0" t="0" r="10160" b="0"/>
            <wp:docPr id="8"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8"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纳税人使用《增值税预缴税款表》在异地办理预缴税款时，应填报注册地纳税人识别号。</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bookmarkEnd w:id="45"/>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纳税人（不含其他个人）</w:t>
      </w:r>
      <w:r>
        <w:rPr>
          <w:rFonts w:ascii="宋体" w:hAnsi="宋体" w:cs="Times New Roman"/>
          <w:color w:val="000000" w:themeColor="text1"/>
        </w:rPr>
        <w:t>跨地（市、州）</w:t>
      </w:r>
      <w:r>
        <w:rPr>
          <w:rFonts w:hint="default" w:ascii="宋体" w:hAnsi="宋体" w:cs="Times New Roman"/>
          <w:color w:val="000000" w:themeColor="text1"/>
        </w:rPr>
        <w:t>提供建筑服务：</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）向建筑服务发生地主管</w:t>
      </w:r>
      <w:r>
        <w:rPr>
          <w:rFonts w:ascii="宋体" w:hAnsi="宋体" w:cs="Times New Roman"/>
          <w:color w:val="000000" w:themeColor="text1"/>
        </w:rPr>
        <w:t>税务</w:t>
      </w:r>
      <w:r>
        <w:rPr>
          <w:rFonts w:hint="default" w:ascii="宋体" w:hAnsi="宋体" w:cs="Times New Roman"/>
          <w:color w:val="000000" w:themeColor="text1"/>
        </w:rPr>
        <w:t>机关预缴的增值税税款，可以在当期增值税应纳税额中抵减，抵减不完的，结转下期继续抵减。纳税人以预缴税款抵减应纳税额，应以完税凭证作为合法有效凭证。</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）不能自行开具增值税发票的小规模纳税人，可向建筑服务发生地主管</w:t>
      </w:r>
      <w:r>
        <w:rPr>
          <w:rFonts w:ascii="宋体" w:hAnsi="宋体" w:cs="Times New Roman"/>
          <w:color w:val="000000" w:themeColor="text1"/>
        </w:rPr>
        <w:t>税务</w:t>
      </w:r>
      <w:r>
        <w:rPr>
          <w:rFonts w:hint="default" w:ascii="宋体" w:hAnsi="宋体" w:cs="Times New Roman"/>
          <w:color w:val="000000" w:themeColor="text1"/>
        </w:rPr>
        <w:t>机关按照其取得的全部价款和价外费用申请代开增值税发票。</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纳税人（不含其他个人）出租与机构所在地不在同一县（市）的不动产：</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）应在取得租金的次月纳税申报期或不动产所在地主管</w:t>
      </w:r>
      <w:r>
        <w:rPr>
          <w:rFonts w:ascii="宋体" w:hAnsi="宋体" w:cs="Times New Roman"/>
          <w:color w:val="000000" w:themeColor="text1"/>
        </w:rPr>
        <w:t>税务</w:t>
      </w:r>
      <w:r>
        <w:rPr>
          <w:rFonts w:hint="default" w:ascii="宋体" w:hAnsi="宋体" w:cs="Times New Roman"/>
          <w:color w:val="000000" w:themeColor="text1"/>
        </w:rPr>
        <w:t>机关核定的纳税期限预缴税款。</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）纳税人提供租赁服务采取预收款方式的，其纳税义务发生时间为收到预收款的当天。</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）向不动产所在地主管</w:t>
      </w:r>
      <w:r>
        <w:rPr>
          <w:rFonts w:ascii="宋体" w:hAnsi="宋体" w:cs="Times New Roman"/>
          <w:color w:val="000000" w:themeColor="text1"/>
        </w:rPr>
        <w:t>税务</w:t>
      </w:r>
      <w:r>
        <w:rPr>
          <w:rFonts w:hint="default" w:ascii="宋体" w:hAnsi="宋体" w:cs="Times New Roman"/>
          <w:color w:val="000000" w:themeColor="text1"/>
        </w:rPr>
        <w:t>机关预缴的增值税款，可以在当期增值税应纳税额中抵减，抵减不完的，结转下期继续抵减。纳税人以预缴税款抵减应纳税额，应以完税凭证作为合法有效凭证。</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）不能自行开具增值税发票的小规模纳税人，可向不动产所在地主管税</w:t>
      </w:r>
      <w:r>
        <w:rPr>
          <w:rFonts w:ascii="宋体" w:hAnsi="宋体" w:cs="Times New Roman"/>
          <w:color w:val="000000" w:themeColor="text1"/>
        </w:rPr>
        <w:t>务</w:t>
      </w:r>
      <w:r>
        <w:rPr>
          <w:rFonts w:hint="default" w:ascii="宋体" w:hAnsi="宋体" w:cs="Times New Roman"/>
          <w:color w:val="000000" w:themeColor="text1"/>
        </w:rPr>
        <w:t>机关申请代开增值税发票。</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房地产开发企业预售自行开发的房地产项目：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）纳税人应在取得预收款的次月纳税申报期向主管税</w:t>
      </w:r>
      <w:r>
        <w:rPr>
          <w:rFonts w:ascii="宋体" w:hAnsi="宋体" w:cs="Times New Roman"/>
          <w:color w:val="000000" w:themeColor="text1"/>
        </w:rPr>
        <w:t>务</w:t>
      </w:r>
      <w:r>
        <w:rPr>
          <w:rFonts w:hint="default" w:ascii="宋体" w:hAnsi="宋体" w:cs="Times New Roman"/>
          <w:color w:val="000000" w:themeColor="text1"/>
        </w:rPr>
        <w:t>机关预缴税款。</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）向税</w:t>
      </w:r>
      <w:r>
        <w:rPr>
          <w:rFonts w:ascii="宋体" w:hAnsi="宋体" w:cs="Times New Roman"/>
          <w:color w:val="000000" w:themeColor="text1"/>
        </w:rPr>
        <w:t>务</w:t>
      </w:r>
      <w:r>
        <w:rPr>
          <w:rFonts w:hint="default" w:ascii="宋体" w:hAnsi="宋体" w:cs="Times New Roman"/>
          <w:color w:val="000000" w:themeColor="text1"/>
        </w:rPr>
        <w:t>机关预缴的增值税税款，可以在当期增值税应纳税额中抵减，抵减不完的，结转下期继续抵减。纳税人以预缴税款抵减应纳税额，应以完税凭证作为合法有效凭证。</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）不能自行开具增值税发票的小规模纳税人，可向项目所在地主管税</w:t>
      </w:r>
      <w:r>
        <w:rPr>
          <w:rFonts w:ascii="宋体" w:hAnsi="宋体" w:cs="Times New Roman"/>
          <w:color w:val="000000" w:themeColor="text1"/>
        </w:rPr>
        <w:t>务</w:t>
      </w:r>
      <w:r>
        <w:rPr>
          <w:rFonts w:hint="default" w:ascii="宋体" w:hAnsi="宋体" w:cs="Times New Roman"/>
          <w:color w:val="000000" w:themeColor="text1"/>
        </w:rPr>
        <w:t>机关申请代开增值税发票。</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hint="default" w:ascii="宋体" w:hAnsi="宋体" w:cs="Times New Roman"/>
          <w:color w:val="000000" w:themeColor="text1"/>
        </w:rPr>
        <w:t>纳税人提供建筑服务取得预收款</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）在收到预收款时，以取得的预收款扣除支付的分包款后的余额，按照规定的预征率预缴增值税</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w:t>
      </w:r>
      <w:r>
        <w:rPr>
          <w:rFonts w:ascii="宋体" w:hAnsi="宋体" w:cs="Times New Roman"/>
          <w:color w:val="000000" w:themeColor="text1"/>
        </w:rPr>
        <w:t>适用一般计税方法计税的项目预征率为</w:t>
      </w:r>
      <w:r>
        <w:rPr>
          <w:rFonts w:cs="Times New Roman"/>
          <w:color w:val="000000" w:themeColor="text1"/>
        </w:rPr>
        <w:t>2</w:t>
      </w:r>
      <w:r>
        <w:rPr>
          <w:rFonts w:hint="default" w:ascii="宋体" w:hAnsi="宋体" w:cs="Times New Roman"/>
          <w:color w:val="000000" w:themeColor="text1"/>
        </w:rPr>
        <w:t>%，适用简易计税方法计税的项目预征率为</w:t>
      </w:r>
      <w:r>
        <w:rPr>
          <w:rFonts w:cs="Times New Roman"/>
          <w:color w:val="000000" w:themeColor="text1"/>
        </w:rPr>
        <w:t>3</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w:t>
      </w:r>
      <w:r>
        <w:rPr>
          <w:rFonts w:ascii="宋体" w:hAnsi="宋体" w:cs="Times New Roman"/>
          <w:color w:val="000000" w:themeColor="text1"/>
        </w:rPr>
        <w:t>按照现行规定应在建筑服务发生地预缴增值税的项目，纳税人收到预收款时在建筑服务发生地预缴增值税。按照现行规定无需在建筑服务发生地预缴增值税的项目，纳税人收到预收款时在机构所在地预缴增值税。</w:t>
      </w:r>
    </w:p>
    <w:p>
      <w:pPr>
        <w:pStyle w:val="16"/>
        <w:spacing w:beforeLines="0" w:afterLines="0"/>
        <w:ind w:left="-226" w:right="-226" w:firstLine="720" w:firstLineChars="300"/>
        <w:rPr>
          <w:rFonts w:cs="Times New Roman"/>
          <w:color w:val="000000" w:themeColor="text1"/>
          <w:kern w:val="2"/>
        </w:rPr>
      </w:pPr>
      <w:r>
        <w:rPr>
          <w:rFonts w:hint="eastAsia" w:ascii="Times New Roman" w:hAnsi="Times New Roman" w:cs="Times New Roman"/>
          <w:color w:val="000000" w:themeColor="text1"/>
          <w:kern w:val="2"/>
        </w:rPr>
        <w:t>12.</w:t>
      </w:r>
      <w:r>
        <w:rPr>
          <w:rFonts w:hint="eastAsia" w:cs="Times New Roman"/>
          <w:color w:val="000000" w:themeColor="text1"/>
          <w:kern w:val="2"/>
        </w:rPr>
        <w:t>纳税人（不含其他个人）转让其取得的不动产：</w:t>
      </w:r>
    </w:p>
    <w:p>
      <w:pPr>
        <w:pStyle w:val="16"/>
        <w:spacing w:beforeLines="0" w:afterLines="0"/>
        <w:ind w:right="-226"/>
        <w:rPr>
          <w:rFonts w:cs="Times New Roman"/>
          <w:color w:val="000000" w:themeColor="text1"/>
          <w:kern w:val="2"/>
        </w:rPr>
      </w:pPr>
      <w:r>
        <w:rPr>
          <w:rFonts w:hint="eastAsia"/>
          <w:color w:val="000000" w:themeColor="text1"/>
        </w:rPr>
        <w:t>（</w:t>
      </w:r>
      <w:r>
        <w:rPr>
          <w:rFonts w:hint="eastAsia" w:ascii="Times New Roman" w:hAnsi="Times New Roman" w:cs="Times New Roman"/>
          <w:color w:val="000000" w:themeColor="text1"/>
        </w:rPr>
        <w:t>1</w:t>
      </w:r>
      <w:r>
        <w:rPr>
          <w:color w:val="000000" w:themeColor="text1"/>
        </w:rPr>
        <w:t>）</w:t>
      </w:r>
      <w:r>
        <w:rPr>
          <w:rFonts w:hint="eastAsia" w:cs="Times New Roman"/>
          <w:color w:val="000000" w:themeColor="text1"/>
          <w:kern w:val="2"/>
        </w:rPr>
        <w:t>向不动产所在地主管税务机关预缴的增值税款，可以在当期增值税应纳税额中抵减，抵减不完的转下期继续抵减。纳税人以预缴税款抵减应纳税额应以完税凭证作为合法有效凭证。</w:t>
      </w:r>
    </w:p>
    <w:p>
      <w:pPr>
        <w:pStyle w:val="16"/>
        <w:spacing w:beforeLines="0" w:afterLines="0"/>
        <w:ind w:right="-226"/>
        <w:rPr>
          <w:rFonts w:cs="Times New Roman"/>
          <w:color w:val="000000" w:themeColor="text1"/>
          <w:kern w:val="2"/>
        </w:rPr>
      </w:pPr>
      <w:r>
        <w:rPr>
          <w:rFonts w:hint="eastAsia"/>
          <w:color w:val="000000" w:themeColor="text1"/>
        </w:rPr>
        <w:t>（</w:t>
      </w:r>
      <w:r>
        <w:rPr>
          <w:rFonts w:hint="eastAsia" w:ascii="Times New Roman" w:hAnsi="Times New Roman" w:cs="Times New Roman"/>
          <w:color w:val="000000" w:themeColor="text1"/>
        </w:rPr>
        <w:t>2</w:t>
      </w:r>
      <w:r>
        <w:rPr>
          <w:color w:val="000000" w:themeColor="text1"/>
        </w:rPr>
        <w:t>）</w:t>
      </w:r>
      <w:r>
        <w:rPr>
          <w:rFonts w:hint="eastAsia" w:cs="Times New Roman"/>
          <w:color w:val="000000" w:themeColor="text1"/>
          <w:kern w:val="2"/>
        </w:rPr>
        <w:t>小规模纳税人转让其取得的不动产，不能自行开具增值税发票的，可向不动产所在地主管税务机关申请代开。</w:t>
      </w:r>
    </w:p>
    <w:p>
      <w:pPr>
        <w:wordWrap w:val="0"/>
        <w:spacing w:line="360" w:lineRule="auto"/>
        <w:ind w:firstLine="480"/>
        <w:rPr>
          <w:rFonts w:hint="default" w:ascii="宋体" w:hAnsi="宋体" w:cs="Times New Roman"/>
          <w:color w:val="000000" w:themeColor="text1"/>
        </w:rPr>
      </w:pPr>
      <w:r>
        <w:rPr>
          <w:rFonts w:cs="Times New Roman"/>
          <w:color w:val="000000" w:themeColor="text1"/>
        </w:rPr>
        <w:t>13.</w:t>
      </w:r>
      <w:r>
        <w:rPr>
          <w:rFonts w:ascii="宋体" w:hAnsi="宋体" w:cs="Times New Roman"/>
          <w:color w:val="000000" w:themeColor="text1"/>
        </w:rPr>
        <w:t>纳税人按照规定从取得的全部价款和价外费用中扣除支付的分包款，应当取得符合法律、行政法规和国家税务总局规定的合法有效凭证，包括：</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）从分包方取得的</w:t>
      </w:r>
      <w:r>
        <w:rPr>
          <w:rFonts w:cs="Times New Roman"/>
          <w:color w:val="000000" w:themeColor="text1"/>
        </w:rPr>
        <w:t>2016</w:t>
      </w:r>
      <w:r>
        <w:rPr>
          <w:rFonts w:hint="default" w:ascii="宋体" w:hAnsi="宋体" w:cs="Times New Roman"/>
          <w:color w:val="000000" w:themeColor="text1"/>
        </w:rPr>
        <w:t>年</w:t>
      </w:r>
      <w:r>
        <w:rPr>
          <w:rFonts w:cs="Times New Roman"/>
          <w:color w:val="000000" w:themeColor="text1"/>
        </w:rPr>
        <w:t>4</w:t>
      </w:r>
      <w:r>
        <w:rPr>
          <w:rFonts w:hint="default" w:ascii="宋体" w:hAnsi="宋体" w:cs="Times New Roman"/>
          <w:color w:val="000000" w:themeColor="text1"/>
        </w:rPr>
        <w:t>月</w:t>
      </w:r>
      <w:r>
        <w:rPr>
          <w:rFonts w:cs="Times New Roman"/>
          <w:color w:val="000000" w:themeColor="text1"/>
        </w:rPr>
        <w:t>30</w:t>
      </w:r>
      <w:r>
        <w:rPr>
          <w:rFonts w:hint="default" w:ascii="宋体" w:hAnsi="宋体" w:cs="Times New Roman"/>
          <w:color w:val="000000" w:themeColor="text1"/>
        </w:rPr>
        <w:t>日前开具的建筑业营业税发票。上述建筑业营业税发票在</w:t>
      </w:r>
      <w:r>
        <w:rPr>
          <w:rFonts w:cs="Times New Roman"/>
          <w:color w:val="000000" w:themeColor="text1"/>
        </w:rPr>
        <w:t>2016</w:t>
      </w:r>
      <w:r>
        <w:rPr>
          <w:rFonts w:hint="default" w:ascii="宋体" w:hAnsi="宋体" w:cs="Times New Roman"/>
          <w:color w:val="000000" w:themeColor="text1"/>
        </w:rPr>
        <w:t>年</w:t>
      </w:r>
      <w:r>
        <w:rPr>
          <w:rFonts w:cs="Times New Roman"/>
          <w:color w:val="000000" w:themeColor="text1"/>
        </w:rPr>
        <w:t>6</w:t>
      </w:r>
      <w:r>
        <w:rPr>
          <w:rFonts w:hint="default" w:ascii="宋体" w:hAnsi="宋体" w:cs="Times New Roman"/>
          <w:color w:val="000000" w:themeColor="text1"/>
        </w:rPr>
        <w:t>月</w:t>
      </w:r>
      <w:r>
        <w:rPr>
          <w:rFonts w:cs="Times New Roman"/>
          <w:color w:val="000000" w:themeColor="text1"/>
        </w:rPr>
        <w:t>30</w:t>
      </w:r>
      <w:r>
        <w:rPr>
          <w:rFonts w:hint="default" w:ascii="宋体" w:hAnsi="宋体" w:cs="Times New Roman"/>
          <w:color w:val="000000" w:themeColor="text1"/>
        </w:rPr>
        <w:t>日前可作为预缴税款的扣除凭证。</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）从分包方取得的</w:t>
      </w:r>
      <w:r>
        <w:rPr>
          <w:rFonts w:cs="Times New Roman"/>
          <w:color w:val="000000" w:themeColor="text1"/>
        </w:rPr>
        <w:t>2016</w:t>
      </w:r>
      <w:r>
        <w:rPr>
          <w:rFonts w:hint="default" w:ascii="宋体" w:hAnsi="宋体" w:cs="Times New Roman"/>
          <w:color w:val="000000" w:themeColor="text1"/>
        </w:rPr>
        <w:t>年</w:t>
      </w:r>
      <w:r>
        <w:rPr>
          <w:rFonts w:cs="Times New Roman"/>
          <w:color w:val="000000" w:themeColor="text1"/>
        </w:rPr>
        <w:t>5</w:t>
      </w:r>
      <w:r>
        <w:rPr>
          <w:rFonts w:hint="default" w:ascii="宋体" w:hAnsi="宋体" w:cs="Times New Roman"/>
          <w:color w:val="000000" w:themeColor="text1"/>
        </w:rPr>
        <w:t>月</w:t>
      </w:r>
      <w:r>
        <w:rPr>
          <w:rFonts w:cs="Times New Roman"/>
          <w:color w:val="000000" w:themeColor="text1"/>
        </w:rPr>
        <w:t>1</w:t>
      </w:r>
      <w:r>
        <w:rPr>
          <w:rFonts w:hint="default" w:ascii="宋体" w:hAnsi="宋体" w:cs="Times New Roman"/>
          <w:color w:val="000000" w:themeColor="text1"/>
        </w:rPr>
        <w:t>日后开具的，备注栏注明建筑服务发生地所在县（市、区）、项目名称的增值税发票。</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）国家税务总局规定的其他凭证。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14.</w:t>
      </w:r>
      <w:r>
        <w:rPr>
          <w:rFonts w:hint="default" w:ascii="宋体" w:hAnsi="宋体" w:cs="Times New Roman"/>
          <w:color w:val="000000" w:themeColor="text1"/>
        </w:rPr>
        <w:t>《增值税预缴税款表》各预征项目设置如下预征率：</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）建筑安装：</w:t>
      </w:r>
      <w:r>
        <w:rPr>
          <w:rFonts w:cs="Times New Roman"/>
          <w:color w:val="000000" w:themeColor="text1"/>
        </w:rPr>
        <w:t>2</w:t>
      </w: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）销售不动产：</w:t>
      </w:r>
      <w:r>
        <w:rPr>
          <w:rFonts w:cs="Times New Roman"/>
          <w:color w:val="000000" w:themeColor="text1"/>
        </w:rPr>
        <w:t>3</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）出租不动产：</w:t>
      </w:r>
      <w:r>
        <w:rPr>
          <w:rFonts w:cs="Times New Roman"/>
          <w:color w:val="000000" w:themeColor="text1"/>
        </w:rPr>
        <w:t>3</w:t>
      </w:r>
      <w:r>
        <w:rPr>
          <w:rFonts w:hint="default" w:ascii="宋体" w:hAnsi="宋体" w:cs="Times New Roman"/>
          <w:color w:val="000000" w:themeColor="text1"/>
        </w:rPr>
        <w:t>%、</w:t>
      </w:r>
      <w:r>
        <w:rPr>
          <w:rFonts w:cs="Times New Roman"/>
          <w:color w:val="000000" w:themeColor="text1"/>
        </w:rPr>
        <w:t>5</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）个体工商户出租住房：按照</w:t>
      </w:r>
      <w:r>
        <w:rPr>
          <w:rFonts w:cs="Times New Roman"/>
          <w:color w:val="000000" w:themeColor="text1"/>
        </w:rPr>
        <w:t>5</w:t>
      </w:r>
      <w:r>
        <w:rPr>
          <w:rFonts w:hint="default" w:ascii="宋体" w:hAnsi="宋体" w:cs="Times New Roman"/>
          <w:color w:val="000000" w:themeColor="text1"/>
        </w:rPr>
        <w:t>%的征收率减按</w:t>
      </w:r>
      <w:r>
        <w:rPr>
          <w:rFonts w:cs="Times New Roman"/>
          <w:color w:val="000000" w:themeColor="text1"/>
        </w:rPr>
        <w:t>1.5</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15.</w:t>
      </w:r>
      <w:r>
        <w:rPr>
          <w:rFonts w:ascii="宋体" w:hAnsi="宋体" w:cs="Times New Roman"/>
          <w:color w:val="000000" w:themeColor="text1"/>
        </w:rPr>
        <w:t>按照现行规定应当预缴增值税税款的小规模纳税人，凡在预缴地实现的月销售额未超过</w:t>
      </w:r>
      <w:r>
        <w:rPr>
          <w:rFonts w:cs="Times New Roman"/>
          <w:color w:val="000000" w:themeColor="text1"/>
        </w:rPr>
        <w:t>10</w:t>
      </w:r>
      <w:r>
        <w:rPr>
          <w:rFonts w:hint="default" w:ascii="宋体" w:hAnsi="宋体" w:cs="Times New Roman"/>
          <w:color w:val="000000" w:themeColor="text1"/>
        </w:rPr>
        <w:t>万元（以</w:t>
      </w:r>
      <w:r>
        <w:rPr>
          <w:rFonts w:cs="Times New Roman"/>
          <w:color w:val="000000" w:themeColor="text1"/>
        </w:rPr>
        <w:t>1</w:t>
      </w:r>
      <w:r>
        <w:rPr>
          <w:rFonts w:hint="default" w:ascii="宋体" w:hAnsi="宋体" w:cs="Times New Roman"/>
          <w:color w:val="000000" w:themeColor="text1"/>
        </w:rPr>
        <w:t>个季度为</w:t>
      </w:r>
      <w:r>
        <w:rPr>
          <w:rFonts w:cs="Times New Roman"/>
          <w:color w:val="000000" w:themeColor="text1"/>
        </w:rPr>
        <w:t>1</w:t>
      </w:r>
      <w:r>
        <w:rPr>
          <w:rFonts w:hint="default" w:ascii="宋体" w:hAnsi="宋体" w:cs="Times New Roman"/>
          <w:color w:val="000000" w:themeColor="text1"/>
        </w:rPr>
        <w:t>个纳税期的，季度销售额未超过</w:t>
      </w:r>
      <w:r>
        <w:rPr>
          <w:rFonts w:cs="Times New Roman"/>
          <w:color w:val="000000" w:themeColor="text1"/>
        </w:rPr>
        <w:t>30</w:t>
      </w:r>
      <w:r>
        <w:rPr>
          <w:rFonts w:hint="default" w:ascii="宋体" w:hAnsi="宋体" w:cs="Times New Roman"/>
          <w:color w:val="000000" w:themeColor="text1"/>
        </w:rPr>
        <w:t>万元）的，当期无需预缴税款。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16.</w:t>
      </w:r>
      <w:r>
        <w:rPr>
          <w:rFonts w:ascii="宋体" w:hAnsi="宋体" w:cs="Times New Roman"/>
          <w:color w:val="000000" w:themeColor="text1"/>
        </w:rPr>
        <w:t>纳税人有多缴税金，又存在欠税，可办理抵缴欠税业务。</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w:t>
      </w:r>
      <w:r>
        <w:rPr>
          <w:rFonts w:hint="default" w:ascii="宋体" w:hAnsi="宋体" w:cs="Times New Roman"/>
          <w:bCs/>
          <w:color w:val="000000" w:themeColor="text1"/>
        </w:rPr>
        <w:t>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实行主税附加税合并申报。纳税人申报增值税、附征的城市维护建设税、教育费附加、地方教育附加自动计算申报，纳税人可以一次性完成主税附加税申报。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税务机关能够获取相关信息的，可不再报送纸质资料。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税务机关通过电子税务局对临近申报期限结束还未申报的纳税人提供提示提醒服务。</w:t>
      </w:r>
    </w:p>
    <w:p>
      <w:pPr>
        <w:wordWrap w:val="0"/>
        <w:spacing w:line="360" w:lineRule="auto"/>
        <w:ind w:firstLine="480"/>
        <w:rPr>
          <w:rFonts w:hint="default"/>
          <w:color w:val="000000" w:themeColor="text1"/>
        </w:rPr>
      </w:pPr>
      <w:r>
        <w:rPr>
          <w:rFonts w:ascii="黑体" w:hAnsi="黑体" w:eastAsia="黑体" w:cs="Times New Roman"/>
          <w:bCs/>
          <w:color w:val="000000" w:themeColor="text1"/>
        </w:rPr>
        <w:t>【操作规范</w:t>
      </w:r>
      <w:r>
        <w:rPr>
          <w:color w:val="000000" w:themeColor="text1"/>
        </w:rPr>
        <w:t>】</w:t>
      </w:r>
    </w:p>
    <w:p>
      <w:pPr>
        <w:wordWrap w:val="0"/>
        <w:spacing w:line="360" w:lineRule="auto"/>
        <w:ind w:firstLine="480" w:firstLineChars="0"/>
        <w:rPr>
          <w:rFonts w:hint="default" w:cs="Times New Roman"/>
          <w:color w:val="000000" w:themeColor="text1"/>
        </w:rPr>
      </w:pPr>
      <w:r>
        <w:rPr>
          <w:rFonts w:cs="Times New Roman"/>
          <w:color w:val="000000" w:themeColor="text1"/>
        </w:rPr>
        <w:t>1</w:t>
      </w:r>
      <w:r>
        <w:rPr>
          <w:rFonts w:hint="default" w:cs="Times New Roman"/>
          <w:color w:val="000000" w:themeColor="text1"/>
        </w:rPr>
        <w:t>.</w:t>
      </w:r>
      <w:r>
        <w:rPr>
          <w:rFonts w:cs="Times New Roman"/>
          <w:color w:val="000000" w:themeColor="text1"/>
        </w:rPr>
        <w:t>受理环节</w:t>
      </w:r>
    </w:p>
    <w:p>
      <w:pPr>
        <w:wordWrap w:val="0"/>
        <w:spacing w:line="360" w:lineRule="auto"/>
        <w:ind w:left="480" w:firstLine="0" w:firstLineChars="0"/>
        <w:rPr>
          <w:rFonts w:hint="default" w:cs="Times New Roman"/>
          <w:color w:val="000000" w:themeColor="text1"/>
        </w:rPr>
      </w:pPr>
      <w:r>
        <w:rPr>
          <w:rFonts w:cs="Times New Roman"/>
          <w:color w:val="000000" w:themeColor="text1"/>
        </w:rPr>
        <w:t>（1）纳税人（不含其他</w:t>
      </w:r>
      <w:r>
        <w:rPr>
          <w:rFonts w:ascii="宋体" w:hAnsi="宋体" w:cs="Times New Roman"/>
          <w:color w:val="000000" w:themeColor="text1"/>
        </w:rPr>
        <w:t>个人）跨地（市、州）提</w:t>
      </w:r>
      <w:r>
        <w:rPr>
          <w:rFonts w:cs="Times New Roman"/>
          <w:color w:val="000000" w:themeColor="text1"/>
        </w:rPr>
        <w:t>供建筑服务</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预缴增值税：进入金三操作系统，通过申报征收岗权限，按照【申报征收】—【申报】—【增值税申报】—【增值税预缴申报】的路径进入功能模块。保存成功后依系统提示自动跳转至【附加税（费）申报】模块进行申报。</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——同步预缴企业所得税及其他地方税费：进入金三操作系统，通过申报征收岗权限，按照【申报征收】—【征收开票】—【预缴开票】路径进入功能模块。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同步申报个人所得税：异地施工单位应就其所支付的工程作业人员工资、薪金所得，向项目所在地税务机关办理全员全额扣缴明细申报。建安企业向项目所在地申报缴纳个人所得税时，对不能准确核算应纳税所得额、未进行个人所得税全员全额扣缴明细申报的，进入金三操作系统，通过申报征收岗权限，按照【申报征收】—【征收开票】—【预缴开票】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（2）纳税人（不含其他个人）出租与机构所在地不在同一县（市）的不动产</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预缴增值税：进入金三操作系统，通过申报征收岗权限，按照【申报征收】—【申报】—【增值税申报】—【增值税预缴申报】的路径进入功能模块。保存成功后依系统提示自动跳转至【附加税（费）申报】模块进行申报。</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——同步预缴其他地方税费：进入金三操作系统，通过申报征收岗权限，按照【申报征收】—【征收开票】—【预缴开票】路径进入功能模块。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（3）房地产开发企业预售自行开发的房地产项目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预缴增值税：进入金三操作系统，通过申报征收岗权限，按照【申报征收】—【申报】—【增值税申报】—【增值税预缴申报】的路径进入功能模块。保存成功后依系统提示自动跳转至【附加税（费）申报】模块进行申报。</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——同步预缴其他地方税费：进入金三操作系统，通过申报征收岗权限，按照【申报征收】—【征收开票】—【预缴开票】路径进入功能模块。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2.注意事项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纳税人（不含其他个人）出租与机构所在地不在同一县（市）的不动产，应进行纳税人进行跨区税源登记、房产税税源信息采集、城镇土地使用税税源信息采集，据实申报房产税、城镇土地使用税。</w:t>
      </w:r>
    </w:p>
    <w:p>
      <w:pPr>
        <w:pStyle w:val="56"/>
      </w:pPr>
      <w:r>
        <w:rPr>
          <w:rFonts w:hint="eastAsia"/>
        </w:rPr>
        <w:t>【表证单书填写范本】</w:t>
      </w:r>
    </w:p>
    <w:p>
      <w:pPr>
        <w:pStyle w:val="56"/>
        <w:ind w:firstLine="0" w:firstLineChars="0"/>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624" w:gutter="0"/>
          <w:cols w:space="720" w:num="1"/>
          <w:docGrid w:type="lines" w:linePitch="326" w:charSpace="0"/>
        </w:sectPr>
      </w:pPr>
    </w:p>
    <w:tbl>
      <w:tblPr>
        <w:tblStyle w:val="18"/>
        <w:tblW w:w="12724" w:type="dxa"/>
        <w:jc w:val="center"/>
        <w:tblLayout w:type="fixed"/>
        <w:tblCellMar>
          <w:top w:w="0" w:type="dxa"/>
          <w:left w:w="108" w:type="dxa"/>
          <w:bottom w:w="0" w:type="dxa"/>
          <w:right w:w="108" w:type="dxa"/>
        </w:tblCellMar>
      </w:tblPr>
      <w:tblGrid>
        <w:gridCol w:w="1951"/>
        <w:gridCol w:w="1843"/>
        <w:gridCol w:w="2634"/>
        <w:gridCol w:w="1652"/>
        <w:gridCol w:w="392"/>
        <w:gridCol w:w="2126"/>
        <w:gridCol w:w="567"/>
        <w:gridCol w:w="34"/>
        <w:gridCol w:w="1525"/>
      </w:tblGrid>
      <w:tr>
        <w:tblPrEx>
          <w:tblCellMar>
            <w:top w:w="0" w:type="dxa"/>
            <w:left w:w="108" w:type="dxa"/>
            <w:bottom w:w="0" w:type="dxa"/>
            <w:right w:w="108" w:type="dxa"/>
          </w:tblCellMar>
        </w:tblPrEx>
        <w:trPr>
          <w:trHeight w:val="993" w:hRule="atLeast"/>
          <w:jc w:val="center"/>
        </w:trPr>
        <w:tc>
          <w:tcPr>
            <w:tcW w:w="12724" w:type="dxa"/>
            <w:gridSpan w:val="9"/>
            <w:tcBorders>
              <w:top w:val="nil"/>
              <w:left w:val="nil"/>
              <w:bottom w:val="nil"/>
              <w:right w:val="nil"/>
            </w:tcBorders>
            <w:vAlign w:val="center"/>
          </w:tcPr>
          <w:p>
            <w:pPr>
              <w:spacing w:line="400" w:lineRule="exact"/>
              <w:ind w:firstLine="0" w:firstLineChars="0"/>
              <w:jc w:val="center"/>
              <w:rPr>
                <w:rFonts w:hint="default" w:cs="宋体" w:asciiTheme="minorEastAsia" w:hAnsiTheme="minorEastAsia" w:eastAsiaTheme="minorEastAsia"/>
                <w:b/>
                <w:bCs/>
                <w:sz w:val="36"/>
                <w:szCs w:val="36"/>
              </w:rPr>
            </w:pPr>
            <w:r>
              <w:rPr>
                <w:rFonts w:cs="宋体" w:asciiTheme="minorEastAsia" w:hAnsiTheme="minorEastAsia" w:eastAsiaTheme="minorEastAsia"/>
                <w:b/>
                <w:bCs/>
                <w:sz w:val="36"/>
                <w:szCs w:val="36"/>
              </w:rPr>
              <w:t>增值税预缴税款表</w:t>
            </w:r>
          </w:p>
          <w:p>
            <w:pPr>
              <w:spacing w:line="400" w:lineRule="exact"/>
              <w:ind w:firstLine="0" w:firstLineChars="0"/>
              <w:jc w:val="center"/>
              <w:rPr>
                <w:rFonts w:hint="default" w:cs="宋体" w:asciiTheme="minorEastAsia" w:hAnsiTheme="minorEastAsia" w:eastAsiaTheme="minorEastAsia"/>
                <w:b/>
              </w:rPr>
            </w:pPr>
            <w:r>
              <w:rPr>
                <w:rFonts w:cs="宋体" w:asciiTheme="minorEastAsia" w:hAnsiTheme="minorEastAsia" w:eastAsiaTheme="minorEastAsia"/>
                <w:b/>
                <w:color w:val="0000FF"/>
              </w:rPr>
              <w:t>（以建筑行业小规模纳税人跨县、市、区提供建筑服务为例）</w:t>
            </w:r>
          </w:p>
        </w:tc>
      </w:tr>
      <w:tr>
        <w:tblPrEx>
          <w:tblCellMar>
            <w:top w:w="0" w:type="dxa"/>
            <w:left w:w="108" w:type="dxa"/>
            <w:bottom w:w="0" w:type="dxa"/>
            <w:right w:w="108" w:type="dxa"/>
          </w:tblCellMar>
        </w:tblPrEx>
        <w:trPr>
          <w:trHeight w:val="166" w:hRule="atLeast"/>
          <w:jc w:val="center"/>
        </w:trPr>
        <w:tc>
          <w:tcPr>
            <w:tcW w:w="12724" w:type="dxa"/>
            <w:gridSpan w:val="9"/>
            <w:tcBorders>
              <w:top w:val="nil"/>
              <w:left w:val="nil"/>
              <w:bottom w:val="nil"/>
              <w:right w:val="nil"/>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税款所属时间：</w:t>
            </w:r>
            <w:r>
              <w:rPr>
                <w:rFonts w:cs="宋体" w:asciiTheme="minorEastAsia" w:hAnsiTheme="minorEastAsia" w:eastAsiaTheme="minorEastAsia"/>
                <w:b/>
                <w:color w:val="0000FF"/>
              </w:rPr>
              <w:t>XXXX</w:t>
            </w:r>
            <w:r>
              <w:rPr>
                <w:rFonts w:cs="宋体" w:asciiTheme="minorEastAsia" w:hAnsiTheme="minorEastAsia" w:eastAsiaTheme="minorEastAsia"/>
              </w:rPr>
              <w:t>年</w:t>
            </w:r>
            <w:r>
              <w:rPr>
                <w:rFonts w:cs="宋体" w:asciiTheme="minorEastAsia" w:hAnsiTheme="minorEastAsia" w:eastAsiaTheme="minorEastAsia"/>
                <w:b/>
                <w:color w:val="0000FF"/>
              </w:rPr>
              <w:t>XX</w:t>
            </w:r>
            <w:r>
              <w:rPr>
                <w:rFonts w:cs="宋体" w:asciiTheme="minorEastAsia" w:hAnsiTheme="minorEastAsia" w:eastAsiaTheme="minorEastAsia"/>
              </w:rPr>
              <w:t>月</w:t>
            </w:r>
            <w:r>
              <w:rPr>
                <w:rFonts w:cs="宋体" w:asciiTheme="minorEastAsia" w:hAnsiTheme="minorEastAsia" w:eastAsiaTheme="minorEastAsia"/>
                <w:b/>
                <w:color w:val="0000FF"/>
              </w:rPr>
              <w:t>XX</w:t>
            </w:r>
            <w:r>
              <w:rPr>
                <w:rFonts w:cs="宋体" w:asciiTheme="minorEastAsia" w:hAnsiTheme="minorEastAsia" w:eastAsiaTheme="minorEastAsia"/>
              </w:rPr>
              <w:t>日至</w:t>
            </w:r>
            <w:r>
              <w:rPr>
                <w:rFonts w:cs="宋体" w:asciiTheme="minorEastAsia" w:hAnsiTheme="minorEastAsia" w:eastAsiaTheme="minorEastAsia"/>
                <w:b/>
                <w:color w:val="0000FF"/>
              </w:rPr>
              <w:t>XXXX</w:t>
            </w:r>
            <w:r>
              <w:rPr>
                <w:rFonts w:cs="宋体" w:asciiTheme="minorEastAsia" w:hAnsiTheme="minorEastAsia" w:eastAsiaTheme="minorEastAsia"/>
              </w:rPr>
              <w:t>年</w:t>
            </w:r>
            <w:r>
              <w:rPr>
                <w:rFonts w:cs="宋体" w:asciiTheme="minorEastAsia" w:hAnsiTheme="minorEastAsia" w:eastAsiaTheme="minorEastAsia"/>
                <w:b/>
                <w:color w:val="0000FF"/>
              </w:rPr>
              <w:t>XX</w:t>
            </w:r>
            <w:r>
              <w:rPr>
                <w:rFonts w:cs="宋体" w:asciiTheme="minorEastAsia" w:hAnsiTheme="minorEastAsia" w:eastAsiaTheme="minorEastAsia"/>
              </w:rPr>
              <w:t>月</w:t>
            </w:r>
            <w:r>
              <w:rPr>
                <w:rFonts w:cs="宋体" w:asciiTheme="minorEastAsia" w:hAnsiTheme="minorEastAsia" w:eastAsiaTheme="minorEastAsia"/>
                <w:b/>
                <w:color w:val="0000FF"/>
              </w:rPr>
              <w:t>XX</w:t>
            </w:r>
            <w:r>
              <w:rPr>
                <w:rFonts w:cs="宋体" w:asciiTheme="minorEastAsia" w:hAnsiTheme="minorEastAsia" w:eastAsiaTheme="minorEastAsia"/>
              </w:rPr>
              <w:t>日</w:t>
            </w:r>
          </w:p>
        </w:tc>
      </w:tr>
      <w:tr>
        <w:tblPrEx>
          <w:tblCellMar>
            <w:top w:w="0" w:type="dxa"/>
            <w:left w:w="108" w:type="dxa"/>
            <w:bottom w:w="0" w:type="dxa"/>
            <w:right w:w="108" w:type="dxa"/>
          </w:tblCellMar>
        </w:tblPrEx>
        <w:trPr>
          <w:trHeight w:val="425" w:hRule="atLeast"/>
          <w:jc w:val="center"/>
        </w:trPr>
        <w:tc>
          <w:tcPr>
            <w:tcW w:w="8080" w:type="dxa"/>
            <w:gridSpan w:val="4"/>
            <w:tcBorders>
              <w:top w:val="nil"/>
              <w:left w:val="nil"/>
              <w:bottom w:val="single" w:color="auto" w:sz="4" w:space="0"/>
              <w:right w:val="nil"/>
            </w:tcBorders>
            <w:vAlign w:val="center"/>
          </w:tcPr>
          <w:p>
            <w:pPr>
              <w:spacing w:line="400" w:lineRule="exact"/>
              <w:ind w:firstLine="0" w:firstLineChars="0"/>
              <w:jc w:val="center"/>
              <w:rPr>
                <w:rFonts w:hint="default" w:cs="宋体" w:asciiTheme="minorEastAsia" w:hAnsiTheme="minorEastAsia" w:eastAsiaTheme="minorEastAsia"/>
              </w:rPr>
            </w:pPr>
            <w:r>
              <w:rPr>
                <w:rFonts w:asciiTheme="minorEastAsia" w:hAnsiTheme="minorEastAsia" w:eastAsiaTheme="minorEastAsia"/>
              </w:rPr>
              <w:drawing>
                <wp:anchor distT="0" distB="0" distL="114300" distR="114300" simplePos="0" relativeHeight="251661312" behindDoc="0" locked="0" layoutInCell="1" allowOverlap="1">
                  <wp:simplePos x="0" y="0"/>
                  <wp:positionH relativeFrom="column">
                    <wp:posOffset>479425</wp:posOffset>
                  </wp:positionH>
                  <wp:positionV relativeFrom="paragraph">
                    <wp:posOffset>12700</wp:posOffset>
                  </wp:positionV>
                  <wp:extent cx="1143000" cy="1066800"/>
                  <wp:effectExtent l="0" t="0" r="0" b="0"/>
                  <wp:wrapNone/>
                  <wp:docPr id="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
                          <pic:cNvPicPr>
                            <a:picLocks noChangeAspect="1" noChangeArrowheads="1"/>
                          </pic:cNvPicPr>
                        </pic:nvPicPr>
                        <pic:blipFill>
                          <a:blip r:embed="rId12"/>
                          <a:srcRect/>
                          <a:stretch>
                            <a:fillRect/>
                          </a:stretch>
                        </pic:blipFill>
                        <pic:spPr>
                          <a:xfrm>
                            <a:off x="0" y="0"/>
                            <a:ext cx="1143000" cy="1066800"/>
                          </a:xfrm>
                          <a:prstGeom prst="rect">
                            <a:avLst/>
                          </a:prstGeom>
                          <a:noFill/>
                          <a:ln w="9525">
                            <a:noFill/>
                            <a:miter lim="800000"/>
                            <a:headEnd/>
                            <a:tailEnd/>
                          </a:ln>
                        </pic:spPr>
                      </pic:pic>
                    </a:graphicData>
                  </a:graphic>
                </wp:anchor>
              </w:drawing>
            </w:r>
            <w:r>
              <w:rPr>
                <w:rFonts w:cs="宋体" w:asciiTheme="minorEastAsia" w:hAnsiTheme="minorEastAsia" w:eastAsiaTheme="minorEastAsia"/>
              </w:rPr>
              <w:t>纳税人识别号：</w:t>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3"/>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p>
        </w:tc>
        <w:tc>
          <w:tcPr>
            <w:tcW w:w="3085" w:type="dxa"/>
            <w:gridSpan w:val="3"/>
            <w:tcBorders>
              <w:top w:val="nil"/>
              <w:left w:val="nil"/>
              <w:bottom w:val="nil"/>
              <w:right w:val="nil"/>
            </w:tcBorders>
            <w:vAlign w:val="center"/>
          </w:tcPr>
          <w:p>
            <w:pPr>
              <w:spacing w:line="400" w:lineRule="exact"/>
              <w:ind w:firstLine="0" w:firstLineChars="0"/>
              <w:rPr>
                <w:rFonts w:hint="default" w:cs="宋体" w:asciiTheme="minorEastAsia" w:hAnsiTheme="minorEastAsia" w:eastAsiaTheme="minorEastAsia"/>
              </w:rPr>
            </w:pPr>
            <w:r>
              <w:rPr>
                <w:rFonts w:cs="宋体" w:asciiTheme="minorEastAsia" w:hAnsiTheme="minorEastAsia" w:eastAsiaTheme="minorEastAsia"/>
              </w:rPr>
              <w:t>是否适用一般计税方法</w:t>
            </w:r>
          </w:p>
        </w:tc>
        <w:tc>
          <w:tcPr>
            <w:tcW w:w="1559" w:type="dxa"/>
            <w:gridSpan w:val="2"/>
            <w:tcBorders>
              <w:top w:val="nil"/>
              <w:left w:val="nil"/>
              <w:bottom w:val="single" w:color="auto" w:sz="4" w:space="0"/>
              <w:right w:val="nil"/>
            </w:tcBorders>
            <w:vAlign w:val="center"/>
          </w:tcPr>
          <w:p>
            <w:pPr>
              <w:spacing w:line="400" w:lineRule="exact"/>
              <w:ind w:firstLine="0" w:firstLineChars="0"/>
              <w:rPr>
                <w:rFonts w:hint="default" w:cs="宋体" w:asciiTheme="minorEastAsia" w:hAnsiTheme="minorEastAsia" w:eastAsiaTheme="minorEastAsia"/>
              </w:rPr>
            </w:pPr>
            <w:r>
              <w:rPr>
                <w:rFonts w:cs="宋体" w:asciiTheme="minorEastAsia" w:hAnsiTheme="minorEastAsia" w:eastAsiaTheme="minorEastAsia"/>
              </w:rPr>
              <w:t>是</w:t>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2"/>
              </w:rPr>
              <w:instrText xml:space="preserve">X</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r>
              <w:rPr>
                <w:rFonts w:hint="default" w:cs="宋体" w:asciiTheme="minorEastAsia" w:hAnsiTheme="minorEastAsia" w:eastAsiaTheme="minorEastAsia"/>
                <w:b/>
                <w:color w:val="0000FF"/>
              </w:rPr>
              <w:t xml:space="preserve"> </w:t>
            </w:r>
            <w:r>
              <w:rPr>
                <w:rFonts w:cs="宋体" w:asciiTheme="minorEastAsia" w:hAnsiTheme="minorEastAsia" w:eastAsiaTheme="minorEastAsia"/>
              </w:rPr>
              <w:t>否</w:t>
            </w:r>
            <w:r>
              <w:rPr>
                <w:rFonts w:cs="宋体" w:asciiTheme="minorEastAsia" w:hAnsiTheme="minorEastAsia" w:eastAsiaTheme="minorEastAsia"/>
                <w:b/>
                <w:color w:val="0000FF"/>
              </w:rPr>
              <w:fldChar w:fldCharType="begin"/>
            </w:r>
            <w:r>
              <w:rPr>
                <w:rFonts w:cs="宋体" w:asciiTheme="minorEastAsia" w:hAnsiTheme="minorEastAsia" w:eastAsiaTheme="minorEastAsia"/>
                <w:b/>
                <w:color w:val="0000FF"/>
              </w:rPr>
              <w:instrText xml:space="preserve"> eq \o\ac(□,</w:instrText>
            </w:r>
            <w:r>
              <w:rPr>
                <w:rFonts w:cs="宋体" w:asciiTheme="minorEastAsia" w:hAnsiTheme="minorEastAsia" w:eastAsiaTheme="minorEastAsia"/>
                <w:b/>
                <w:color w:val="0000FF"/>
                <w:position w:val="1"/>
              </w:rPr>
              <w:instrText xml:space="preserve">√</w:instrText>
            </w:r>
            <w:r>
              <w:rPr>
                <w:rFonts w:cs="宋体" w:asciiTheme="minorEastAsia" w:hAnsiTheme="minorEastAsia" w:eastAsiaTheme="minorEastAsia"/>
                <w:b/>
                <w:color w:val="0000FF"/>
              </w:rPr>
              <w:instrText xml:space="preserve">)</w:instrText>
            </w:r>
            <w:r>
              <w:rPr>
                <w:rFonts w:cs="宋体" w:asciiTheme="minorEastAsia" w:hAnsiTheme="minorEastAsia" w:eastAsiaTheme="minorEastAsia"/>
                <w:b/>
                <w:color w:val="0000FF"/>
              </w:rPr>
              <w:fldChar w:fldCharType="end"/>
            </w:r>
          </w:p>
        </w:tc>
      </w:tr>
      <w:tr>
        <w:tblPrEx>
          <w:tblCellMar>
            <w:top w:w="0" w:type="dxa"/>
            <w:left w:w="108" w:type="dxa"/>
            <w:bottom w:w="0" w:type="dxa"/>
            <w:right w:w="108" w:type="dxa"/>
          </w:tblCellMar>
        </w:tblPrEx>
        <w:trPr>
          <w:trHeight w:val="225" w:hRule="atLeast"/>
          <w:jc w:val="center"/>
        </w:trPr>
        <w:tc>
          <w:tcPr>
            <w:tcW w:w="3794" w:type="dxa"/>
            <w:gridSpan w:val="2"/>
            <w:tcBorders>
              <w:top w:val="nil"/>
              <w:left w:val="single" w:color="auto" w:sz="4" w:space="0"/>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纳税人名称：（公章）</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b/>
                <w:color w:val="0000FF"/>
              </w:rPr>
            </w:pPr>
            <w:r>
              <w:rPr>
                <w:rFonts w:cs="宋体" w:asciiTheme="minorEastAsia" w:hAnsiTheme="minorEastAsia" w:eastAsiaTheme="minorEastAsia"/>
                <w:b/>
                <w:color w:val="0000FF"/>
              </w:rPr>
              <w:t>XXXX</w:t>
            </w:r>
          </w:p>
        </w:tc>
        <w:tc>
          <w:tcPr>
            <w:tcW w:w="1652" w:type="dxa"/>
            <w:tcBorders>
              <w:top w:val="nil"/>
              <w:left w:val="nil"/>
              <w:bottom w:val="single" w:color="auto" w:sz="4" w:space="0"/>
              <w:right w:val="single" w:color="auto" w:sz="4" w:space="0"/>
            </w:tcBorders>
            <w:vAlign w:val="center"/>
          </w:tcPr>
          <w:p>
            <w:pPr>
              <w:spacing w:line="400" w:lineRule="exact"/>
              <w:ind w:firstLine="0" w:firstLineChars="0"/>
              <w:rPr>
                <w:rFonts w:hint="default" w:cs="宋体" w:asciiTheme="minorEastAsia" w:hAnsiTheme="minorEastAsia" w:eastAsiaTheme="minorEastAsia"/>
              </w:rPr>
            </w:pPr>
          </w:p>
        </w:tc>
        <w:tc>
          <w:tcPr>
            <w:tcW w:w="3119" w:type="dxa"/>
            <w:gridSpan w:val="4"/>
            <w:tcBorders>
              <w:top w:val="single" w:color="auto" w:sz="4" w:space="0"/>
              <w:left w:val="nil"/>
              <w:bottom w:val="single" w:color="auto" w:sz="4" w:space="0"/>
              <w:right w:val="single" w:color="auto" w:sz="4" w:space="0"/>
            </w:tcBorders>
            <w:vAlign w:val="center"/>
          </w:tcPr>
          <w:p>
            <w:pPr>
              <w:spacing w:line="400" w:lineRule="exact"/>
              <w:ind w:firstLine="0" w:firstLineChars="0"/>
              <w:rPr>
                <w:rFonts w:hint="default" w:cs="宋体" w:asciiTheme="minorEastAsia" w:hAnsiTheme="minorEastAsia" w:eastAsiaTheme="minorEastAsia"/>
              </w:rPr>
            </w:pPr>
            <w:r>
              <w:rPr>
                <w:rFonts w:cs="宋体" w:asciiTheme="minorEastAsia" w:hAnsiTheme="minorEastAsia" w:eastAsiaTheme="minorEastAsia"/>
              </w:rPr>
              <w:t>金额单位：元（列至角分）</w:t>
            </w:r>
          </w:p>
        </w:tc>
        <w:tc>
          <w:tcPr>
            <w:tcW w:w="1525" w:type="dxa"/>
            <w:tcBorders>
              <w:top w:val="single" w:color="auto" w:sz="4" w:space="0"/>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b/>
                <w:bCs/>
              </w:rPr>
            </w:pPr>
            <w:r>
              <w:rPr>
                <w:rFonts w:cs="宋体" w:asciiTheme="minorEastAsia" w:hAnsiTheme="minorEastAsia" w:eastAsiaTheme="minorEastAsia"/>
                <w:b/>
                <w:color w:val="0000FF"/>
              </w:rPr>
              <w:t>xxx</w:t>
            </w:r>
          </w:p>
        </w:tc>
      </w:tr>
      <w:tr>
        <w:tblPrEx>
          <w:tblCellMar>
            <w:top w:w="0" w:type="dxa"/>
            <w:left w:w="108" w:type="dxa"/>
            <w:bottom w:w="0" w:type="dxa"/>
            <w:right w:w="108" w:type="dxa"/>
          </w:tblCellMar>
        </w:tblPrEx>
        <w:trPr>
          <w:trHeight w:val="319" w:hRule="atLeast"/>
          <w:jc w:val="center"/>
        </w:trPr>
        <w:tc>
          <w:tcPr>
            <w:tcW w:w="3794" w:type="dxa"/>
            <w:gridSpan w:val="2"/>
            <w:tcBorders>
              <w:top w:val="single" w:color="auto" w:sz="4" w:space="0"/>
              <w:left w:val="single" w:color="auto" w:sz="4" w:space="0"/>
              <w:bottom w:val="single" w:color="auto" w:sz="4" w:space="0"/>
              <w:right w:val="single" w:color="000000"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项目编号</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b/>
                <w:color w:val="0000FF"/>
              </w:rPr>
            </w:pPr>
            <w:r>
              <w:rPr>
                <w:rFonts w:cs="宋体" w:asciiTheme="minorEastAsia" w:hAnsiTheme="minorEastAsia" w:eastAsiaTheme="minorEastAsia"/>
                <w:b/>
                <w:color w:val="0000FF"/>
              </w:rPr>
              <w:t>No.xxx</w:t>
            </w:r>
          </w:p>
        </w:tc>
        <w:tc>
          <w:tcPr>
            <w:tcW w:w="1652"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项目名称</w:t>
            </w:r>
          </w:p>
        </w:tc>
        <w:tc>
          <w:tcPr>
            <w:tcW w:w="4644" w:type="dxa"/>
            <w:gridSpan w:val="5"/>
            <w:tcBorders>
              <w:top w:val="single" w:color="auto" w:sz="4" w:space="0"/>
              <w:left w:val="nil"/>
              <w:bottom w:val="single" w:color="auto" w:sz="4" w:space="0"/>
              <w:right w:val="single" w:color="000000" w:sz="4" w:space="0"/>
            </w:tcBorders>
            <w:vAlign w:val="center"/>
          </w:tcPr>
          <w:p>
            <w:pPr>
              <w:spacing w:line="400" w:lineRule="exact"/>
              <w:ind w:firstLine="0" w:firstLineChars="0"/>
              <w:jc w:val="center"/>
              <w:rPr>
                <w:rFonts w:hint="default" w:cs="宋体" w:asciiTheme="minorEastAsia" w:hAnsiTheme="minorEastAsia" w:eastAsiaTheme="minorEastAsia"/>
                <w:b/>
              </w:rPr>
            </w:pPr>
            <w:r>
              <w:rPr>
                <w:rFonts w:cs="宋体" w:asciiTheme="minorEastAsia" w:hAnsiTheme="minorEastAsia" w:eastAsiaTheme="minorEastAsia"/>
                <w:b/>
                <w:color w:val="0000FF"/>
              </w:rPr>
              <w:t>xxx工程</w:t>
            </w:r>
          </w:p>
        </w:tc>
      </w:tr>
      <w:tr>
        <w:tblPrEx>
          <w:tblCellMar>
            <w:top w:w="0" w:type="dxa"/>
            <w:left w:w="108" w:type="dxa"/>
            <w:bottom w:w="0" w:type="dxa"/>
            <w:right w:w="108" w:type="dxa"/>
          </w:tblCellMar>
        </w:tblPrEx>
        <w:trPr>
          <w:trHeight w:val="319" w:hRule="atLeast"/>
          <w:jc w:val="center"/>
        </w:trPr>
        <w:tc>
          <w:tcPr>
            <w:tcW w:w="3794" w:type="dxa"/>
            <w:gridSpan w:val="2"/>
            <w:tcBorders>
              <w:top w:val="single" w:color="auto" w:sz="4" w:space="0"/>
              <w:left w:val="single" w:color="auto" w:sz="4" w:space="0"/>
              <w:bottom w:val="single" w:color="auto" w:sz="4" w:space="0"/>
              <w:right w:val="single" w:color="000000"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项目地址</w:t>
            </w:r>
          </w:p>
        </w:tc>
        <w:tc>
          <w:tcPr>
            <w:tcW w:w="8930" w:type="dxa"/>
            <w:gridSpan w:val="7"/>
            <w:tcBorders>
              <w:top w:val="single" w:color="auto" w:sz="4" w:space="0"/>
              <w:left w:val="nil"/>
              <w:bottom w:val="single" w:color="auto" w:sz="4" w:space="0"/>
              <w:right w:val="single" w:color="000000" w:sz="4" w:space="0"/>
            </w:tcBorders>
            <w:vAlign w:val="center"/>
          </w:tcPr>
          <w:p>
            <w:pPr>
              <w:spacing w:line="400" w:lineRule="exact"/>
              <w:ind w:firstLine="0" w:firstLineChars="0"/>
              <w:jc w:val="center"/>
              <w:rPr>
                <w:rFonts w:hint="default" w:cs="宋体" w:asciiTheme="minorEastAsia" w:hAnsiTheme="minorEastAsia" w:eastAsiaTheme="minorEastAsia"/>
                <w:b/>
              </w:rPr>
            </w:pPr>
            <w:r>
              <w:rPr>
                <w:rFonts w:cs="宋体" w:asciiTheme="minorEastAsia" w:hAnsiTheme="minorEastAsia" w:eastAsiaTheme="minorEastAsia"/>
                <w:b/>
                <w:color w:val="0000FF"/>
              </w:rPr>
              <w:t>xxx省xxx市xxx县xxx镇</w:t>
            </w:r>
          </w:p>
        </w:tc>
      </w:tr>
      <w:tr>
        <w:tblPrEx>
          <w:tblCellMar>
            <w:top w:w="0" w:type="dxa"/>
            <w:left w:w="108" w:type="dxa"/>
            <w:bottom w:w="0" w:type="dxa"/>
            <w:right w:w="108" w:type="dxa"/>
          </w:tblCellMar>
        </w:tblPrEx>
        <w:trPr>
          <w:trHeight w:val="224" w:hRule="atLeast"/>
          <w:jc w:val="center"/>
        </w:trPr>
        <w:tc>
          <w:tcPr>
            <w:tcW w:w="3794"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预征项目和栏次</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销售额</w:t>
            </w:r>
          </w:p>
        </w:tc>
        <w:tc>
          <w:tcPr>
            <w:tcW w:w="2044" w:type="dxa"/>
            <w:gridSpan w:val="2"/>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扣除金额</w:t>
            </w:r>
          </w:p>
        </w:tc>
        <w:tc>
          <w:tcPr>
            <w:tcW w:w="2126"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预征率</w:t>
            </w:r>
          </w:p>
        </w:tc>
        <w:tc>
          <w:tcPr>
            <w:tcW w:w="2126" w:type="dxa"/>
            <w:gridSpan w:val="3"/>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预征税额</w:t>
            </w:r>
          </w:p>
        </w:tc>
      </w:tr>
      <w:tr>
        <w:tblPrEx>
          <w:tblCellMar>
            <w:top w:w="0" w:type="dxa"/>
            <w:left w:w="108" w:type="dxa"/>
            <w:bottom w:w="0" w:type="dxa"/>
            <w:right w:w="108" w:type="dxa"/>
          </w:tblCellMar>
        </w:tblPrEx>
        <w:trPr>
          <w:trHeight w:val="173" w:hRule="atLeast"/>
          <w:jc w:val="center"/>
        </w:trPr>
        <w:tc>
          <w:tcPr>
            <w:tcW w:w="379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rPr>
                <w:rFonts w:hint="default" w:cs="宋体" w:asciiTheme="minorEastAsia" w:hAnsiTheme="minorEastAsia" w:eastAsiaTheme="minorEastAsia"/>
              </w:rPr>
            </w:pP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1</w:t>
            </w:r>
          </w:p>
        </w:tc>
        <w:tc>
          <w:tcPr>
            <w:tcW w:w="2044" w:type="dxa"/>
            <w:gridSpan w:val="2"/>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2</w:t>
            </w:r>
          </w:p>
        </w:tc>
        <w:tc>
          <w:tcPr>
            <w:tcW w:w="2126"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3</w:t>
            </w:r>
          </w:p>
        </w:tc>
        <w:tc>
          <w:tcPr>
            <w:tcW w:w="2126" w:type="dxa"/>
            <w:gridSpan w:val="3"/>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4</w:t>
            </w:r>
          </w:p>
        </w:tc>
      </w:tr>
      <w:tr>
        <w:tblPrEx>
          <w:tblCellMar>
            <w:top w:w="0" w:type="dxa"/>
            <w:left w:w="108" w:type="dxa"/>
            <w:bottom w:w="0" w:type="dxa"/>
            <w:right w:w="108" w:type="dxa"/>
          </w:tblCellMar>
        </w:tblPrEx>
        <w:trPr>
          <w:trHeight w:val="290" w:hRule="atLeast"/>
          <w:jc w:val="center"/>
        </w:trPr>
        <w:tc>
          <w:tcPr>
            <w:tcW w:w="1951" w:type="dxa"/>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asciiTheme="minorEastAsia" w:hAnsiTheme="minorEastAsia" w:eastAsiaTheme="minorEastAsia"/>
              </w:rPr>
            </w:pPr>
            <w:r>
              <w:rPr>
                <w:rFonts w:cs="宋体" w:asciiTheme="minorEastAsia" w:hAnsiTheme="minorEastAsia" w:eastAsiaTheme="minorEastAsia"/>
              </w:rPr>
              <w:t>建筑服务</w:t>
            </w:r>
          </w:p>
        </w:tc>
        <w:tc>
          <w:tcPr>
            <w:tcW w:w="1843"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1</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b/>
                <w:color w:val="0000FF"/>
              </w:rPr>
            </w:pPr>
            <w:r>
              <w:rPr>
                <w:rFonts w:cs="宋体" w:asciiTheme="minorEastAsia" w:hAnsiTheme="minorEastAsia" w:eastAsiaTheme="minorEastAsia"/>
                <w:b/>
                <w:color w:val="0000FF"/>
              </w:rPr>
              <w:t>100000</w:t>
            </w:r>
          </w:p>
        </w:tc>
        <w:tc>
          <w:tcPr>
            <w:tcW w:w="2044" w:type="dxa"/>
            <w:gridSpan w:val="2"/>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b/>
                <w:color w:val="0000FF"/>
              </w:rPr>
            </w:pPr>
            <w:r>
              <w:rPr>
                <w:rFonts w:cs="宋体" w:asciiTheme="minorEastAsia" w:hAnsiTheme="minorEastAsia" w:eastAsiaTheme="minorEastAsia"/>
                <w:b/>
                <w:color w:val="0000FF"/>
              </w:rPr>
              <w:t>0</w:t>
            </w:r>
          </w:p>
        </w:tc>
        <w:tc>
          <w:tcPr>
            <w:tcW w:w="2126"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b/>
                <w:color w:val="0000FF"/>
              </w:rPr>
            </w:pPr>
            <w:r>
              <w:rPr>
                <w:rFonts w:cs="宋体" w:asciiTheme="minorEastAsia" w:hAnsiTheme="minorEastAsia" w:eastAsiaTheme="minorEastAsia"/>
                <w:b/>
                <w:color w:val="0000FF"/>
              </w:rPr>
              <w:t>3%</w:t>
            </w:r>
          </w:p>
        </w:tc>
        <w:tc>
          <w:tcPr>
            <w:tcW w:w="2126" w:type="dxa"/>
            <w:gridSpan w:val="3"/>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b/>
                <w:color w:val="0000FF"/>
              </w:rPr>
            </w:pPr>
            <w:r>
              <w:rPr>
                <w:rFonts w:cs="宋体" w:asciiTheme="minorEastAsia" w:hAnsiTheme="minorEastAsia" w:eastAsiaTheme="minorEastAsia"/>
                <w:b/>
                <w:color w:val="0000FF"/>
              </w:rPr>
              <w:t>2912.62</w:t>
            </w:r>
          </w:p>
        </w:tc>
      </w:tr>
      <w:tr>
        <w:tblPrEx>
          <w:tblCellMar>
            <w:top w:w="0" w:type="dxa"/>
            <w:left w:w="108" w:type="dxa"/>
            <w:bottom w:w="0" w:type="dxa"/>
            <w:right w:w="108" w:type="dxa"/>
          </w:tblCellMar>
        </w:tblPrEx>
        <w:trPr>
          <w:trHeight w:val="239" w:hRule="atLeast"/>
          <w:jc w:val="center"/>
        </w:trPr>
        <w:tc>
          <w:tcPr>
            <w:tcW w:w="1951" w:type="dxa"/>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asciiTheme="minorEastAsia" w:hAnsiTheme="minorEastAsia" w:eastAsiaTheme="minorEastAsia"/>
              </w:rPr>
            </w:pPr>
            <w:r>
              <w:rPr>
                <w:rFonts w:cs="宋体" w:asciiTheme="minorEastAsia" w:hAnsiTheme="minorEastAsia" w:eastAsiaTheme="minorEastAsia"/>
              </w:rPr>
              <w:t>销售不动产</w:t>
            </w:r>
          </w:p>
        </w:tc>
        <w:tc>
          <w:tcPr>
            <w:tcW w:w="1843"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2</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c>
          <w:tcPr>
            <w:tcW w:w="2044" w:type="dxa"/>
            <w:gridSpan w:val="2"/>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gridSpan w:val="3"/>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r>
      <w:tr>
        <w:tblPrEx>
          <w:tblCellMar>
            <w:top w:w="0" w:type="dxa"/>
            <w:left w:w="108" w:type="dxa"/>
            <w:bottom w:w="0" w:type="dxa"/>
            <w:right w:w="108" w:type="dxa"/>
          </w:tblCellMar>
        </w:tblPrEx>
        <w:trPr>
          <w:trHeight w:val="215" w:hRule="atLeast"/>
          <w:jc w:val="center"/>
        </w:trPr>
        <w:tc>
          <w:tcPr>
            <w:tcW w:w="1951" w:type="dxa"/>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asciiTheme="minorEastAsia" w:hAnsiTheme="minorEastAsia" w:eastAsiaTheme="minorEastAsia"/>
              </w:rPr>
            </w:pPr>
            <w:r>
              <w:rPr>
                <w:rFonts w:cs="宋体" w:asciiTheme="minorEastAsia" w:hAnsiTheme="minorEastAsia" w:eastAsiaTheme="minorEastAsia"/>
              </w:rPr>
              <w:t>出租不动产</w:t>
            </w:r>
          </w:p>
        </w:tc>
        <w:tc>
          <w:tcPr>
            <w:tcW w:w="1843"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3</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c>
          <w:tcPr>
            <w:tcW w:w="2044" w:type="dxa"/>
            <w:gridSpan w:val="2"/>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gridSpan w:val="3"/>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r>
      <w:tr>
        <w:tblPrEx>
          <w:tblCellMar>
            <w:top w:w="0" w:type="dxa"/>
            <w:left w:w="108" w:type="dxa"/>
            <w:bottom w:w="0" w:type="dxa"/>
            <w:right w:w="108" w:type="dxa"/>
          </w:tblCellMar>
        </w:tblPrEx>
        <w:trPr>
          <w:trHeight w:val="163" w:hRule="atLeast"/>
          <w:jc w:val="center"/>
        </w:trPr>
        <w:tc>
          <w:tcPr>
            <w:tcW w:w="1951" w:type="dxa"/>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asciiTheme="minorEastAsia" w:hAnsiTheme="minorEastAsia" w:eastAsiaTheme="minorEastAsia"/>
              </w:rPr>
            </w:pPr>
          </w:p>
        </w:tc>
        <w:tc>
          <w:tcPr>
            <w:tcW w:w="1843"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4</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c>
          <w:tcPr>
            <w:tcW w:w="2044" w:type="dxa"/>
            <w:gridSpan w:val="2"/>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gridSpan w:val="3"/>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r>
      <w:tr>
        <w:tblPrEx>
          <w:tblCellMar>
            <w:top w:w="0" w:type="dxa"/>
            <w:left w:w="108" w:type="dxa"/>
            <w:bottom w:w="0" w:type="dxa"/>
            <w:right w:w="108" w:type="dxa"/>
          </w:tblCellMar>
        </w:tblPrEx>
        <w:trPr>
          <w:trHeight w:val="229" w:hRule="atLeast"/>
          <w:jc w:val="center"/>
        </w:trPr>
        <w:tc>
          <w:tcPr>
            <w:tcW w:w="1951" w:type="dxa"/>
            <w:tcBorders>
              <w:top w:val="nil"/>
              <w:left w:val="single" w:color="auto" w:sz="4" w:space="0"/>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cs="宋体" w:asciiTheme="minorEastAsia" w:hAnsiTheme="minorEastAsia" w:eastAsiaTheme="minorEastAsia"/>
              </w:rPr>
              <w:t>合计</w:t>
            </w:r>
          </w:p>
        </w:tc>
        <w:tc>
          <w:tcPr>
            <w:tcW w:w="1843"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r>
              <w:rPr>
                <w:rFonts w:hint="default" w:cs="宋体" w:asciiTheme="minorEastAsia" w:hAnsiTheme="minorEastAsia" w:eastAsiaTheme="minorEastAsia"/>
              </w:rPr>
              <w:t>5</w:t>
            </w:r>
          </w:p>
        </w:tc>
        <w:tc>
          <w:tcPr>
            <w:tcW w:w="2634"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c>
          <w:tcPr>
            <w:tcW w:w="2044" w:type="dxa"/>
            <w:gridSpan w:val="2"/>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color w:val="000000"/>
              </w:rPr>
            </w:pPr>
          </w:p>
        </w:tc>
        <w:tc>
          <w:tcPr>
            <w:tcW w:w="2126" w:type="dxa"/>
            <w:gridSpan w:val="3"/>
            <w:tcBorders>
              <w:top w:val="nil"/>
              <w:left w:val="nil"/>
              <w:bottom w:val="single" w:color="auto" w:sz="4" w:space="0"/>
              <w:right w:val="single" w:color="auto" w:sz="4" w:space="0"/>
            </w:tcBorders>
            <w:vAlign w:val="center"/>
          </w:tcPr>
          <w:p>
            <w:pPr>
              <w:spacing w:line="400" w:lineRule="exact"/>
              <w:ind w:firstLine="0" w:firstLineChars="0"/>
              <w:jc w:val="center"/>
              <w:rPr>
                <w:rFonts w:hint="default" w:cs="宋体" w:asciiTheme="minorEastAsia" w:hAnsiTheme="minorEastAsia" w:eastAsiaTheme="minorEastAsia"/>
              </w:rPr>
            </w:pPr>
          </w:p>
        </w:tc>
      </w:tr>
      <w:tr>
        <w:tblPrEx>
          <w:tblCellMar>
            <w:top w:w="0" w:type="dxa"/>
            <w:left w:w="108" w:type="dxa"/>
            <w:bottom w:w="0" w:type="dxa"/>
            <w:right w:w="108" w:type="dxa"/>
          </w:tblCellMar>
        </w:tblPrEx>
        <w:trPr>
          <w:trHeight w:val="450" w:hRule="atLeast"/>
          <w:jc w:val="center"/>
        </w:trPr>
        <w:tc>
          <w:tcPr>
            <w:tcW w:w="1951" w:type="dxa"/>
            <w:vMerge w:val="restart"/>
            <w:tcBorders>
              <w:top w:val="nil"/>
              <w:left w:val="single" w:color="auto" w:sz="4" w:space="0"/>
              <w:bottom w:val="single" w:color="auto" w:sz="4" w:space="0"/>
              <w:right w:val="single" w:color="auto" w:sz="4" w:space="0"/>
            </w:tcBorders>
            <w:textDirection w:val="tbRlV"/>
            <w:vAlign w:val="center"/>
          </w:tcPr>
          <w:p>
            <w:pPr>
              <w:spacing w:line="400" w:lineRule="exact"/>
              <w:ind w:firstLine="0" w:firstLineChars="0"/>
              <w:jc w:val="center"/>
              <w:rPr>
                <w:rFonts w:hint="default" w:cs="宋体" w:asciiTheme="minorEastAsia" w:hAnsiTheme="minorEastAsia" w:eastAsiaTheme="minorEastAsia"/>
                <w:color w:val="000000"/>
              </w:rPr>
            </w:pPr>
            <w:r>
              <w:rPr>
                <w:rFonts w:cs="宋体" w:asciiTheme="minorEastAsia" w:hAnsiTheme="minorEastAsia" w:eastAsiaTheme="minorEastAsia"/>
                <w:color w:val="000000"/>
              </w:rPr>
              <w:t>授权声明</w:t>
            </w:r>
          </w:p>
        </w:tc>
        <w:tc>
          <w:tcPr>
            <w:tcW w:w="4477" w:type="dxa"/>
            <w:gridSpan w:val="2"/>
            <w:vMerge w:val="restart"/>
            <w:tcBorders>
              <w:top w:val="single" w:color="auto" w:sz="4" w:space="0"/>
              <w:left w:val="single" w:color="auto" w:sz="4" w:space="0"/>
              <w:bottom w:val="single" w:color="000000" w:sz="4" w:space="0"/>
              <w:right w:val="single" w:color="000000" w:sz="4" w:space="0"/>
            </w:tcBorders>
            <w:vAlign w:val="center"/>
          </w:tcPr>
          <w:p>
            <w:pPr>
              <w:spacing w:line="400" w:lineRule="exact"/>
              <w:ind w:firstLine="480"/>
              <w:rPr>
                <w:rFonts w:hint="default" w:cs="宋体" w:asciiTheme="minorEastAsia" w:hAnsiTheme="minorEastAsia" w:eastAsiaTheme="minorEastAsia"/>
              </w:rPr>
            </w:pPr>
            <w:r>
              <w:rPr>
                <w:rFonts w:cs="宋体" w:asciiTheme="minorEastAsia" w:hAnsiTheme="minorEastAsia" w:eastAsiaTheme="minorEastAsia"/>
              </w:rPr>
              <w:t>如果你已委托代理人填报，请填写下列资料：</w:t>
            </w:r>
          </w:p>
          <w:p>
            <w:pPr>
              <w:spacing w:line="400" w:lineRule="exact"/>
              <w:ind w:firstLine="480"/>
              <w:rPr>
                <w:rFonts w:hint="default" w:cs="宋体" w:asciiTheme="minorEastAsia" w:hAnsiTheme="minorEastAsia" w:eastAsiaTheme="minorEastAsia"/>
              </w:rPr>
            </w:pPr>
            <w:r>
              <w:rPr>
                <w:rFonts w:cs="宋体" w:asciiTheme="minorEastAsia" w:hAnsiTheme="minorEastAsia" w:eastAsiaTheme="minorEastAsia"/>
              </w:rPr>
              <w:t>为代理一切税务事宜，现授权（地址）为本次纳税人的代理填报人，任何与本表有关的往来文件，都可寄予此人。</w:t>
            </w:r>
          </w:p>
          <w:p>
            <w:pPr>
              <w:spacing w:line="400" w:lineRule="exact"/>
              <w:ind w:firstLine="0" w:firstLineChars="0"/>
              <w:rPr>
                <w:rFonts w:hint="default" w:cs="宋体" w:asciiTheme="minorEastAsia" w:hAnsiTheme="minorEastAsia" w:eastAsiaTheme="minorEastAsia"/>
              </w:rPr>
            </w:pPr>
            <w:r>
              <w:rPr>
                <w:rFonts w:cs="宋体" w:asciiTheme="minorEastAsia" w:hAnsiTheme="minorEastAsia" w:eastAsiaTheme="minorEastAsia"/>
              </w:rPr>
              <w:t>授权人签字：</w:t>
            </w:r>
          </w:p>
        </w:tc>
        <w:tc>
          <w:tcPr>
            <w:tcW w:w="2044" w:type="dxa"/>
            <w:gridSpan w:val="2"/>
            <w:vMerge w:val="restart"/>
            <w:tcBorders>
              <w:top w:val="nil"/>
              <w:left w:val="single" w:color="auto" w:sz="4" w:space="0"/>
              <w:bottom w:val="single" w:color="auto" w:sz="4" w:space="0"/>
              <w:right w:val="single" w:color="auto" w:sz="4" w:space="0"/>
            </w:tcBorders>
            <w:textDirection w:val="tbRlV"/>
            <w:vAlign w:val="center"/>
          </w:tcPr>
          <w:p>
            <w:pPr>
              <w:spacing w:line="400" w:lineRule="exact"/>
              <w:ind w:firstLine="0" w:firstLineChars="0"/>
              <w:jc w:val="center"/>
              <w:rPr>
                <w:rFonts w:hint="default" w:cs="宋体" w:asciiTheme="minorEastAsia" w:hAnsiTheme="minorEastAsia" w:eastAsiaTheme="minorEastAsia"/>
                <w:color w:val="000000"/>
              </w:rPr>
            </w:pPr>
            <w:r>
              <w:rPr>
                <w:rFonts w:cs="宋体" w:asciiTheme="minorEastAsia" w:hAnsiTheme="minorEastAsia" w:eastAsiaTheme="minorEastAsia"/>
                <w:color w:val="000000"/>
              </w:rPr>
              <w:t>填表人申明</w:t>
            </w:r>
          </w:p>
        </w:tc>
        <w:tc>
          <w:tcPr>
            <w:tcW w:w="4252" w:type="dxa"/>
            <w:gridSpan w:val="4"/>
            <w:vMerge w:val="restart"/>
            <w:tcBorders>
              <w:top w:val="single" w:color="auto" w:sz="4" w:space="0"/>
              <w:left w:val="single" w:color="auto" w:sz="4" w:space="0"/>
              <w:bottom w:val="single" w:color="000000" w:sz="4" w:space="0"/>
              <w:right w:val="single" w:color="000000" w:sz="4" w:space="0"/>
            </w:tcBorders>
            <w:vAlign w:val="center"/>
          </w:tcPr>
          <w:p>
            <w:pPr>
              <w:spacing w:line="400" w:lineRule="exact"/>
              <w:ind w:firstLine="0" w:firstLineChars="0"/>
              <w:rPr>
                <w:rFonts w:hint="default" w:cs="宋体" w:asciiTheme="minorEastAsia" w:hAnsiTheme="minorEastAsia" w:eastAsiaTheme="minorEastAsia"/>
                <w:color w:val="000000"/>
              </w:rPr>
            </w:pPr>
            <w:r>
              <w:rPr>
                <w:rFonts w:cs="宋体" w:asciiTheme="minorEastAsia" w:hAnsiTheme="minorEastAsia" w:eastAsiaTheme="minorEastAsia"/>
                <w:color w:val="000000"/>
              </w:rPr>
              <w:t>以上内容是真实的、可靠的、完整的。</w:t>
            </w:r>
            <w:r>
              <w:rPr>
                <w:rFonts w:cs="宋体" w:asciiTheme="minorEastAsia" w:hAnsiTheme="minorEastAsia" w:eastAsiaTheme="minorEastAsia"/>
                <w:color w:val="000000"/>
              </w:rPr>
              <w:br w:type="textWrapping"/>
            </w:r>
            <w:r>
              <w:rPr>
                <w:rFonts w:cs="宋体" w:asciiTheme="minorEastAsia" w:hAnsiTheme="minorEastAsia" w:eastAsiaTheme="minorEastAsia"/>
                <w:color w:val="000000"/>
              </w:rPr>
              <w:br w:type="textWrapping"/>
            </w:r>
            <w:r>
              <w:rPr>
                <w:rFonts w:cs="宋体" w:asciiTheme="minorEastAsia" w:hAnsiTheme="minorEastAsia" w:eastAsiaTheme="minorEastAsia"/>
                <w:color w:val="000000"/>
              </w:rPr>
              <w:t>纳税人签字：</w:t>
            </w:r>
            <w:r>
              <w:rPr>
                <w:rFonts w:cs="宋体" w:asciiTheme="minorEastAsia" w:hAnsiTheme="minorEastAsia" w:eastAsiaTheme="minorEastAsia"/>
                <w:b/>
                <w:color w:val="0000FF"/>
              </w:rPr>
              <w:t>某某</w:t>
            </w:r>
          </w:p>
        </w:tc>
      </w:tr>
      <w:tr>
        <w:tblPrEx>
          <w:tblCellMar>
            <w:top w:w="0" w:type="dxa"/>
            <w:left w:w="108" w:type="dxa"/>
            <w:bottom w:w="0" w:type="dxa"/>
            <w:right w:w="108" w:type="dxa"/>
          </w:tblCellMar>
        </w:tblPrEx>
        <w:trPr>
          <w:trHeight w:val="450" w:hRule="atLeast"/>
          <w:jc w:val="center"/>
        </w:trPr>
        <w:tc>
          <w:tcPr>
            <w:tcW w:w="1951" w:type="dxa"/>
            <w:vMerge w:val="continue"/>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color w:val="000000"/>
              </w:rPr>
            </w:pPr>
          </w:p>
        </w:tc>
        <w:tc>
          <w:tcPr>
            <w:tcW w:w="4477" w:type="dxa"/>
            <w:gridSpan w:val="2"/>
            <w:vMerge w:val="continue"/>
            <w:tcBorders>
              <w:top w:val="single" w:color="auto" w:sz="4" w:space="0"/>
              <w:left w:val="single" w:color="auto" w:sz="4" w:space="0"/>
              <w:bottom w:val="single" w:color="000000" w:sz="4" w:space="0"/>
              <w:right w:val="single" w:color="000000" w:sz="4" w:space="0"/>
            </w:tcBorders>
            <w:vAlign w:val="center"/>
          </w:tcPr>
          <w:p>
            <w:pPr>
              <w:spacing w:line="400" w:lineRule="exact"/>
              <w:ind w:firstLine="0" w:firstLineChars="0"/>
              <w:rPr>
                <w:rFonts w:hint="default" w:cs="宋体"/>
              </w:rPr>
            </w:pPr>
          </w:p>
        </w:tc>
        <w:tc>
          <w:tcPr>
            <w:tcW w:w="2044" w:type="dxa"/>
            <w:gridSpan w:val="2"/>
            <w:vMerge w:val="continue"/>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color w:val="000000"/>
              </w:rPr>
            </w:pPr>
          </w:p>
        </w:tc>
        <w:tc>
          <w:tcPr>
            <w:tcW w:w="4252" w:type="dxa"/>
            <w:gridSpan w:val="4"/>
            <w:vMerge w:val="continue"/>
            <w:tcBorders>
              <w:top w:val="single" w:color="auto" w:sz="4" w:space="0"/>
              <w:left w:val="single" w:color="auto" w:sz="4" w:space="0"/>
              <w:bottom w:val="single" w:color="000000" w:sz="4" w:space="0"/>
              <w:right w:val="single" w:color="000000" w:sz="4" w:space="0"/>
            </w:tcBorders>
            <w:vAlign w:val="center"/>
          </w:tcPr>
          <w:p>
            <w:pPr>
              <w:spacing w:line="400" w:lineRule="exact"/>
              <w:ind w:firstLine="0" w:firstLineChars="0"/>
              <w:rPr>
                <w:rFonts w:hint="default" w:cs="宋体"/>
                <w:color w:val="000000"/>
              </w:rPr>
            </w:pPr>
          </w:p>
        </w:tc>
      </w:tr>
      <w:tr>
        <w:tblPrEx>
          <w:tblCellMar>
            <w:top w:w="0" w:type="dxa"/>
            <w:left w:w="108" w:type="dxa"/>
            <w:bottom w:w="0" w:type="dxa"/>
            <w:right w:w="108" w:type="dxa"/>
          </w:tblCellMar>
        </w:tblPrEx>
        <w:trPr>
          <w:trHeight w:val="450" w:hRule="atLeast"/>
          <w:jc w:val="center"/>
        </w:trPr>
        <w:tc>
          <w:tcPr>
            <w:tcW w:w="1951" w:type="dxa"/>
            <w:vMerge w:val="continue"/>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color w:val="000000"/>
              </w:rPr>
            </w:pPr>
          </w:p>
        </w:tc>
        <w:tc>
          <w:tcPr>
            <w:tcW w:w="4477" w:type="dxa"/>
            <w:gridSpan w:val="2"/>
            <w:vMerge w:val="continue"/>
            <w:tcBorders>
              <w:top w:val="single" w:color="auto" w:sz="4" w:space="0"/>
              <w:left w:val="single" w:color="auto" w:sz="4" w:space="0"/>
              <w:bottom w:val="single" w:color="000000" w:sz="4" w:space="0"/>
              <w:right w:val="single" w:color="000000" w:sz="4" w:space="0"/>
            </w:tcBorders>
            <w:vAlign w:val="center"/>
          </w:tcPr>
          <w:p>
            <w:pPr>
              <w:spacing w:line="400" w:lineRule="exact"/>
              <w:ind w:firstLine="0" w:firstLineChars="0"/>
              <w:rPr>
                <w:rFonts w:hint="default" w:cs="宋体"/>
              </w:rPr>
            </w:pPr>
          </w:p>
        </w:tc>
        <w:tc>
          <w:tcPr>
            <w:tcW w:w="2044" w:type="dxa"/>
            <w:gridSpan w:val="2"/>
            <w:vMerge w:val="continue"/>
            <w:tcBorders>
              <w:top w:val="nil"/>
              <w:left w:val="single" w:color="auto" w:sz="4" w:space="0"/>
              <w:bottom w:val="single" w:color="auto" w:sz="4" w:space="0"/>
              <w:right w:val="single" w:color="auto" w:sz="4" w:space="0"/>
            </w:tcBorders>
            <w:vAlign w:val="center"/>
          </w:tcPr>
          <w:p>
            <w:pPr>
              <w:spacing w:line="400" w:lineRule="exact"/>
              <w:ind w:firstLine="0" w:firstLineChars="0"/>
              <w:rPr>
                <w:rFonts w:hint="default" w:cs="宋体"/>
                <w:color w:val="000000"/>
              </w:rPr>
            </w:pPr>
          </w:p>
        </w:tc>
        <w:tc>
          <w:tcPr>
            <w:tcW w:w="4252" w:type="dxa"/>
            <w:gridSpan w:val="4"/>
            <w:vMerge w:val="continue"/>
            <w:tcBorders>
              <w:top w:val="single" w:color="auto" w:sz="4" w:space="0"/>
              <w:left w:val="single" w:color="auto" w:sz="4" w:space="0"/>
              <w:bottom w:val="single" w:color="000000" w:sz="4" w:space="0"/>
              <w:right w:val="single" w:color="000000" w:sz="4" w:space="0"/>
            </w:tcBorders>
            <w:vAlign w:val="center"/>
          </w:tcPr>
          <w:p>
            <w:pPr>
              <w:spacing w:line="400" w:lineRule="exact"/>
              <w:ind w:firstLine="0" w:firstLineChars="0"/>
              <w:rPr>
                <w:rFonts w:hint="default" w:cs="宋体"/>
                <w:color w:val="000000"/>
              </w:rPr>
            </w:pPr>
          </w:p>
        </w:tc>
      </w:tr>
    </w:tbl>
    <w:p>
      <w:pPr>
        <w:tabs>
          <w:tab w:val="left" w:pos="993"/>
        </w:tabs>
        <w:spacing w:line="400" w:lineRule="exact"/>
        <w:ind w:firstLine="480"/>
        <w:rPr>
          <w:rFonts w:hint="default" w:eastAsia="黑体"/>
        </w:rPr>
        <w:sectPr>
          <w:pgSz w:w="16838" w:h="11906" w:orient="landscape"/>
          <w:pgMar w:top="1418" w:right="1440" w:bottom="1418" w:left="1440" w:header="851" w:footer="992" w:gutter="0"/>
          <w:cols w:space="720" w:num="1"/>
          <w:docGrid w:type="lines" w:linePitch="312" w:charSpace="0"/>
        </w:sectPr>
      </w:pP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83"/>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83" w:type="dxa"/>
            <w:vAlign w:val="center"/>
          </w:tcPr>
          <w:p>
            <w:pPr>
              <w:pStyle w:val="33"/>
              <w:adjustRightInd/>
              <w:snapToGrid/>
              <w:spacing w:line="276" w:lineRule="auto"/>
            </w:pPr>
            <w:r>
              <w:rPr>
                <w:rFonts w:hint="eastAsia"/>
              </w:rPr>
              <w:t>文件名称</w:t>
            </w:r>
          </w:p>
        </w:tc>
        <w:tc>
          <w:tcPr>
            <w:tcW w:w="166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83" w:type="dxa"/>
            <w:vAlign w:val="center"/>
          </w:tcPr>
          <w:p>
            <w:pPr>
              <w:pStyle w:val="50"/>
              <w:adjustRightInd/>
              <w:snapToGrid/>
              <w:spacing w:line="276" w:lineRule="auto"/>
            </w:pPr>
            <w:r>
              <w:rPr>
                <w:rFonts w:hint="eastAsia"/>
              </w:rPr>
              <w:t>《中华人民共和国税收征收管理法》</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83" w:type="dxa"/>
            <w:vAlign w:val="center"/>
          </w:tcPr>
          <w:p>
            <w:pPr>
              <w:pStyle w:val="50"/>
              <w:adjustRightInd/>
              <w:snapToGrid/>
              <w:spacing w:line="276" w:lineRule="auto"/>
            </w:pPr>
            <w:r>
              <w:rPr>
                <w:rFonts w:hint="eastAsia"/>
              </w:rPr>
              <w:t>《中华人民共和国增值税暂行条例》</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83" w:type="dxa"/>
            <w:vAlign w:val="center"/>
          </w:tcPr>
          <w:p>
            <w:pPr>
              <w:pStyle w:val="50"/>
              <w:adjustRightInd/>
              <w:snapToGrid/>
              <w:spacing w:line="276" w:lineRule="auto"/>
            </w:pPr>
            <w:r>
              <w:rPr>
                <w:rFonts w:hint="eastAsia"/>
              </w:rPr>
              <w:t>《中华人民共和国增值税暂行条例实施细则》（中华人民共和国财政部令第65号令）</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4</w:t>
            </w:r>
          </w:p>
        </w:tc>
        <w:tc>
          <w:tcPr>
            <w:tcW w:w="5783" w:type="dxa"/>
            <w:vAlign w:val="center"/>
          </w:tcPr>
          <w:p>
            <w:pPr>
              <w:pStyle w:val="50"/>
              <w:adjustRightInd/>
              <w:snapToGrid/>
              <w:spacing w:line="276" w:lineRule="auto"/>
            </w:pPr>
            <w:r>
              <w:rPr>
                <w:rFonts w:hint="eastAsia"/>
              </w:rPr>
              <w:t>《税收票证管理办法》（国家税务总局令第28号）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83" w:type="dxa"/>
            <w:vAlign w:val="center"/>
          </w:tcPr>
          <w:p>
            <w:pPr>
              <w:pStyle w:val="50"/>
              <w:adjustRightInd/>
              <w:snapToGrid/>
              <w:spacing w:line="276" w:lineRule="auto"/>
            </w:pPr>
            <w:r>
              <w:rPr>
                <w:rFonts w:hint="eastAsia"/>
              </w:rPr>
              <w:t>《财政部 税务总局关于建筑服务等营改增试点政策的通知》（财税2017年第58号）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83" w:type="dxa"/>
            <w:vAlign w:val="center"/>
          </w:tcPr>
          <w:p>
            <w:pPr>
              <w:pStyle w:val="50"/>
              <w:adjustRightInd/>
              <w:snapToGrid/>
              <w:spacing w:line="276" w:lineRule="auto"/>
            </w:pPr>
            <w:r>
              <w:rPr>
                <w:rFonts w:hint="eastAsia"/>
              </w:rPr>
              <w:t>《国家税务总局关于实施〈税收票证管理办法〉若干问题的公告》（国家税务总局公告2013年第34号）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83" w:type="dxa"/>
            <w:vAlign w:val="center"/>
          </w:tcPr>
          <w:p>
            <w:pPr>
              <w:pStyle w:val="50"/>
              <w:adjustRightInd/>
              <w:snapToGrid/>
              <w:spacing w:line="276" w:lineRule="auto"/>
            </w:pPr>
            <w:r>
              <w:rPr>
                <w:rFonts w:hint="eastAsia"/>
              </w:rPr>
              <w:t>《国家税务总局关于全面推开营业税改征增值税试点后增值税纳税申报有关事项的公告》（国家税务总局公告</w:t>
            </w:r>
            <w:r>
              <w:t>2016年第13号）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83" w:type="dxa"/>
            <w:vAlign w:val="center"/>
          </w:tcPr>
          <w:p>
            <w:pPr>
              <w:pStyle w:val="50"/>
              <w:adjustRightInd/>
              <w:snapToGrid/>
              <w:spacing w:line="276" w:lineRule="auto"/>
            </w:pPr>
            <w:r>
              <w:t>《国家税务总局关于发布〈纳税人转让不动产增值税征收管理暂行办法〉的公告》（国家税务总局公告2016年第14号）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83" w:type="dxa"/>
            <w:vAlign w:val="center"/>
          </w:tcPr>
          <w:p>
            <w:pPr>
              <w:pStyle w:val="50"/>
              <w:adjustRightInd/>
              <w:snapToGrid/>
              <w:spacing w:line="276" w:lineRule="auto"/>
            </w:pPr>
            <w:r>
              <w:rPr>
                <w:rFonts w:hint="eastAsia"/>
              </w:rPr>
              <w:t>《国家税务总局关于发布〈纳税人提供不动产经营租赁服务增值税征收管理暂行办法〉的公告》（国家税务总局公告2016年第16号）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0</w:t>
            </w:r>
          </w:p>
        </w:tc>
        <w:tc>
          <w:tcPr>
            <w:tcW w:w="5783" w:type="dxa"/>
            <w:vAlign w:val="center"/>
          </w:tcPr>
          <w:p>
            <w:pPr>
              <w:pStyle w:val="50"/>
              <w:adjustRightInd/>
              <w:snapToGrid/>
              <w:spacing w:line="276" w:lineRule="auto"/>
            </w:pPr>
            <w:r>
              <w:t>《国家税务总局关于发布〈纳税人跨县（市、区）提供建筑服务增值税征收管理暂行办法〉的公告》（国家税务总局公告2016年第17号）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1</w:t>
            </w:r>
          </w:p>
        </w:tc>
        <w:tc>
          <w:tcPr>
            <w:tcW w:w="5783" w:type="dxa"/>
            <w:vAlign w:val="center"/>
          </w:tcPr>
          <w:p>
            <w:pPr>
              <w:pStyle w:val="50"/>
              <w:adjustRightInd/>
              <w:snapToGrid/>
              <w:spacing w:line="276" w:lineRule="auto"/>
            </w:pPr>
            <w:r>
              <w:rPr>
                <w:rFonts w:hint="eastAsia"/>
              </w:rPr>
              <w:t>《国家税务总局关于发布〈房地产开发企业销售自行开发的房地产项目增值税征收管理暂行办法〉的公告》（国家税务总局公告</w:t>
            </w:r>
            <w:r>
              <w:t>2016年第18号）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2</w:t>
            </w:r>
          </w:p>
        </w:tc>
        <w:tc>
          <w:tcPr>
            <w:tcW w:w="5783" w:type="dxa"/>
            <w:vAlign w:val="center"/>
          </w:tcPr>
          <w:p>
            <w:pPr>
              <w:pStyle w:val="50"/>
              <w:adjustRightInd/>
              <w:snapToGrid/>
              <w:spacing w:line="276" w:lineRule="auto"/>
            </w:pPr>
            <w:r>
              <w:rPr>
                <w:rFonts w:hint="eastAsia"/>
              </w:rPr>
              <w:t>《国家税务总局关于营改增试点若干征管问题的公告》（国家税务总局公告</w:t>
            </w:r>
            <w:r>
              <w:t>2016年第53号）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3</w:t>
            </w:r>
          </w:p>
        </w:tc>
        <w:tc>
          <w:tcPr>
            <w:tcW w:w="5783" w:type="dxa"/>
            <w:vAlign w:val="center"/>
          </w:tcPr>
          <w:p>
            <w:pPr>
              <w:pStyle w:val="50"/>
              <w:adjustRightInd/>
              <w:snapToGrid/>
              <w:spacing w:line="276" w:lineRule="auto"/>
            </w:pPr>
            <w:r>
              <w:rPr>
                <w:rFonts w:hint="eastAsia"/>
              </w:rPr>
              <w:t>《国家税务总局关于进一步明确营改增有关征管问题的公告》（国家税务总局公告</w:t>
            </w:r>
            <w:r>
              <w:t>2017年第11号）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4</w:t>
            </w:r>
          </w:p>
        </w:tc>
        <w:tc>
          <w:tcPr>
            <w:tcW w:w="5783" w:type="dxa"/>
            <w:vAlign w:val="center"/>
          </w:tcPr>
          <w:p>
            <w:pPr>
              <w:pStyle w:val="50"/>
              <w:adjustRightInd/>
              <w:snapToGrid/>
              <w:spacing w:line="276" w:lineRule="auto"/>
            </w:pPr>
            <w:r>
              <w:rPr>
                <w:rFonts w:hint="eastAsia"/>
              </w:rPr>
              <w:t>《国家税务总局关于发布</w:t>
            </w:r>
            <w:r>
              <w:t>&lt;办税事项“最多跑一次”清单&gt;的公告》（国家税务总局公告2018年第12号）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5</w:t>
            </w:r>
          </w:p>
        </w:tc>
        <w:tc>
          <w:tcPr>
            <w:tcW w:w="5783" w:type="dxa"/>
            <w:vAlign w:val="center"/>
          </w:tcPr>
          <w:p>
            <w:pPr>
              <w:pStyle w:val="50"/>
              <w:adjustRightInd/>
              <w:snapToGrid/>
              <w:spacing w:line="276" w:lineRule="auto"/>
            </w:pPr>
            <w:r>
              <w:rPr>
                <w:rFonts w:hint="eastAsia"/>
              </w:rPr>
              <w:t>《国家税务总局关于小规模纳税人免征增值税政策有关征管问题的公告》（国家税务总局公告2019年第4号）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6</w:t>
            </w:r>
          </w:p>
        </w:tc>
        <w:tc>
          <w:tcPr>
            <w:tcW w:w="5783" w:type="dxa"/>
            <w:vAlign w:val="center"/>
          </w:tcPr>
          <w:p>
            <w:pPr>
              <w:pStyle w:val="50"/>
              <w:adjustRightInd/>
              <w:snapToGrid/>
              <w:spacing w:line="276" w:lineRule="auto"/>
            </w:pPr>
            <w:r>
              <w:rPr>
                <w:rFonts w:hint="eastAsia"/>
              </w:rPr>
              <w:t>《国家税务总局关于扩大小规模纳税人自行开具增值税专用发票试点范围等事项的公告》（国家税务总局公告</w:t>
            </w:r>
            <w:r>
              <w:t>2019年第8号</w:t>
            </w:r>
            <w:r>
              <w:rPr>
                <w:rFonts w:hint="eastAsia"/>
              </w:rPr>
              <w:t>）</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7</w:t>
            </w:r>
          </w:p>
        </w:tc>
        <w:tc>
          <w:tcPr>
            <w:tcW w:w="5783" w:type="dxa"/>
            <w:vAlign w:val="center"/>
          </w:tcPr>
          <w:p>
            <w:pPr>
              <w:pStyle w:val="50"/>
              <w:adjustRightInd/>
              <w:snapToGrid/>
              <w:spacing w:line="276" w:lineRule="auto"/>
            </w:pPr>
            <w:r>
              <w:rPr>
                <w:rFonts w:hint="eastAsia"/>
              </w:rPr>
              <w:t>《国家税务总局关于增值税网上申报有关问题的通知》（国税发〔2006〕20号）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18</w:t>
            </w:r>
          </w:p>
        </w:tc>
        <w:tc>
          <w:tcPr>
            <w:tcW w:w="5783" w:type="dxa"/>
            <w:vAlign w:val="center"/>
          </w:tcPr>
          <w:p>
            <w:pPr>
              <w:pStyle w:val="50"/>
              <w:adjustRightInd/>
              <w:snapToGrid/>
              <w:spacing w:line="276" w:lineRule="auto"/>
            </w:pPr>
            <w:r>
              <w:rPr>
                <w:rFonts w:hint="eastAsia"/>
              </w:rPr>
              <w:t>《国家税务总局关于印发&lt;办税服务厅管理办法&gt;的通知》（税总发〔2018〕189号）</w:t>
            </w:r>
          </w:p>
        </w:tc>
        <w:tc>
          <w:tcPr>
            <w:tcW w:w="1667" w:type="dxa"/>
            <w:vAlign w:val="center"/>
          </w:tcPr>
          <w:p>
            <w:pPr>
              <w:pStyle w:val="50"/>
              <w:adjustRightInd/>
              <w:snapToGrid/>
              <w:spacing w:line="276" w:lineRule="auto"/>
            </w:pPr>
            <w:r>
              <w:rPr>
                <w:rFonts w:hint="eastAsia"/>
              </w:rPr>
              <w:t>依申请公开</w:t>
            </w:r>
          </w:p>
        </w:tc>
      </w:tr>
    </w:tbl>
    <w:p>
      <w:pPr>
        <w:pStyle w:val="35"/>
        <w:keepNext w:val="0"/>
        <w:wordWrap w:val="0"/>
        <w:topLinePunct w:val="0"/>
        <w:adjustRightInd/>
        <w:snapToGrid/>
        <w:spacing w:before="312" w:beforeLines="100" w:after="312" w:afterLines="100"/>
        <w:rPr>
          <w:color w:val="000000" w:themeColor="text1"/>
        </w:rPr>
      </w:pPr>
      <w:bookmarkStart w:id="46" w:name="_Toc18096114"/>
      <w:bookmarkStart w:id="47" w:name="_Toc9450"/>
      <w:bookmarkStart w:id="48" w:name="_Toc7598"/>
      <w:r>
        <w:rPr>
          <w:rFonts w:hint="eastAsia"/>
          <w:color w:val="000000" w:themeColor="text1"/>
        </w:rPr>
        <w:t>3.1.4—06</w:t>
      </w:r>
      <w:r>
        <w:rPr>
          <w:color w:val="000000" w:themeColor="text1"/>
        </w:rPr>
        <w:t>8</w:t>
      </w:r>
      <w:r>
        <w:rPr>
          <w:rFonts w:hint="eastAsia"/>
          <w:color w:val="000000" w:themeColor="text1"/>
        </w:rPr>
        <w:t>　</w:t>
      </w:r>
      <w:r>
        <w:rPr>
          <w:color w:val="000000" w:themeColor="text1"/>
        </w:rPr>
        <w:t>　</w:t>
      </w:r>
      <w:r>
        <w:rPr>
          <w:rFonts w:hint="eastAsia"/>
          <w:color w:val="000000" w:themeColor="text1"/>
        </w:rPr>
        <w:t>原油天然气增值税申报</w:t>
      </w:r>
      <w:bookmarkEnd w:id="46"/>
      <w:bookmarkEnd w:id="47"/>
      <w:bookmarkEnd w:id="48"/>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原油天然气增值税申报</w:t>
      </w:r>
    </w:p>
    <w:p>
      <w:pPr>
        <w:pStyle w:val="31"/>
        <w:wordWrap w:val="0"/>
        <w:adjustRightInd/>
        <w:snapToGrid/>
        <w:rPr>
          <w:color w:val="000000" w:themeColor="text1"/>
          <w:sz w:val="21"/>
          <w:szCs w:val="21"/>
        </w:rPr>
      </w:pPr>
      <w:r>
        <w:rPr>
          <w:rFonts w:hint="eastAsia"/>
          <w:color w:val="000000" w:themeColor="text1"/>
        </w:rPr>
        <w:t>【业务描述】</w:t>
      </w:r>
    </w:p>
    <w:p>
      <w:pPr>
        <w:pStyle w:val="16"/>
        <w:spacing w:beforeLines="0" w:afterLines="0"/>
        <w:rPr>
          <w:rFonts w:cs="Times New Roman"/>
          <w:color w:val="000000" w:themeColor="text1"/>
          <w:kern w:val="2"/>
        </w:rPr>
      </w:pPr>
      <w:r>
        <w:rPr>
          <w:rFonts w:hint="eastAsia" w:cs="Times New Roman"/>
          <w:color w:val="000000" w:themeColor="text1"/>
          <w:kern w:val="2"/>
        </w:rPr>
        <w:t>合作油（气）田</w:t>
      </w:r>
      <w:r>
        <w:rPr>
          <w:rFonts w:hint="eastAsia"/>
          <w:color w:val="000000" w:themeColor="text1"/>
        </w:rPr>
        <w:t>应依照税收法律、法规、规章及其他有关规定，在规定的纳税期限内填报《原油天然气增值税申报表》及其他相关资料，向税务机关进行原油、天然气增值税纳税申报。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bCs/>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《原油天然气增值税纳税申报表》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本次原油、天然气的销售价格、销售费用、销售去向等明细资料</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r>
        <w:rPr>
          <w:rFonts w:hint="default"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15"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5"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合作油（气）田的原油、天然气按期申报缴</w:t>
      </w:r>
      <w:r>
        <w:rPr>
          <w:rFonts w:hint="default" w:ascii="宋体" w:hAnsi="宋体" w:cs="Times New Roman"/>
          <w:color w:val="000000" w:themeColor="text1"/>
        </w:rPr>
        <w:t>纳增值税，纳税期限可以是</w:t>
      </w:r>
      <w:r>
        <w:rPr>
          <w:rFonts w:cs="Times New Roman"/>
          <w:color w:val="000000" w:themeColor="text1"/>
        </w:rPr>
        <w:t>1</w:t>
      </w:r>
      <w:r>
        <w:rPr>
          <w:rFonts w:hint="default" w:ascii="宋体" w:hAnsi="宋体" w:cs="Times New Roman"/>
          <w:color w:val="000000" w:themeColor="text1"/>
        </w:rPr>
        <w:t>日、</w:t>
      </w:r>
      <w:r>
        <w:rPr>
          <w:rFonts w:cs="Times New Roman"/>
          <w:color w:val="000000" w:themeColor="text1"/>
        </w:rPr>
        <w:t>3</w:t>
      </w:r>
      <w:r>
        <w:rPr>
          <w:rFonts w:hint="default" w:ascii="宋体" w:hAnsi="宋体" w:cs="Times New Roman"/>
          <w:color w:val="000000" w:themeColor="text1"/>
        </w:rPr>
        <w:t>日、</w:t>
      </w:r>
      <w:r>
        <w:rPr>
          <w:rFonts w:cs="Times New Roman"/>
          <w:color w:val="000000" w:themeColor="text1"/>
        </w:rPr>
        <w:t>5</w:t>
      </w:r>
      <w:r>
        <w:rPr>
          <w:rFonts w:hint="default" w:ascii="宋体" w:hAnsi="宋体" w:cs="Times New Roman"/>
          <w:color w:val="000000" w:themeColor="text1"/>
        </w:rPr>
        <w:t>日、</w:t>
      </w:r>
      <w:r>
        <w:rPr>
          <w:rFonts w:cs="Times New Roman"/>
          <w:color w:val="000000" w:themeColor="text1"/>
        </w:rPr>
        <w:t>10</w:t>
      </w:r>
      <w:r>
        <w:rPr>
          <w:rFonts w:hint="default" w:ascii="宋体" w:hAnsi="宋体" w:cs="Times New Roman"/>
          <w:color w:val="000000" w:themeColor="text1"/>
        </w:rPr>
        <w:t>日、</w:t>
      </w:r>
      <w:r>
        <w:rPr>
          <w:rFonts w:cs="Times New Roman"/>
          <w:color w:val="000000" w:themeColor="text1"/>
        </w:rPr>
        <w:t>15</w:t>
      </w:r>
      <w:r>
        <w:rPr>
          <w:rFonts w:hint="default" w:ascii="宋体" w:hAnsi="宋体" w:cs="Times New Roman"/>
          <w:color w:val="000000" w:themeColor="text1"/>
        </w:rPr>
        <w:t>日或</w:t>
      </w:r>
      <w:r>
        <w:rPr>
          <w:rFonts w:cs="Times New Roman"/>
          <w:color w:val="000000" w:themeColor="text1"/>
        </w:rPr>
        <w:t>1</w:t>
      </w:r>
      <w:r>
        <w:rPr>
          <w:rFonts w:hint="default" w:ascii="宋体" w:hAnsi="宋体" w:cs="Times New Roman"/>
          <w:color w:val="000000" w:themeColor="text1"/>
        </w:rPr>
        <w:t>个月。鉴于每月实际油价一般在次月</w:t>
      </w:r>
      <w:r>
        <w:rPr>
          <w:rFonts w:cs="Times New Roman"/>
          <w:color w:val="000000" w:themeColor="text1"/>
        </w:rPr>
        <w:t>10</w:t>
      </w:r>
      <w:r>
        <w:rPr>
          <w:rFonts w:ascii="宋体" w:hAnsi="宋体" w:cs="Times New Roman"/>
          <w:color w:val="000000" w:themeColor="text1"/>
        </w:rPr>
        <w:t>日</w:t>
      </w:r>
      <w:r>
        <w:rPr>
          <w:rFonts w:hint="default" w:ascii="宋体" w:hAnsi="宋体" w:cs="Times New Roman"/>
          <w:color w:val="000000" w:themeColor="text1"/>
        </w:rPr>
        <w:t>左右才能确定，因此采用按期纳税的纳税人，应自确定的纳税期限期满之日起</w:t>
      </w:r>
      <w:r>
        <w:rPr>
          <w:rFonts w:cs="Times New Roman"/>
          <w:color w:val="000000" w:themeColor="text1"/>
        </w:rPr>
        <w:t>5</w:t>
      </w:r>
      <w:r>
        <w:rPr>
          <w:rFonts w:hint="default" w:ascii="宋体" w:hAnsi="宋体" w:cs="Times New Roman"/>
          <w:color w:val="000000" w:themeColor="text1"/>
        </w:rPr>
        <w:t>日内预缴税款，于次月</w:t>
      </w:r>
      <w:r>
        <w:rPr>
          <w:rFonts w:cs="Times New Roman"/>
          <w:color w:val="000000" w:themeColor="text1"/>
        </w:rPr>
        <w:t>1</w:t>
      </w:r>
      <w:r>
        <w:rPr>
          <w:rFonts w:hint="default" w:ascii="宋体" w:hAnsi="宋体" w:cs="Times New Roman"/>
          <w:color w:val="000000" w:themeColor="text1"/>
        </w:rPr>
        <w:t>日起</w:t>
      </w:r>
      <w:r>
        <w:rPr>
          <w:rFonts w:cs="Times New Roman"/>
          <w:color w:val="000000" w:themeColor="text1"/>
        </w:rPr>
        <w:t>15</w:t>
      </w:r>
      <w:r>
        <w:rPr>
          <w:rFonts w:hint="default" w:ascii="宋体" w:hAnsi="宋体" w:cs="Times New Roman"/>
          <w:color w:val="000000" w:themeColor="text1"/>
        </w:rPr>
        <w:t>日内申报纳税并结清上月应纳税款。中国海洋石油总公司海上自营油（气）田比照上述有关规定执行。</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纳税人有多缴税金，又存在欠税，可办理抵缴欠税业务。</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bCs/>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实行主税附加税合并申报。纳税人申报增值税、消费税，附征的城市维护建设税、教育费附加、地方教育附加自动计算申报，纳税人可以一次性完成主税附加税申报。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进入金三操作系统，通过申报征收岗权限，按照【申报征收】—【申报】—【增值税申报】—【原油天然气增值税申报】的路径进入功能模块。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855" w:type="dxa"/>
            <w:vAlign w:val="center"/>
          </w:tcPr>
          <w:p>
            <w:pPr>
              <w:pStyle w:val="50"/>
              <w:adjustRightInd/>
              <w:snapToGrid/>
              <w:spacing w:line="276" w:lineRule="auto"/>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pPr>
            <w:r>
              <w:rPr>
                <w:rFonts w:hint="eastAsia"/>
              </w:rPr>
              <w:t>《中华人民共和国增值税暂行条例》</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pPr>
            <w:r>
              <w:rPr>
                <w:rFonts w:hint="eastAsia"/>
              </w:rPr>
              <w:t>《中华人民共和国增值税暂行条例实施细则》（中华人民共和国财政部令第65号令）</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4</w:t>
            </w:r>
          </w:p>
        </w:tc>
        <w:tc>
          <w:tcPr>
            <w:tcW w:w="5855" w:type="dxa"/>
            <w:vAlign w:val="center"/>
          </w:tcPr>
          <w:p>
            <w:pPr>
              <w:pStyle w:val="50"/>
              <w:adjustRightInd/>
              <w:snapToGrid/>
              <w:spacing w:line="276" w:lineRule="auto"/>
            </w:pPr>
            <w:r>
              <w:rPr>
                <w:rFonts w:hint="eastAsia"/>
              </w:rPr>
              <w:t>《税收票证管理办法》（国家税务总局令第28号）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55" w:type="dxa"/>
            <w:vAlign w:val="center"/>
          </w:tcPr>
          <w:p>
            <w:pPr>
              <w:pStyle w:val="50"/>
              <w:adjustRightInd/>
              <w:snapToGrid/>
              <w:spacing w:line="276" w:lineRule="auto"/>
            </w:pPr>
            <w:r>
              <w:t>《</w:t>
            </w:r>
            <w:r>
              <w:rPr>
                <w:rFonts w:hint="eastAsia"/>
              </w:rPr>
              <w:t>国家税务总局关于中外合作开采石油资源缴纳增值税有关问题的通知</w:t>
            </w:r>
            <w:r>
              <w:t>》（</w:t>
            </w:r>
            <w:r>
              <w:rPr>
                <w:rFonts w:hint="eastAsia"/>
              </w:rPr>
              <w:t>国税发〔1994〕114号</w:t>
            </w:r>
            <w:r>
              <w:t>）</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855" w:type="dxa"/>
            <w:vAlign w:val="center"/>
          </w:tcPr>
          <w:p>
            <w:pPr>
              <w:pStyle w:val="50"/>
              <w:adjustRightInd/>
              <w:snapToGrid/>
              <w:spacing w:line="276" w:lineRule="auto"/>
            </w:pPr>
            <w:r>
              <w:rPr>
                <w:rFonts w:hint="eastAsia"/>
              </w:rPr>
              <w:t>《国家税务总局关于中外合作开采石油（天然气）资源申报缴纳增值税有关问题的通知》（国税发〔2002〕450号）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855" w:type="dxa"/>
            <w:vAlign w:val="center"/>
          </w:tcPr>
          <w:p>
            <w:pPr>
              <w:pStyle w:val="50"/>
              <w:adjustRightInd/>
              <w:snapToGrid/>
              <w:spacing w:line="276" w:lineRule="auto"/>
            </w:pPr>
            <w:r>
              <w:rPr>
                <w:rFonts w:hint="eastAsia"/>
              </w:rPr>
              <w:t>《国家税务总局关于印发&lt;办税服务厅管理办法&gt;的通知》（税总发〔2018〕189号）</w:t>
            </w:r>
          </w:p>
        </w:tc>
        <w:tc>
          <w:tcPr>
            <w:tcW w:w="1595" w:type="dxa"/>
            <w:vAlign w:val="center"/>
          </w:tcPr>
          <w:p>
            <w:pPr>
              <w:pStyle w:val="50"/>
              <w:adjustRightInd/>
              <w:snapToGrid/>
              <w:spacing w:line="276" w:lineRule="auto"/>
            </w:pPr>
            <w:r>
              <w:rPr>
                <w:rFonts w:hint="eastAsia"/>
              </w:rPr>
              <w:t>依申请公开</w:t>
            </w:r>
          </w:p>
        </w:tc>
      </w:tr>
    </w:tbl>
    <w:p>
      <w:pPr>
        <w:pStyle w:val="35"/>
        <w:keepNext w:val="0"/>
        <w:wordWrap w:val="0"/>
        <w:topLinePunct w:val="0"/>
        <w:adjustRightInd/>
        <w:snapToGrid/>
        <w:spacing w:before="312" w:beforeLines="100" w:after="312" w:afterLines="100"/>
        <w:rPr>
          <w:color w:val="000000" w:themeColor="text1"/>
        </w:rPr>
      </w:pPr>
      <w:bookmarkStart w:id="49" w:name="_Toc6462"/>
      <w:bookmarkStart w:id="50" w:name="_Toc18096115"/>
      <w:bookmarkStart w:id="51" w:name="_Toc19902"/>
      <w:r>
        <w:rPr>
          <w:rFonts w:hint="eastAsia"/>
          <w:color w:val="000000" w:themeColor="text1"/>
        </w:rPr>
        <w:t>3.1.5—06</w:t>
      </w:r>
      <w:r>
        <w:rPr>
          <w:color w:val="000000" w:themeColor="text1"/>
        </w:rPr>
        <w:t>9</w:t>
      </w:r>
      <w:r>
        <w:rPr>
          <w:rFonts w:hint="eastAsia"/>
          <w:color w:val="000000" w:themeColor="text1"/>
        </w:rPr>
        <w:t>　</w:t>
      </w:r>
      <w:r>
        <w:rPr>
          <w:color w:val="000000" w:themeColor="text1"/>
        </w:rPr>
        <w:t>　</w:t>
      </w:r>
      <w:r>
        <w:rPr>
          <w:rFonts w:hint="eastAsia"/>
          <w:color w:val="000000" w:themeColor="text1"/>
        </w:rPr>
        <w:t>航空运输企业年度清算申报</w:t>
      </w:r>
      <w:bookmarkEnd w:id="49"/>
      <w:bookmarkEnd w:id="50"/>
      <w:bookmarkEnd w:id="51"/>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宋体"/>
          <w:color w:val="000000" w:themeColor="text1"/>
          <w:kern w:val="0"/>
        </w:rPr>
      </w:pPr>
      <w:r>
        <w:rPr>
          <w:rFonts w:ascii="宋体" w:hAnsi="宋体" w:cs="宋体"/>
          <w:color w:val="000000" w:themeColor="text1"/>
          <w:kern w:val="0"/>
        </w:rPr>
        <w:t>航空运输企业年度清算申报</w:t>
      </w:r>
    </w:p>
    <w:p>
      <w:pPr>
        <w:pStyle w:val="31"/>
        <w:wordWrap w:val="0"/>
        <w:adjustRightInd/>
        <w:snapToGrid/>
        <w:rPr>
          <w:color w:val="000000" w:themeColor="text1"/>
        </w:rPr>
      </w:pPr>
      <w:r>
        <w:rPr>
          <w:rFonts w:hint="eastAsia"/>
          <w:color w:val="000000" w:themeColor="text1"/>
        </w:rPr>
        <w:t>【业务描述】</w:t>
      </w:r>
    </w:p>
    <w:p>
      <w:pPr>
        <w:pStyle w:val="16"/>
        <w:spacing w:beforeLines="0" w:afterLines="0"/>
        <w:rPr>
          <w:color w:val="000000" w:themeColor="text1"/>
        </w:rPr>
      </w:pPr>
      <w:r>
        <w:rPr>
          <w:color w:val="000000" w:themeColor="text1"/>
        </w:rPr>
        <w:t>航空运输企业总机构在年度终了后</w:t>
      </w:r>
      <w:r>
        <w:rPr>
          <w:rFonts w:hint="eastAsia" w:ascii="Times New Roman" w:hAnsi="Times New Roman" w:cs="Times New Roman"/>
          <w:color w:val="000000" w:themeColor="text1"/>
        </w:rPr>
        <w:t>25</w:t>
      </w:r>
      <w:r>
        <w:rPr>
          <w:color w:val="000000" w:themeColor="text1"/>
        </w:rPr>
        <w:t>个工作日内，计算分支机构发生《应税服务范围注释》所列业务年度清算的应纳税额，并向主管税务机关报送《___年度航空运输企业年度清算表》，办理航空运输企业年度清算申报业务。</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beforeAutospacing="1"/>
              <w:rPr>
                <w:color w:val="000000" w:themeColor="text1"/>
              </w:rPr>
            </w:pPr>
            <w:r>
              <w:rPr>
                <w:color w:val="000000" w:themeColor="text1"/>
              </w:rPr>
              <w:t>《___年度航空运输企业年度清算表》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r>
        <w:rPr>
          <w:rFonts w:hint="default"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18"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5" descr="C:\Users\baoqianyu\Desktop\流程图\即办\纳税人.png纳税人"/>
                    <pic:cNvPicPr>
                      <a:picLocks noChangeAspect="1"/>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pStyle w:val="16"/>
        <w:spacing w:beforeLines="0" w:afterLines="0"/>
        <w:rPr>
          <w:rFonts w:cs="Times New Roman"/>
          <w:color w:val="000000" w:themeColor="text1"/>
          <w:kern w:val="2"/>
        </w:rPr>
      </w:pPr>
      <w:r>
        <w:rPr>
          <w:rFonts w:hint="eastAsia" w:ascii="Times New Roman" w:hAnsi="Times New Roman" w:cs="Times New Roman"/>
          <w:color w:val="000000" w:themeColor="text1"/>
          <w:kern w:val="2"/>
        </w:rPr>
        <w:t>8.</w:t>
      </w:r>
      <w:r>
        <w:rPr>
          <w:rFonts w:hint="eastAsia" w:cs="Times New Roman"/>
          <w:color w:val="000000" w:themeColor="text1"/>
          <w:kern w:val="2"/>
        </w:rPr>
        <w:t>总机构</w:t>
      </w:r>
      <w:r>
        <w:rPr>
          <w:rFonts w:cs="Times New Roman"/>
          <w:color w:val="000000" w:themeColor="text1"/>
          <w:kern w:val="2"/>
        </w:rPr>
        <w:t>主管税务机关受理申报，并于年度终了后</w:t>
      </w:r>
      <w:r>
        <w:rPr>
          <w:rFonts w:hint="eastAsia" w:ascii="Times New Roman" w:hAnsi="Times New Roman" w:cs="Times New Roman"/>
          <w:color w:val="000000" w:themeColor="text1"/>
          <w:kern w:val="2"/>
        </w:rPr>
        <w:t>40</w:t>
      </w:r>
      <w:r>
        <w:rPr>
          <w:rFonts w:cs="Times New Roman"/>
          <w:color w:val="000000" w:themeColor="text1"/>
          <w:kern w:val="2"/>
        </w:rPr>
        <w:t>个工作日内将《___年度航空运输企业年度清算表》逐级报送国家税务总局，国家税务总局根据分支机构年度清算的应纳税额情况，通知分支机构所在地的省税务机关，在一定时期内暂停分支机构预缴增值税或在分支机构预缴增值税时补缴入库。</w:t>
      </w:r>
    </w:p>
    <w:p>
      <w:pPr>
        <w:pStyle w:val="16"/>
        <w:spacing w:beforeLines="0" w:afterLines="0"/>
        <w:rPr>
          <w:color w:val="000000" w:themeColor="text1"/>
        </w:rPr>
      </w:pPr>
      <w:r>
        <w:rPr>
          <w:rFonts w:hint="eastAsia" w:ascii="Times New Roman" w:hAnsi="Times New Roman" w:cs="Times New Roman"/>
          <w:color w:val="000000" w:themeColor="text1"/>
          <w:kern w:val="2"/>
        </w:rPr>
        <w:t>9.</w:t>
      </w:r>
      <w:r>
        <w:rPr>
          <w:rFonts w:cs="Times New Roman"/>
          <w:color w:val="000000" w:themeColor="text1"/>
          <w:kern w:val="2"/>
        </w:rPr>
        <w:t>分支机构年度清算的应纳税额小于分支机构已预缴税额，且差额较大的，由国家税务总局通知分支机构所在地的省税务机关，在一定时期内暂停分支机构预缴增值税；分支机构年度清算的应纳税额大于分支机构已预缴税额，差额部分由国家税务总局通知分支机构所在地的省税务机关，在分支机构预缴增值税时一并补缴入库</w:t>
      </w:r>
      <w:r>
        <w:rPr>
          <w:rFonts w:hint="eastAsia" w:cs="Times New Roman"/>
          <w:color w:val="000000" w:themeColor="text1"/>
          <w:kern w:val="2"/>
        </w:rPr>
        <w:t>。</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pStyle w:val="31"/>
        <w:wordWrap w:val="0"/>
        <w:adjustRightInd/>
        <w:snapToGrid/>
        <w:rPr>
          <w:color w:val="000000" w:themeColor="text1"/>
        </w:rPr>
      </w:pPr>
      <w:r>
        <w:rPr>
          <w:rFonts w:ascii="宋体" w:hAnsi="宋体" w:eastAsia="宋体"/>
          <w:bCs w:val="0"/>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2.</w:t>
      </w:r>
      <w:r>
        <w:rPr>
          <w:rFonts w:hint="eastAsia" w:ascii="宋体" w:hAnsi="宋体" w:eastAsia="宋体"/>
          <w:bCs w:val="0"/>
          <w:color w:val="000000" w:themeColor="text1"/>
        </w:rPr>
        <w:t>推进税种要素申报，逐步扩大申报表免填数据项范围，实现部分申报表由系统自动生成，推送给纳税人由其确认后报送。</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3.</w:t>
      </w:r>
      <w:r>
        <w:rPr>
          <w:rFonts w:hint="eastAsia" w:ascii="宋体" w:hAnsi="宋体" w:eastAsia="宋体"/>
          <w:bCs w:val="0"/>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进入金三操作系统，通过申报征收岗权限，按照【申报征收】—【申报】—【增值税申报】—【航空运输企业年度清算申报】的路径进入功能模块。</w:t>
      </w:r>
    </w:p>
    <w:p>
      <w:pPr>
        <w:wordWrap w:val="0"/>
        <w:spacing w:line="360" w:lineRule="auto"/>
        <w:ind w:firstLine="480"/>
        <w:rPr>
          <w:rFonts w:hint="default" w:cs="Times New Roman"/>
          <w:color w:val="000000" w:themeColor="text1"/>
        </w:rPr>
      </w:pPr>
      <w:r>
        <w:rPr>
          <w:rFonts w:cs="Times New Roman"/>
          <w:color w:val="000000" w:themeColor="text1"/>
        </w:rPr>
        <w:t>2.提示事项</w:t>
      </w:r>
    </w:p>
    <w:p>
      <w:pPr>
        <w:wordWrap w:val="0"/>
        <w:spacing w:line="360" w:lineRule="auto"/>
        <w:ind w:firstLine="480"/>
        <w:rPr>
          <w:rFonts w:hint="default" w:cs="Times New Roman"/>
          <w:color w:val="000000" w:themeColor="text1"/>
        </w:rPr>
      </w:pPr>
      <w:r>
        <w:rPr>
          <w:rFonts w:cs="Times New Roman"/>
          <w:color w:val="000000" w:themeColor="text1"/>
        </w:rPr>
        <w:t>纳税人在进行航空运输企业年度清算申报前，需先完成航空运输企业汇总缴纳分支机构的申报功能。</w:t>
      </w:r>
    </w:p>
    <w:p>
      <w:pPr>
        <w:pStyle w:val="31"/>
        <w:adjustRightInd/>
        <w:snapToGrid/>
      </w:pPr>
      <w:r>
        <w:rPr>
          <w:rFonts w:hint="eastAsia"/>
        </w:rPr>
        <w:t>【政策依据】</w:t>
      </w:r>
    </w:p>
    <w:tbl>
      <w:tblPr>
        <w:tblStyle w:val="18"/>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5669"/>
        <w:gridCol w:w="1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Align w:val="center"/>
          </w:tcPr>
          <w:p>
            <w:pPr>
              <w:pStyle w:val="33"/>
              <w:adjustRightInd/>
              <w:snapToGrid/>
              <w:spacing w:line="276" w:lineRule="auto"/>
            </w:pPr>
            <w:r>
              <w:rPr>
                <w:rFonts w:hint="eastAsia"/>
              </w:rPr>
              <w:t>序号</w:t>
            </w:r>
          </w:p>
        </w:tc>
        <w:tc>
          <w:tcPr>
            <w:tcW w:w="5669" w:type="dxa"/>
            <w:vAlign w:val="center"/>
          </w:tcPr>
          <w:p>
            <w:pPr>
              <w:pStyle w:val="33"/>
              <w:adjustRightInd/>
              <w:snapToGrid/>
              <w:spacing w:line="276" w:lineRule="auto"/>
            </w:pPr>
            <w:r>
              <w:rPr>
                <w:rFonts w:hint="eastAsia"/>
              </w:rPr>
              <w:t>文件名称</w:t>
            </w:r>
          </w:p>
        </w:tc>
        <w:tc>
          <w:tcPr>
            <w:tcW w:w="1844"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Align w:val="center"/>
          </w:tcPr>
          <w:p>
            <w:pPr>
              <w:pStyle w:val="50"/>
              <w:adjustRightInd/>
              <w:snapToGrid/>
              <w:spacing w:line="276" w:lineRule="auto"/>
            </w:pPr>
            <w:r>
              <w:rPr>
                <w:rFonts w:hint="eastAsia"/>
              </w:rPr>
              <w:t>1</w:t>
            </w:r>
          </w:p>
        </w:tc>
        <w:tc>
          <w:tcPr>
            <w:tcW w:w="5669" w:type="dxa"/>
            <w:vAlign w:val="center"/>
          </w:tcPr>
          <w:p>
            <w:pPr>
              <w:pStyle w:val="50"/>
              <w:adjustRightInd/>
              <w:snapToGrid/>
              <w:spacing w:line="276" w:lineRule="auto"/>
            </w:pPr>
            <w:r>
              <w:rPr>
                <w:rFonts w:hint="eastAsia"/>
              </w:rPr>
              <w:t>《中华人民共和国税收征收管理法》</w:t>
            </w:r>
          </w:p>
        </w:tc>
        <w:tc>
          <w:tcPr>
            <w:tcW w:w="184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Align w:val="center"/>
          </w:tcPr>
          <w:p>
            <w:pPr>
              <w:pStyle w:val="50"/>
              <w:adjustRightInd/>
              <w:snapToGrid/>
              <w:spacing w:line="276" w:lineRule="auto"/>
            </w:pPr>
            <w:r>
              <w:rPr>
                <w:rFonts w:hint="eastAsia"/>
              </w:rPr>
              <w:t>2</w:t>
            </w:r>
          </w:p>
        </w:tc>
        <w:tc>
          <w:tcPr>
            <w:tcW w:w="5669" w:type="dxa"/>
            <w:vAlign w:val="center"/>
          </w:tcPr>
          <w:p>
            <w:pPr>
              <w:pStyle w:val="50"/>
              <w:adjustRightInd/>
              <w:snapToGrid/>
              <w:spacing w:line="276" w:lineRule="auto"/>
            </w:pPr>
            <w:r>
              <w:t>《中华人民共和国</w:t>
            </w:r>
            <w:r>
              <w:rPr>
                <w:rFonts w:hint="eastAsia"/>
              </w:rPr>
              <w:t>增值</w:t>
            </w:r>
            <w:r>
              <w:t>税暂行条例》</w:t>
            </w:r>
          </w:p>
        </w:tc>
        <w:tc>
          <w:tcPr>
            <w:tcW w:w="184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Align w:val="center"/>
          </w:tcPr>
          <w:p>
            <w:pPr>
              <w:pStyle w:val="50"/>
              <w:adjustRightInd/>
              <w:snapToGrid/>
              <w:spacing w:line="276" w:lineRule="auto"/>
            </w:pPr>
            <w:r>
              <w:rPr>
                <w:rFonts w:hint="eastAsia"/>
              </w:rPr>
              <w:t>3</w:t>
            </w:r>
          </w:p>
        </w:tc>
        <w:tc>
          <w:tcPr>
            <w:tcW w:w="5669" w:type="dxa"/>
            <w:vAlign w:val="center"/>
          </w:tcPr>
          <w:p>
            <w:pPr>
              <w:pStyle w:val="50"/>
              <w:adjustRightInd/>
              <w:snapToGrid/>
              <w:spacing w:line="276" w:lineRule="auto"/>
            </w:pPr>
            <w:r>
              <w:t>《中华人民共和国</w:t>
            </w:r>
            <w:r>
              <w:rPr>
                <w:rFonts w:hint="eastAsia"/>
              </w:rPr>
              <w:t>增值</w:t>
            </w:r>
            <w:r>
              <w:t>税暂行条例实施细则》（</w:t>
            </w:r>
            <w:r>
              <w:rPr>
                <w:rFonts w:hint="eastAsia"/>
              </w:rPr>
              <w:t>中华人民共和国财政部</w:t>
            </w:r>
            <w:r>
              <w:t>令</w:t>
            </w:r>
            <w:r>
              <w:rPr>
                <w:rFonts w:hint="eastAsia"/>
              </w:rPr>
              <w:t>第65</w:t>
            </w:r>
            <w:r>
              <w:t>号）</w:t>
            </w:r>
          </w:p>
        </w:tc>
        <w:tc>
          <w:tcPr>
            <w:tcW w:w="184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Align w:val="center"/>
          </w:tcPr>
          <w:p>
            <w:pPr>
              <w:pStyle w:val="50"/>
              <w:adjustRightInd/>
              <w:snapToGrid/>
              <w:spacing w:line="276" w:lineRule="auto"/>
            </w:pPr>
            <w:r>
              <w:rPr>
                <w:rFonts w:hint="eastAsia"/>
              </w:rPr>
              <w:t>4</w:t>
            </w:r>
          </w:p>
        </w:tc>
        <w:tc>
          <w:tcPr>
            <w:tcW w:w="5669" w:type="dxa"/>
            <w:vAlign w:val="center"/>
          </w:tcPr>
          <w:p>
            <w:pPr>
              <w:pStyle w:val="50"/>
              <w:adjustRightInd/>
              <w:snapToGrid/>
              <w:spacing w:line="276" w:lineRule="auto"/>
            </w:pPr>
            <w:r>
              <w:rPr>
                <w:rFonts w:hint="eastAsia"/>
              </w:rPr>
              <w:t>《税收票证管理办法》（国家税务总局令第28号）</w:t>
            </w:r>
          </w:p>
        </w:tc>
        <w:tc>
          <w:tcPr>
            <w:tcW w:w="184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Align w:val="center"/>
          </w:tcPr>
          <w:p>
            <w:pPr>
              <w:pStyle w:val="50"/>
              <w:adjustRightInd/>
              <w:snapToGrid/>
              <w:spacing w:line="276" w:lineRule="auto"/>
            </w:pPr>
            <w:r>
              <w:rPr>
                <w:rFonts w:hint="eastAsia"/>
              </w:rPr>
              <w:t>5</w:t>
            </w:r>
          </w:p>
        </w:tc>
        <w:tc>
          <w:tcPr>
            <w:tcW w:w="5669" w:type="dxa"/>
            <w:vAlign w:val="center"/>
          </w:tcPr>
          <w:p>
            <w:pPr>
              <w:pStyle w:val="50"/>
              <w:adjustRightInd/>
              <w:snapToGrid/>
              <w:spacing w:line="276" w:lineRule="auto"/>
            </w:pPr>
            <w:r>
              <w:t>《</w:t>
            </w:r>
            <w:r>
              <w:rPr>
                <w:rFonts w:hint="eastAsia"/>
              </w:rPr>
              <w:t>国家税务总局关于发布</w:t>
            </w:r>
            <w:r>
              <w:t>〈</w:t>
            </w:r>
            <w:r>
              <w:rPr>
                <w:rFonts w:hint="eastAsia"/>
              </w:rPr>
              <w:t>航空运输企业增值税征收管理暂行办法</w:t>
            </w:r>
            <w:r>
              <w:t>〉</w:t>
            </w:r>
            <w:r>
              <w:rPr>
                <w:rFonts w:hint="eastAsia"/>
              </w:rPr>
              <w:t>的公告</w:t>
            </w:r>
            <w:r>
              <w:t>》（</w:t>
            </w:r>
            <w:r>
              <w:rPr>
                <w:rFonts w:hint="eastAsia"/>
              </w:rPr>
              <w:t>国家税务总局公告2013年第68号</w:t>
            </w:r>
            <w:r>
              <w:t>）</w:t>
            </w:r>
          </w:p>
        </w:tc>
        <w:tc>
          <w:tcPr>
            <w:tcW w:w="184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Align w:val="center"/>
          </w:tcPr>
          <w:p>
            <w:pPr>
              <w:pStyle w:val="50"/>
              <w:adjustRightInd/>
              <w:snapToGrid/>
              <w:spacing w:line="276" w:lineRule="auto"/>
            </w:pPr>
            <w:r>
              <w:rPr>
                <w:rFonts w:hint="eastAsia"/>
              </w:rPr>
              <w:t>6</w:t>
            </w:r>
          </w:p>
        </w:tc>
        <w:tc>
          <w:tcPr>
            <w:tcW w:w="5669"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844"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52" w:name="_Toc18096116"/>
      <w:r>
        <w:rPr>
          <w:rFonts w:hint="eastAsia"/>
          <w:color w:val="000000" w:themeColor="text1"/>
        </w:rPr>
        <w:t>3.2　　消费税申报</w:t>
      </w:r>
      <w:bookmarkEnd w:id="14"/>
      <w:bookmarkEnd w:id="52"/>
    </w:p>
    <w:p>
      <w:pPr>
        <w:pStyle w:val="30"/>
        <w:wordWrap w:val="0"/>
        <w:topLinePunct w:val="0"/>
        <w:spacing w:before="312" w:after="312"/>
        <w:rPr>
          <w:color w:val="000000" w:themeColor="text1"/>
        </w:rPr>
      </w:pPr>
      <w:bookmarkStart w:id="53" w:name="_Toc18096117"/>
      <w:bookmarkStart w:id="54" w:name="_Toc15411"/>
      <w:bookmarkStart w:id="55" w:name="_Toc5357"/>
      <w:r>
        <w:rPr>
          <w:rFonts w:hint="eastAsia"/>
          <w:color w:val="000000" w:themeColor="text1"/>
        </w:rPr>
        <w:t>3.2.1—0</w:t>
      </w:r>
      <w:r>
        <w:rPr>
          <w:color w:val="000000" w:themeColor="text1"/>
        </w:rPr>
        <w:t>70</w:t>
      </w:r>
      <w:r>
        <w:rPr>
          <w:rFonts w:hint="eastAsia"/>
          <w:color w:val="000000" w:themeColor="text1"/>
        </w:rPr>
        <w:t>　</w:t>
      </w:r>
      <w:r>
        <w:rPr>
          <w:color w:val="000000" w:themeColor="text1"/>
        </w:rPr>
        <w:t>　</w:t>
      </w:r>
      <w:r>
        <w:rPr>
          <w:rFonts w:hint="eastAsia"/>
          <w:color w:val="000000" w:themeColor="text1"/>
        </w:rPr>
        <w:t>消费税申报</w:t>
      </w:r>
      <w:bookmarkEnd w:id="53"/>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消费税申报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在中华人民共和国境内生产、委托加工和进口规定的消费品的单位和个人，以及国务院确定的销售规定的消费品的其他单位和个人，依据相关税收法律、法规、规章及其他有关规定，在规定的纳税申报期限内填报消费税申报表</w:t>
      </w:r>
      <w:r>
        <w:rPr>
          <w:rFonts w:ascii="宋体" w:hAnsi="宋体" w:cs="Times New Roman"/>
          <w:color w:val="000000" w:themeColor="text1"/>
        </w:rPr>
        <w:t>、</w:t>
      </w:r>
      <w:r>
        <w:rPr>
          <w:rFonts w:hint="default" w:ascii="宋体" w:hAnsi="宋体" w:cs="Times New Roman"/>
          <w:color w:val="000000" w:themeColor="text1"/>
        </w:rPr>
        <w:t>附表</w:t>
      </w:r>
      <w:r>
        <w:rPr>
          <w:rFonts w:ascii="宋体" w:hAnsi="宋体" w:cs="Times New Roman"/>
          <w:color w:val="000000" w:themeColor="text1"/>
        </w:rPr>
        <w:t>和</w:t>
      </w:r>
      <w:r>
        <w:rPr>
          <w:rFonts w:hint="default" w:ascii="宋体" w:hAnsi="宋体" w:cs="Times New Roman"/>
          <w:color w:val="000000" w:themeColor="text1"/>
        </w:rPr>
        <w:t>其他相关资料，向税务机关进行纳税申报。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《中华人民共和国消费税暂行条例》第一条第一款</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843"/>
        <w:gridCol w:w="2693"/>
        <w:gridCol w:w="425"/>
        <w:gridCol w:w="338"/>
        <w:gridCol w:w="655"/>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2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763"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041"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2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《消费税纳税申报表》</w:t>
            </w:r>
          </w:p>
        </w:tc>
        <w:tc>
          <w:tcPr>
            <w:tcW w:w="763"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041"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7"/>
            <w:tcBorders>
              <w:top w:val="single" w:color="auto" w:sz="4" w:space="0"/>
              <w:left w:val="single" w:color="auto" w:sz="4" w:space="0"/>
              <w:bottom w:val="single" w:color="auto" w:sz="4" w:space="0"/>
              <w:right w:val="single" w:color="auto" w:sz="4" w:space="0"/>
            </w:tcBorders>
            <w:shd w:val="clear" w:color="auto" w:fill="D8D8D8"/>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shd w:val="clear" w:color="auto" w:fill="D8D8D8"/>
            <w:vAlign w:val="center"/>
          </w:tcPr>
          <w:p>
            <w:pPr>
              <w:pStyle w:val="32"/>
              <w:wordWrap w:val="0"/>
              <w:adjustRightInd/>
              <w:snapToGrid/>
              <w:spacing w:line="240" w:lineRule="auto"/>
              <w:rPr>
                <w:color w:val="000000" w:themeColor="text1"/>
                <w:lang w:val="en-US"/>
              </w:rPr>
            </w:pPr>
            <w:r>
              <w:rPr>
                <w:rFonts w:hint="eastAsia"/>
                <w:color w:val="000000" w:themeColor="text1"/>
                <w:lang w:val="en-US"/>
              </w:rPr>
              <w:t>适用情形</w:t>
            </w:r>
          </w:p>
        </w:tc>
        <w:tc>
          <w:tcPr>
            <w:tcW w:w="3118" w:type="dxa"/>
            <w:gridSpan w:val="2"/>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993" w:type="dxa"/>
            <w:gridSpan w:val="2"/>
            <w:tcBorders>
              <w:top w:val="single" w:color="auto" w:sz="4" w:space="0"/>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1386" w:type="dxa"/>
            <w:tcBorders>
              <w:top w:val="single" w:color="auto" w:sz="4" w:space="0"/>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除成品油消费税纳税人外的其他纳税人</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《本期准予扣除税额计算表》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成品油消费税纳税人</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《本期准予扣除税额计算表（成品油纳税人适用）》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发生委托加工业务的纳税人</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《本期委托加工收回情况报告表》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享受消费税减免税的纳税人</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《本期减（免）税额明细表》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批发卷烟的消费税纳税人</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《卷烟批发企业月份销售明细清单》</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exact"/>
          <w:jc w:val="center"/>
        </w:trPr>
        <w:tc>
          <w:tcPr>
            <w:tcW w:w="266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执行定点直供计划销售石脑油、燃料油，且开具普通版增值税专用发票的纳税人</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《生产企业定点直供石脑油、燃料油开具普通版增值税专用发票明细表》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vAlign w:val="center"/>
          </w:tcPr>
          <w:p>
            <w:pPr>
              <w:wordWrap w:val="0"/>
              <w:spacing w:line="240" w:lineRule="auto"/>
              <w:ind w:firstLine="0" w:firstLineChars="0"/>
              <w:jc w:val="center"/>
              <w:rPr>
                <w:rFonts w:hint="default" w:ascii="宋体" w:hAnsi="宋体" w:cs="Times New Roman"/>
                <w:color w:val="000000" w:themeColor="text1"/>
              </w:rPr>
            </w:pPr>
            <w:r>
              <w:rPr>
                <w:rFonts w:ascii="黑体" w:hAnsi="黑体" w:eastAsia="黑体" w:cs="Times New Roman"/>
                <w:color w:val="000000" w:themeColor="text1"/>
                <w:sz w:val="18"/>
                <w:szCs w:val="18"/>
              </w:rPr>
              <w:t>石脑油、燃料油生产企业销售含税石脑油、燃料油</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《生产企业销售含税石脑油、燃料油完税情况明细表》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使用石脑油、燃料油生产乙烯、芳烃类产品申请石脑油、燃料油退</w:t>
            </w:r>
            <w:r>
              <w:rPr>
                <w:color w:val="000000" w:themeColor="text1"/>
              </w:rPr>
              <w:t>（</w:t>
            </w:r>
            <w:r>
              <w:rPr>
                <w:rFonts w:hint="eastAsia"/>
                <w:color w:val="000000" w:themeColor="text1"/>
              </w:rPr>
              <w:t>免</w:t>
            </w:r>
            <w:r>
              <w:rPr>
                <w:color w:val="000000" w:themeColor="text1"/>
              </w:rPr>
              <w:t>）</w:t>
            </w:r>
            <w:r>
              <w:rPr>
                <w:rFonts w:hint="eastAsia"/>
                <w:color w:val="000000" w:themeColor="text1"/>
              </w:rPr>
              <w:t>消费税的企业</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《使用企业外购石脑油、燃料油凭证明细表》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《石脑油、燃料油生产、外购、耗用、库存月度统计表》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《乙烯、芳烃生产装置投入产出流量计统计表》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2666"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按照销售分配比例计算缴纳消费税的汇总</w:t>
            </w:r>
            <w:r>
              <w:rPr>
                <w:color w:val="000000" w:themeColor="text1"/>
              </w:rPr>
              <w:t>纳税企业总机构</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《汇总纳税企业消费税分配表》</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66" w:type="dxa"/>
            <w:gridSpan w:val="2"/>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已核定白酒最低计税价格</w:t>
            </w:r>
            <w:r>
              <w:rPr>
                <w:rFonts w:hint="default" w:ascii="黑体" w:hAnsi="黑体" w:eastAsia="黑体" w:cs="Times New Roman"/>
                <w:color w:val="000000" w:themeColor="text1"/>
                <w:sz w:val="18"/>
                <w:szCs w:val="18"/>
              </w:rPr>
              <w:t>的</w:t>
            </w:r>
            <w:r>
              <w:rPr>
                <w:rFonts w:ascii="黑体" w:hAnsi="黑体" w:eastAsia="黑体" w:cs="Times New Roman"/>
                <w:color w:val="000000" w:themeColor="text1"/>
                <w:sz w:val="18"/>
                <w:szCs w:val="18"/>
              </w:rPr>
              <w:t>白酒生产企业</w:t>
            </w:r>
          </w:p>
        </w:tc>
        <w:tc>
          <w:tcPr>
            <w:tcW w:w="311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《已核定最低计税价格白酒清单》</w:t>
            </w:r>
          </w:p>
        </w:tc>
        <w:tc>
          <w:tcPr>
            <w:tcW w:w="993"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8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184140" cy="1765935"/>
            <wp:effectExtent l="0" t="0" r="10160" b="0"/>
            <wp:docPr id="26"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26"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消费税的纳税期限分别为</w:t>
      </w:r>
      <w:r>
        <w:rPr>
          <w:rFonts w:cs="Times New Roman"/>
          <w:color w:val="000000" w:themeColor="text1"/>
        </w:rPr>
        <w:t>1</w:t>
      </w:r>
      <w:r>
        <w:rPr>
          <w:rFonts w:hint="default" w:ascii="宋体" w:hAnsi="宋体" w:cs="Times New Roman"/>
          <w:color w:val="000000" w:themeColor="text1"/>
        </w:rPr>
        <w:t>日、</w:t>
      </w:r>
      <w:r>
        <w:rPr>
          <w:rFonts w:cs="Times New Roman"/>
          <w:color w:val="000000" w:themeColor="text1"/>
        </w:rPr>
        <w:t>3</w:t>
      </w:r>
      <w:r>
        <w:rPr>
          <w:rFonts w:hint="default" w:ascii="宋体" w:hAnsi="宋体" w:cs="Times New Roman"/>
          <w:color w:val="000000" w:themeColor="text1"/>
        </w:rPr>
        <w:t>日、</w:t>
      </w:r>
      <w:r>
        <w:rPr>
          <w:rFonts w:cs="Times New Roman"/>
          <w:color w:val="000000" w:themeColor="text1"/>
        </w:rPr>
        <w:t>5</w:t>
      </w:r>
      <w:r>
        <w:rPr>
          <w:rFonts w:hint="default" w:ascii="宋体" w:hAnsi="宋体" w:cs="Times New Roman"/>
          <w:color w:val="000000" w:themeColor="text1"/>
        </w:rPr>
        <w:t>日、</w:t>
      </w:r>
      <w:r>
        <w:rPr>
          <w:rFonts w:cs="Times New Roman"/>
          <w:color w:val="000000" w:themeColor="text1"/>
        </w:rPr>
        <w:t>10</w:t>
      </w:r>
      <w:r>
        <w:rPr>
          <w:rFonts w:hint="default" w:ascii="宋体" w:hAnsi="宋体" w:cs="Times New Roman"/>
          <w:color w:val="000000" w:themeColor="text1"/>
        </w:rPr>
        <w:t>日、</w:t>
      </w:r>
      <w:r>
        <w:rPr>
          <w:rFonts w:cs="Times New Roman"/>
          <w:color w:val="000000" w:themeColor="text1"/>
        </w:rPr>
        <w:t>15</w:t>
      </w:r>
      <w:r>
        <w:rPr>
          <w:rFonts w:hint="default" w:ascii="宋体" w:hAnsi="宋体" w:cs="Times New Roman"/>
          <w:color w:val="000000" w:themeColor="text1"/>
        </w:rPr>
        <w:t>日、</w:t>
      </w:r>
      <w:r>
        <w:rPr>
          <w:rFonts w:cs="Times New Roman"/>
          <w:color w:val="000000" w:themeColor="text1"/>
        </w:rPr>
        <w:t>1</w:t>
      </w:r>
      <w:r>
        <w:rPr>
          <w:rFonts w:hint="default" w:ascii="宋体" w:hAnsi="宋体" w:cs="Times New Roman"/>
          <w:color w:val="000000" w:themeColor="text1"/>
        </w:rPr>
        <w:t>个月或者</w:t>
      </w:r>
      <w:r>
        <w:rPr>
          <w:rFonts w:cs="Times New Roman"/>
          <w:color w:val="000000" w:themeColor="text1"/>
        </w:rPr>
        <w:t>1</w:t>
      </w:r>
      <w:r>
        <w:rPr>
          <w:rFonts w:hint="default" w:ascii="宋体" w:hAnsi="宋体" w:cs="Times New Roman"/>
          <w:color w:val="000000" w:themeColor="text1"/>
        </w:rPr>
        <w:t>个季度。纳税人的具体纳税期限，由主管税务机关根据纳税人应纳税额的大小分别核定；不能按照固定期限纳税的，可以按次纳税。纳税人以</w:t>
      </w:r>
      <w:r>
        <w:rPr>
          <w:rFonts w:cs="Times New Roman"/>
          <w:color w:val="000000" w:themeColor="text1"/>
        </w:rPr>
        <w:t>1</w:t>
      </w:r>
      <w:r>
        <w:rPr>
          <w:rFonts w:hint="default" w:ascii="宋体" w:hAnsi="宋体" w:cs="Times New Roman"/>
          <w:color w:val="000000" w:themeColor="text1"/>
        </w:rPr>
        <w:t>个月或者</w:t>
      </w:r>
      <w:r>
        <w:rPr>
          <w:rFonts w:cs="Times New Roman"/>
          <w:color w:val="000000" w:themeColor="text1"/>
        </w:rPr>
        <w:t>1</w:t>
      </w:r>
      <w:r>
        <w:rPr>
          <w:rFonts w:hint="default" w:ascii="宋体" w:hAnsi="宋体" w:cs="Times New Roman"/>
          <w:color w:val="000000" w:themeColor="text1"/>
        </w:rPr>
        <w:t>个季度为</w:t>
      </w:r>
      <w:r>
        <w:rPr>
          <w:rFonts w:cs="Times New Roman"/>
          <w:color w:val="000000" w:themeColor="text1"/>
        </w:rPr>
        <w:t>1</w:t>
      </w:r>
      <w:r>
        <w:rPr>
          <w:rFonts w:hint="default" w:ascii="宋体" w:hAnsi="宋体" w:cs="Times New Roman"/>
          <w:color w:val="000000" w:themeColor="text1"/>
        </w:rPr>
        <w:t>个纳税期的，自期满之日起</w:t>
      </w:r>
      <w:r>
        <w:rPr>
          <w:rFonts w:cs="Times New Roman"/>
          <w:color w:val="000000" w:themeColor="text1"/>
        </w:rPr>
        <w:t>15</w:t>
      </w:r>
      <w:r>
        <w:rPr>
          <w:rFonts w:hint="default" w:ascii="宋体" w:hAnsi="宋体" w:cs="Times New Roman"/>
          <w:color w:val="000000" w:themeColor="text1"/>
        </w:rPr>
        <w:t>日内申报纳税；以</w:t>
      </w:r>
      <w:r>
        <w:rPr>
          <w:rFonts w:cs="Times New Roman"/>
          <w:color w:val="000000" w:themeColor="text1"/>
        </w:rPr>
        <w:t>1</w:t>
      </w:r>
      <w:r>
        <w:rPr>
          <w:rFonts w:hint="default" w:ascii="宋体" w:hAnsi="宋体" w:cs="Times New Roman"/>
          <w:color w:val="000000" w:themeColor="text1"/>
        </w:rPr>
        <w:t>日、</w:t>
      </w:r>
      <w:r>
        <w:rPr>
          <w:rFonts w:cs="Times New Roman"/>
          <w:color w:val="000000" w:themeColor="text1"/>
        </w:rPr>
        <w:t>3</w:t>
      </w:r>
      <w:r>
        <w:rPr>
          <w:rFonts w:hint="default" w:ascii="宋体" w:hAnsi="宋体" w:cs="Times New Roman"/>
          <w:color w:val="000000" w:themeColor="text1"/>
        </w:rPr>
        <w:t>日、</w:t>
      </w:r>
      <w:r>
        <w:rPr>
          <w:rFonts w:cs="Times New Roman"/>
          <w:color w:val="000000" w:themeColor="text1"/>
        </w:rPr>
        <w:t>5</w:t>
      </w:r>
      <w:r>
        <w:rPr>
          <w:rFonts w:hint="default" w:ascii="宋体" w:hAnsi="宋体" w:cs="Times New Roman"/>
          <w:color w:val="000000" w:themeColor="text1"/>
        </w:rPr>
        <w:t>日、</w:t>
      </w:r>
      <w:r>
        <w:rPr>
          <w:rFonts w:cs="Times New Roman"/>
          <w:color w:val="000000" w:themeColor="text1"/>
        </w:rPr>
        <w:t>10</w:t>
      </w:r>
      <w:r>
        <w:rPr>
          <w:rFonts w:hint="default" w:ascii="宋体" w:hAnsi="宋体" w:cs="Times New Roman"/>
          <w:color w:val="000000" w:themeColor="text1"/>
        </w:rPr>
        <w:t>日或者</w:t>
      </w:r>
      <w:r>
        <w:rPr>
          <w:rFonts w:cs="Times New Roman"/>
          <w:color w:val="000000" w:themeColor="text1"/>
        </w:rPr>
        <w:t>15</w:t>
      </w:r>
      <w:r>
        <w:rPr>
          <w:rFonts w:hint="default" w:ascii="宋体" w:hAnsi="宋体" w:cs="Times New Roman"/>
          <w:color w:val="000000" w:themeColor="text1"/>
        </w:rPr>
        <w:t>日为</w:t>
      </w:r>
      <w:r>
        <w:rPr>
          <w:rFonts w:cs="Times New Roman"/>
          <w:color w:val="000000" w:themeColor="text1"/>
        </w:rPr>
        <w:t>1</w:t>
      </w:r>
      <w:r>
        <w:rPr>
          <w:rFonts w:hint="default" w:ascii="宋体" w:hAnsi="宋体" w:cs="Times New Roman"/>
          <w:color w:val="000000" w:themeColor="text1"/>
        </w:rPr>
        <w:t>个纳税期的，自期满之日起</w:t>
      </w:r>
      <w:r>
        <w:rPr>
          <w:rFonts w:cs="Times New Roman"/>
          <w:color w:val="000000" w:themeColor="text1"/>
        </w:rPr>
        <w:t>5</w:t>
      </w:r>
      <w:r>
        <w:rPr>
          <w:rFonts w:hint="default" w:ascii="宋体" w:hAnsi="宋体" w:cs="Times New Roman"/>
          <w:color w:val="000000" w:themeColor="text1"/>
        </w:rPr>
        <w:t>日内预缴税款，于次月</w:t>
      </w:r>
      <w:r>
        <w:rPr>
          <w:rFonts w:cs="Times New Roman"/>
          <w:color w:val="000000" w:themeColor="text1"/>
        </w:rPr>
        <w:t>1</w:t>
      </w:r>
      <w:r>
        <w:rPr>
          <w:rFonts w:hint="default" w:ascii="宋体" w:hAnsi="宋体" w:cs="Times New Roman"/>
          <w:color w:val="000000" w:themeColor="text1"/>
        </w:rPr>
        <w:t>日起</w:t>
      </w:r>
      <w:r>
        <w:rPr>
          <w:rFonts w:cs="Times New Roman"/>
          <w:color w:val="000000" w:themeColor="text1"/>
        </w:rPr>
        <w:t>15</w:t>
      </w:r>
      <w:r>
        <w:rPr>
          <w:rFonts w:hint="default" w:ascii="宋体" w:hAnsi="宋体" w:cs="Times New Roman"/>
          <w:color w:val="000000" w:themeColor="text1"/>
        </w:rPr>
        <w:t>日内申报纳税并结清上月应纳税款。</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纳税人应建立《葡萄酒消费税抵扣税款台账》，作为申报扣除外购、进口应税葡萄酒已纳消费税税款的备查资料。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纳税人应当建立《电池、涂料税款抵扣台账》，作为申报扣除委托加工收回应税消费品已纳消费税税款的备查资料。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自税款所属期</w:t>
      </w:r>
      <w:r>
        <w:rPr>
          <w:rFonts w:cs="Times New Roman"/>
          <w:color w:val="000000" w:themeColor="text1"/>
        </w:rPr>
        <w:t>2018</w:t>
      </w:r>
      <w:r>
        <w:rPr>
          <w:rFonts w:hint="default" w:ascii="宋体" w:hAnsi="宋体" w:cs="Times New Roman"/>
          <w:color w:val="000000" w:themeColor="text1"/>
        </w:rPr>
        <w:t>年</w:t>
      </w:r>
      <w:r>
        <w:rPr>
          <w:rFonts w:cs="Times New Roman"/>
          <w:color w:val="000000" w:themeColor="text1"/>
        </w:rPr>
        <w:t>3</w:t>
      </w:r>
      <w:r>
        <w:rPr>
          <w:rFonts w:hint="default" w:ascii="宋体" w:hAnsi="宋体" w:cs="Times New Roman"/>
          <w:color w:val="000000" w:themeColor="text1"/>
        </w:rPr>
        <w:t>月起，成品油消费税纳税人申报的某一类成品油销售数量，应大于或等于开具的该同一类成品油发票所载明的数量；申报扣除的成品油数量，应小于或等于取得的扣除凭证载明数量。</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ascii="宋体" w:hAnsi="宋体" w:cs="Times New Roman"/>
          <w:color w:val="000000" w:themeColor="text1"/>
        </w:rPr>
        <w:t>纳税人享受减税、免税待遇的，在减税、免税期间应当按照规定办理纳税申报，</w:t>
      </w:r>
      <w:r>
        <w:rPr>
          <w:rFonts w:hint="default" w:ascii="宋体" w:hAnsi="宋体" w:cs="Times New Roman"/>
          <w:color w:val="000000" w:themeColor="text1"/>
        </w:rPr>
        <w:t>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实行主税附加税合并申报。纳税人申报增值税、消费税，附征的城市维护建设税、教育费附加、地方教育附加自动计算申报，纳税人可以一次性完成主税附加税申报。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进入金三操作系统，通过申报征收岗权限，按照【申报征收】—【申报】—【消费税申报】的路径进入功能模块。保存成功后依系统提示自动跳转至【附加税（费）申报】模块进行申报。</w:t>
      </w:r>
    </w:p>
    <w:p>
      <w:pPr>
        <w:pStyle w:val="31"/>
        <w:adjustRightInd/>
        <w:snapToGrid/>
      </w:pPr>
      <w:r>
        <w:rPr>
          <w:rFonts w:hint="eastAsia"/>
        </w:rPr>
        <w:t>【政策依据】</w:t>
      </w:r>
    </w:p>
    <w:tbl>
      <w:tblPr>
        <w:tblStyle w:val="18"/>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5954"/>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33"/>
              <w:adjustRightInd/>
              <w:snapToGrid/>
              <w:spacing w:line="276" w:lineRule="auto"/>
            </w:pPr>
            <w:r>
              <w:rPr>
                <w:rFonts w:hint="eastAsia"/>
              </w:rPr>
              <w:t>序号</w:t>
            </w:r>
          </w:p>
        </w:tc>
        <w:tc>
          <w:tcPr>
            <w:tcW w:w="5954" w:type="dxa"/>
            <w:vAlign w:val="center"/>
          </w:tcPr>
          <w:p>
            <w:pPr>
              <w:pStyle w:val="33"/>
              <w:adjustRightInd/>
              <w:snapToGrid/>
              <w:spacing w:line="276" w:lineRule="auto"/>
            </w:pPr>
            <w:r>
              <w:rPr>
                <w:rFonts w:hint="eastAsia"/>
              </w:rPr>
              <w:t>文件名称</w:t>
            </w:r>
          </w:p>
        </w:tc>
        <w:tc>
          <w:tcPr>
            <w:tcW w:w="170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w:t>
            </w:r>
          </w:p>
        </w:tc>
        <w:tc>
          <w:tcPr>
            <w:tcW w:w="5954" w:type="dxa"/>
            <w:vAlign w:val="center"/>
          </w:tcPr>
          <w:p>
            <w:pPr>
              <w:pStyle w:val="50"/>
              <w:adjustRightInd/>
              <w:snapToGrid/>
              <w:spacing w:line="276" w:lineRule="auto"/>
            </w:pPr>
            <w:r>
              <w:rPr>
                <w:rFonts w:hint="eastAsia"/>
              </w:rPr>
              <w:t>《中华人民共和国税收征收管理法》</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w:t>
            </w:r>
          </w:p>
        </w:tc>
        <w:tc>
          <w:tcPr>
            <w:tcW w:w="5954" w:type="dxa"/>
            <w:vAlign w:val="center"/>
          </w:tcPr>
          <w:p>
            <w:pPr>
              <w:pStyle w:val="50"/>
              <w:adjustRightInd/>
              <w:snapToGrid/>
              <w:spacing w:line="276" w:lineRule="auto"/>
            </w:pPr>
            <w:r>
              <w:t>《中华人民共和国消费税暂行条例》</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w:t>
            </w:r>
          </w:p>
        </w:tc>
        <w:tc>
          <w:tcPr>
            <w:tcW w:w="5954" w:type="dxa"/>
            <w:vAlign w:val="center"/>
          </w:tcPr>
          <w:p>
            <w:pPr>
              <w:pStyle w:val="50"/>
              <w:adjustRightInd/>
              <w:snapToGrid/>
              <w:spacing w:line="276" w:lineRule="auto"/>
            </w:pPr>
            <w:r>
              <w:t>《中华人民共和国消费税暂行条例实施细则》（财政部</w:t>
            </w:r>
            <w:r>
              <w:rPr>
                <w:rFonts w:hint="eastAsia"/>
              </w:rPr>
              <w:t xml:space="preserve"> </w:t>
            </w:r>
            <w:r>
              <w:t>国家税务总局令第51号）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4</w:t>
            </w:r>
          </w:p>
        </w:tc>
        <w:tc>
          <w:tcPr>
            <w:tcW w:w="5954" w:type="dxa"/>
            <w:vAlign w:val="center"/>
          </w:tcPr>
          <w:p>
            <w:pPr>
              <w:pStyle w:val="50"/>
              <w:adjustRightInd/>
              <w:snapToGrid/>
              <w:spacing w:line="276" w:lineRule="auto"/>
            </w:pPr>
            <w:r>
              <w:t>《卷烟消费税计税价格信息采集和核定管理办法》（国家税务总局令第26号）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5</w:t>
            </w:r>
          </w:p>
        </w:tc>
        <w:tc>
          <w:tcPr>
            <w:tcW w:w="5954" w:type="dxa"/>
            <w:vAlign w:val="center"/>
          </w:tcPr>
          <w:p>
            <w:pPr>
              <w:pStyle w:val="50"/>
              <w:adjustRightInd/>
              <w:snapToGrid/>
              <w:spacing w:line="276" w:lineRule="auto"/>
            </w:pPr>
            <w:r>
              <w:rPr>
                <w:rFonts w:hint="eastAsia"/>
              </w:rPr>
              <w:t>《税收票证管理办法》（国家税务总局令第28号）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6</w:t>
            </w:r>
          </w:p>
        </w:tc>
        <w:tc>
          <w:tcPr>
            <w:tcW w:w="5954" w:type="dxa"/>
            <w:vAlign w:val="center"/>
          </w:tcPr>
          <w:p>
            <w:pPr>
              <w:pStyle w:val="50"/>
              <w:adjustRightInd/>
              <w:snapToGrid/>
              <w:spacing w:line="276" w:lineRule="auto"/>
            </w:pPr>
            <w:r>
              <w:t>《财政部 国家税务总局关于提高成品油消费税税率的通知》（财税〔2008〕167号）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7</w:t>
            </w:r>
          </w:p>
        </w:tc>
        <w:tc>
          <w:tcPr>
            <w:tcW w:w="5954" w:type="dxa"/>
            <w:vAlign w:val="center"/>
          </w:tcPr>
          <w:p>
            <w:pPr>
              <w:pStyle w:val="50"/>
              <w:adjustRightInd/>
              <w:snapToGrid/>
              <w:spacing w:line="276" w:lineRule="auto"/>
            </w:pPr>
            <w:r>
              <w:t>《财政部 国家税务总局关于提高成品油消费税税率后相关成品油消费税政策的通知》（财税〔2008〕168号）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8</w:t>
            </w:r>
          </w:p>
        </w:tc>
        <w:tc>
          <w:tcPr>
            <w:tcW w:w="5954" w:type="dxa"/>
            <w:vAlign w:val="center"/>
          </w:tcPr>
          <w:p>
            <w:pPr>
              <w:pStyle w:val="50"/>
              <w:adjustRightInd/>
              <w:snapToGrid/>
              <w:spacing w:line="276" w:lineRule="auto"/>
            </w:pPr>
            <w:r>
              <w:t>《财政部</w:t>
            </w:r>
            <w:r>
              <w:rPr>
                <w:rFonts w:hint="eastAsia"/>
              </w:rPr>
              <w:t xml:space="preserve"> </w:t>
            </w:r>
            <w:r>
              <w:t>中国人民银行国家税务总局关于延续执行部分石脑油燃料油消费税政策的通知》（财税〔2011〕87号）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9</w:t>
            </w:r>
          </w:p>
        </w:tc>
        <w:tc>
          <w:tcPr>
            <w:tcW w:w="5954" w:type="dxa"/>
            <w:vAlign w:val="center"/>
          </w:tcPr>
          <w:p>
            <w:pPr>
              <w:pStyle w:val="50"/>
              <w:adjustRightInd/>
              <w:snapToGrid/>
              <w:spacing w:line="276" w:lineRule="auto"/>
            </w:pPr>
            <w:r>
              <w:t>《财政部 国家税务总局关于〈中华人民共和国消费税暂行条例实施细则〉有关条款解释的通知》（财法〔2012〕8号）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10</w:t>
            </w:r>
          </w:p>
        </w:tc>
        <w:tc>
          <w:tcPr>
            <w:tcW w:w="5954"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《财政部 国家税务总局关于调整消费税政策的通知》（财税〔2014〕93号）</w:t>
            </w:r>
          </w:p>
        </w:tc>
        <w:tc>
          <w:tcPr>
            <w:tcW w:w="170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11</w:t>
            </w:r>
          </w:p>
        </w:tc>
        <w:tc>
          <w:tcPr>
            <w:tcW w:w="5954" w:type="dxa"/>
            <w:vAlign w:val="center"/>
          </w:tcPr>
          <w:p>
            <w:pPr>
              <w:pStyle w:val="50"/>
              <w:adjustRightInd/>
              <w:snapToGrid/>
              <w:spacing w:line="276" w:lineRule="auto"/>
            </w:pPr>
            <w:r>
              <w:t>《财政部 国家税务总局关于对电池涂料征收消费税的通知》（财税〔2015〕16号）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12</w:t>
            </w:r>
          </w:p>
        </w:tc>
        <w:tc>
          <w:tcPr>
            <w:tcW w:w="5954" w:type="dxa"/>
            <w:vAlign w:val="center"/>
          </w:tcPr>
          <w:p>
            <w:pPr>
              <w:pStyle w:val="50"/>
              <w:adjustRightInd/>
              <w:snapToGrid/>
              <w:spacing w:line="276" w:lineRule="auto"/>
            </w:pPr>
            <w:r>
              <w:rPr>
                <w:rFonts w:hint="eastAsia"/>
              </w:rPr>
              <w:t>《财政部 国家税务总局</w:t>
            </w:r>
            <w:r>
              <w:t>关于调整化妆品消费税政策的通知</w:t>
            </w:r>
            <w:r>
              <w:rPr>
                <w:rFonts w:hint="eastAsia"/>
              </w:rPr>
              <w:t>》（财税〔</w:t>
            </w:r>
            <w:r>
              <w:t>2016</w:t>
            </w:r>
            <w:r>
              <w:rPr>
                <w:rFonts w:hint="eastAsia"/>
              </w:rPr>
              <w:t>〕</w:t>
            </w:r>
            <w:r>
              <w:t>103</w:t>
            </w:r>
            <w:r>
              <w:rPr>
                <w:rFonts w:hint="eastAsia"/>
              </w:rPr>
              <w:t>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13</w:t>
            </w:r>
          </w:p>
        </w:tc>
        <w:tc>
          <w:tcPr>
            <w:tcW w:w="5954" w:type="dxa"/>
            <w:vAlign w:val="center"/>
          </w:tcPr>
          <w:p>
            <w:pPr>
              <w:pStyle w:val="50"/>
              <w:adjustRightInd/>
              <w:snapToGrid/>
              <w:spacing w:line="276" w:lineRule="auto"/>
            </w:pPr>
            <w:r>
              <w:rPr>
                <w:rFonts w:hint="eastAsia"/>
              </w:rPr>
              <w:t>《财政部 国家税务总局</w:t>
            </w:r>
            <w:r>
              <w:t>关于对超豪华小汽车加征消费税有关事项的通知</w:t>
            </w:r>
            <w:r>
              <w:rPr>
                <w:rFonts w:hint="eastAsia"/>
              </w:rPr>
              <w:t>》</w:t>
            </w:r>
            <w:r>
              <w:t>（财</w:t>
            </w:r>
            <w:r>
              <w:rPr>
                <w:rFonts w:hint="eastAsia"/>
              </w:rPr>
              <w:t>税</w:t>
            </w:r>
            <w:r>
              <w:t>〔2016〕129号）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14</w:t>
            </w:r>
          </w:p>
        </w:tc>
        <w:tc>
          <w:tcPr>
            <w:tcW w:w="5954" w:type="dxa"/>
            <w:vAlign w:val="center"/>
          </w:tcPr>
          <w:p>
            <w:pPr>
              <w:pStyle w:val="50"/>
              <w:adjustRightInd/>
              <w:snapToGrid/>
              <w:spacing w:line="276" w:lineRule="auto"/>
            </w:pPr>
            <w:r>
              <w:rPr>
                <w:rFonts w:hint="eastAsia"/>
              </w:rPr>
              <w:t>《</w:t>
            </w:r>
            <w:r>
              <w:fldChar w:fldCharType="begin"/>
            </w:r>
            <w:r>
              <w:instrText xml:space="preserve"> HYPERLINK "http://hd.chinatax.gov.cn/guoshui/action/GetArticleView1.do?id=20533137&amp;flag=1" \t "_blank" </w:instrText>
            </w:r>
            <w:r>
              <w:fldChar w:fldCharType="separate"/>
            </w:r>
            <w:r>
              <w:t>财政部</w:t>
            </w:r>
            <w:r>
              <w:rPr>
                <w:rFonts w:hint="eastAsia"/>
              </w:rPr>
              <w:t xml:space="preserve"> </w:t>
            </w:r>
            <w:r>
              <w:t>税务总局关于延长对废矿物油再生油品免征消费税政策实施期限的通知</w:t>
            </w:r>
            <w:r>
              <w:fldChar w:fldCharType="end"/>
            </w:r>
            <w:r>
              <w:rPr>
                <w:rFonts w:hint="eastAsia"/>
              </w:rPr>
              <w:t>》（</w:t>
            </w:r>
            <w:r>
              <w:t>财税〔2018〕144号）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15</w:t>
            </w:r>
          </w:p>
        </w:tc>
        <w:tc>
          <w:tcPr>
            <w:tcW w:w="5954" w:type="dxa"/>
            <w:vAlign w:val="center"/>
          </w:tcPr>
          <w:p>
            <w:pPr>
              <w:pStyle w:val="50"/>
              <w:adjustRightInd/>
              <w:snapToGrid/>
              <w:spacing w:line="276" w:lineRule="auto"/>
            </w:pPr>
            <w:r>
              <w:t>《国家税务总局</w:t>
            </w:r>
            <w:r>
              <w:rPr>
                <w:rFonts w:hint="eastAsia"/>
              </w:rPr>
              <w:t xml:space="preserve"> </w:t>
            </w:r>
            <w:r>
              <w:t>海关总署关于石脑油燃料油生产乙烯芳烃类化工产品消费税退税问题的公告》（国家税务总局海关总署公告2013年第29号）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16</w:t>
            </w:r>
          </w:p>
        </w:tc>
        <w:tc>
          <w:tcPr>
            <w:tcW w:w="5954" w:type="dxa"/>
            <w:vAlign w:val="center"/>
          </w:tcPr>
          <w:p>
            <w:pPr>
              <w:pStyle w:val="50"/>
              <w:adjustRightInd/>
              <w:snapToGrid/>
              <w:spacing w:line="276" w:lineRule="auto"/>
            </w:pPr>
            <w:r>
              <w:t>《国家税务总局关于实施〈税收票证管理办法〉若干问题的公告》（国家税务总局公告2013年第34号）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17</w:t>
            </w:r>
          </w:p>
        </w:tc>
        <w:tc>
          <w:tcPr>
            <w:tcW w:w="5954"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《国家税务总局关于调整消费税纳税申报表有关问题的公告》（国家税务总局公告2014年第72号）</w:t>
            </w:r>
          </w:p>
        </w:tc>
        <w:tc>
          <w:tcPr>
            <w:tcW w:w="170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18</w:t>
            </w:r>
          </w:p>
        </w:tc>
        <w:tc>
          <w:tcPr>
            <w:tcW w:w="5954" w:type="dxa"/>
            <w:vAlign w:val="center"/>
          </w:tcPr>
          <w:p>
            <w:pPr>
              <w:pStyle w:val="50"/>
              <w:adjustRightInd/>
              <w:snapToGrid/>
              <w:spacing w:line="276" w:lineRule="auto"/>
            </w:pPr>
            <w:r>
              <w:t>《国家税务总局关于电池涂料消费税征收管理有关问题的公告》（国家税务总局公告2015年第5号）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19</w:t>
            </w:r>
          </w:p>
        </w:tc>
        <w:tc>
          <w:tcPr>
            <w:tcW w:w="5954"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《国家税务总局关于修订〈葡萄酒消费税管理办法（试行）〉的公告》（国家税务总局公告2015年第15号）</w:t>
            </w:r>
          </w:p>
        </w:tc>
        <w:tc>
          <w:tcPr>
            <w:tcW w:w="170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20</w:t>
            </w:r>
          </w:p>
        </w:tc>
        <w:tc>
          <w:tcPr>
            <w:tcW w:w="5954" w:type="dxa"/>
            <w:vAlign w:val="center"/>
          </w:tcPr>
          <w:p>
            <w:pPr>
              <w:pStyle w:val="50"/>
              <w:adjustRightInd/>
              <w:snapToGrid/>
              <w:spacing w:line="276" w:lineRule="auto"/>
            </w:pPr>
            <w:r>
              <w:t>《国家税务总局关于调整消费税纳税申报有关事项的公告》（国家税务总局公告2015年第32号）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21</w:t>
            </w:r>
          </w:p>
        </w:tc>
        <w:tc>
          <w:tcPr>
            <w:tcW w:w="5954" w:type="dxa"/>
            <w:vAlign w:val="center"/>
          </w:tcPr>
          <w:p>
            <w:pPr>
              <w:pStyle w:val="50"/>
              <w:adjustRightInd/>
              <w:snapToGrid/>
              <w:spacing w:line="276" w:lineRule="auto"/>
            </w:pPr>
            <w:r>
              <w:t>《国家税务总局关于卷烟消费税政策调整后纳税申报有关问题的公告》（国家税务总局公告2015年第35号）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22</w:t>
            </w:r>
          </w:p>
        </w:tc>
        <w:tc>
          <w:tcPr>
            <w:tcW w:w="5954" w:type="dxa"/>
            <w:vAlign w:val="center"/>
          </w:tcPr>
          <w:p>
            <w:pPr>
              <w:pStyle w:val="50"/>
              <w:adjustRightInd/>
              <w:snapToGrid/>
              <w:spacing w:line="276" w:lineRule="auto"/>
            </w:pPr>
            <w:r>
              <w:t>《国家税务总局关于明确电池涂料消费税征收管理有关事项的公告》（国家税务总局公告2015年第95号）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23</w:t>
            </w:r>
          </w:p>
        </w:tc>
        <w:tc>
          <w:tcPr>
            <w:tcW w:w="5954" w:type="dxa"/>
            <w:vAlign w:val="center"/>
          </w:tcPr>
          <w:p>
            <w:pPr>
              <w:pStyle w:val="50"/>
              <w:adjustRightInd/>
              <w:snapToGrid/>
              <w:spacing w:line="276" w:lineRule="auto"/>
            </w:pPr>
            <w:r>
              <w:rPr>
                <w:rFonts w:hint="eastAsia"/>
              </w:rPr>
              <w:t>《国家税务总局关于高档化妆品消费税征收管理事项的公告》（国家税务总局公告2016年第66号）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24</w:t>
            </w:r>
          </w:p>
        </w:tc>
        <w:tc>
          <w:tcPr>
            <w:tcW w:w="5954" w:type="dxa"/>
            <w:vAlign w:val="center"/>
          </w:tcPr>
          <w:p>
            <w:pPr>
              <w:pStyle w:val="50"/>
              <w:adjustRightInd/>
              <w:snapToGrid/>
              <w:spacing w:line="276" w:lineRule="auto"/>
            </w:pPr>
            <w:r>
              <w:t>《</w:t>
            </w:r>
            <w:r>
              <w:fldChar w:fldCharType="begin"/>
            </w:r>
            <w:r>
              <w:instrText xml:space="preserve"> HYPERLINK "http://hd.chinatax.gov.cn/guoshui/action/GetArticleView1.do?id=7454118&amp;flag=1" \t "_blank" </w:instrText>
            </w:r>
            <w:r>
              <w:fldChar w:fldCharType="separate"/>
            </w:r>
            <w:r>
              <w:t>国家税务总局关于卷烟消费税计税价格核定管理有关问题的公告</w:t>
            </w:r>
            <w:r>
              <w:fldChar w:fldCharType="end"/>
            </w:r>
            <w:r>
              <w:t>》（国家税务总局公告2017年第32号）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25</w:t>
            </w:r>
          </w:p>
        </w:tc>
        <w:tc>
          <w:tcPr>
            <w:tcW w:w="5954" w:type="dxa"/>
            <w:vAlign w:val="center"/>
          </w:tcPr>
          <w:p>
            <w:pPr>
              <w:pStyle w:val="50"/>
              <w:adjustRightInd/>
              <w:snapToGrid/>
              <w:spacing w:line="276" w:lineRule="auto"/>
            </w:pPr>
            <w:r>
              <w:t>《国家税务总局关于成品油消费税征收管理有关问题的公告》（国家税务总局公告2018年第1号）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26</w:t>
            </w:r>
          </w:p>
        </w:tc>
        <w:tc>
          <w:tcPr>
            <w:tcW w:w="5954"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27</w:t>
            </w:r>
          </w:p>
        </w:tc>
        <w:tc>
          <w:tcPr>
            <w:tcW w:w="5954" w:type="dxa"/>
            <w:vAlign w:val="center"/>
          </w:tcPr>
          <w:p>
            <w:pPr>
              <w:pStyle w:val="50"/>
              <w:adjustRightInd/>
              <w:snapToGrid/>
              <w:spacing w:line="276" w:lineRule="auto"/>
            </w:pPr>
            <w:r>
              <w:t>《国家税务总局关于〈印发汽油柴油消费税管理办法（试行）〉的通知》（国税发〔2005〕133号）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28</w:t>
            </w:r>
          </w:p>
        </w:tc>
        <w:tc>
          <w:tcPr>
            <w:tcW w:w="5954" w:type="dxa"/>
            <w:vAlign w:val="center"/>
          </w:tcPr>
          <w:p>
            <w:pPr>
              <w:pStyle w:val="50"/>
              <w:adjustRightInd/>
              <w:snapToGrid/>
              <w:spacing w:line="276" w:lineRule="auto"/>
            </w:pPr>
            <w:r>
              <w:t>《国家税务总局关于印发〈调整和完善消费税政策征收管理规定〉的通知》（国税发〔2006〕49号）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29</w:t>
            </w:r>
          </w:p>
        </w:tc>
        <w:tc>
          <w:tcPr>
            <w:tcW w:w="5954" w:type="dxa"/>
            <w:vAlign w:val="center"/>
          </w:tcPr>
          <w:p>
            <w:pPr>
              <w:pStyle w:val="50"/>
              <w:adjustRightInd/>
              <w:snapToGrid/>
              <w:spacing w:line="276" w:lineRule="auto"/>
            </w:pPr>
            <w:r>
              <w:rPr>
                <w:rFonts w:hint="eastAsia"/>
              </w:rPr>
              <w:t>《国家税务总局关于创新税收服务和管理的意见》（税总发〔2014〕85号）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30</w:t>
            </w:r>
          </w:p>
        </w:tc>
        <w:tc>
          <w:tcPr>
            <w:tcW w:w="5954" w:type="dxa"/>
            <w:vAlign w:val="center"/>
          </w:tcPr>
          <w:p>
            <w:pPr>
              <w:pStyle w:val="50"/>
              <w:adjustRightInd/>
              <w:snapToGrid/>
              <w:spacing w:line="276" w:lineRule="auto"/>
            </w:pPr>
            <w:r>
              <w:rPr>
                <w:rFonts w:hint="eastAsia"/>
              </w:rPr>
              <w:t>《国家税务总局关于加快推行办税事项同城通办的通知》（税总发〔2016〕46号）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31</w:t>
            </w:r>
          </w:p>
        </w:tc>
        <w:tc>
          <w:tcPr>
            <w:tcW w:w="5954"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0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32</w:t>
            </w:r>
          </w:p>
        </w:tc>
        <w:tc>
          <w:tcPr>
            <w:tcW w:w="5954"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0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33</w:t>
            </w:r>
          </w:p>
        </w:tc>
        <w:tc>
          <w:tcPr>
            <w:tcW w:w="5954"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0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34</w:t>
            </w:r>
          </w:p>
        </w:tc>
        <w:tc>
          <w:tcPr>
            <w:tcW w:w="5954" w:type="dxa"/>
            <w:vAlign w:val="center"/>
          </w:tcPr>
          <w:p>
            <w:pPr>
              <w:pStyle w:val="50"/>
              <w:adjustRightInd/>
              <w:snapToGrid/>
              <w:spacing w:line="276" w:lineRule="auto"/>
            </w:pPr>
            <w:r>
              <w:t>《国家税务总局关于调整〈小汽车消费税纳税申报表〉有关内容的通知》（国税函〔2008〕757号）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35</w:t>
            </w:r>
          </w:p>
        </w:tc>
        <w:tc>
          <w:tcPr>
            <w:tcW w:w="5954"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《国家税务总局关于加强白酒消费税征收管理的通知》（国税函〔2009〕380号）</w:t>
            </w:r>
          </w:p>
        </w:tc>
        <w:tc>
          <w:tcPr>
            <w:tcW w:w="170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36</w:t>
            </w:r>
          </w:p>
        </w:tc>
        <w:tc>
          <w:tcPr>
            <w:tcW w:w="5954" w:type="dxa"/>
            <w:vAlign w:val="center"/>
          </w:tcPr>
          <w:p>
            <w:pPr>
              <w:pStyle w:val="50"/>
              <w:adjustRightInd/>
              <w:snapToGrid/>
              <w:spacing w:line="276" w:lineRule="auto"/>
            </w:pPr>
            <w:r>
              <w:t>《国家税务总局关于印发〈石脑油、燃料油退（免）消费税管理操作规程（试行）〉的通知》（税总函〔2014〕412号）</w:t>
            </w:r>
          </w:p>
        </w:tc>
        <w:tc>
          <w:tcPr>
            <w:tcW w:w="170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vAlign w:val="center"/>
          </w:tcPr>
          <w:p>
            <w:pPr>
              <w:pStyle w:val="50"/>
              <w:adjustRightInd/>
              <w:snapToGrid/>
              <w:spacing w:line="276" w:lineRule="auto"/>
            </w:pPr>
            <w:r>
              <w:rPr>
                <w:rFonts w:hint="eastAsia"/>
              </w:rPr>
              <w:t>37</w:t>
            </w:r>
          </w:p>
        </w:tc>
        <w:tc>
          <w:tcPr>
            <w:tcW w:w="5954" w:type="dxa"/>
            <w:vAlign w:val="center"/>
          </w:tcPr>
          <w:p>
            <w:pPr>
              <w:pStyle w:val="50"/>
              <w:adjustRightInd/>
              <w:snapToGrid/>
              <w:spacing w:line="276" w:lineRule="auto"/>
            </w:pPr>
            <w:r>
              <w:rPr>
                <w:rFonts w:hint="eastAsia"/>
              </w:rPr>
              <w:t>《国家税务总局关于取消一批涉税事项和报送资料的通知》（税总函〔</w:t>
            </w:r>
            <w:r>
              <w:t>2017〕403号）</w:t>
            </w:r>
          </w:p>
        </w:tc>
        <w:tc>
          <w:tcPr>
            <w:tcW w:w="1700" w:type="dxa"/>
            <w:vAlign w:val="center"/>
          </w:tcPr>
          <w:p>
            <w:pPr>
              <w:pStyle w:val="50"/>
              <w:adjustRightInd/>
              <w:snapToGrid/>
              <w:spacing w:line="276" w:lineRule="auto"/>
            </w:pPr>
            <w:r>
              <w:rPr>
                <w:rFonts w:hint="eastAsia"/>
              </w:rPr>
              <w:t>主动公开</w:t>
            </w:r>
          </w:p>
        </w:tc>
      </w:tr>
      <w:bookmarkEnd w:id="15"/>
      <w:bookmarkEnd w:id="54"/>
      <w:bookmarkEnd w:id="55"/>
    </w:tbl>
    <w:p>
      <w:pPr>
        <w:pStyle w:val="29"/>
        <w:wordWrap w:val="0"/>
        <w:spacing w:before="936" w:after="468"/>
        <w:rPr>
          <w:color w:val="000000" w:themeColor="text1"/>
        </w:rPr>
      </w:pPr>
      <w:bookmarkStart w:id="56" w:name="_Toc18096118"/>
      <w:bookmarkStart w:id="57" w:name="_Toc21587"/>
      <w:bookmarkStart w:id="58" w:name="_Toc5592"/>
      <w:r>
        <w:rPr>
          <w:rFonts w:hint="eastAsia"/>
          <w:color w:val="000000" w:themeColor="text1"/>
        </w:rPr>
        <w:t>3.3　　车辆购置税申报</w:t>
      </w:r>
      <w:bookmarkEnd w:id="56"/>
      <w:bookmarkEnd w:id="57"/>
    </w:p>
    <w:bookmarkEnd w:id="58"/>
    <w:p>
      <w:pPr>
        <w:pStyle w:val="30"/>
        <w:wordWrap w:val="0"/>
        <w:topLinePunct w:val="0"/>
        <w:spacing w:before="312" w:after="312"/>
        <w:rPr>
          <w:color w:val="000000" w:themeColor="text1"/>
        </w:rPr>
      </w:pPr>
      <w:bookmarkStart w:id="59" w:name="_Toc18096119"/>
      <w:bookmarkStart w:id="60" w:name="_Toc27619"/>
      <w:bookmarkStart w:id="61" w:name="_Toc29035"/>
      <w:r>
        <w:rPr>
          <w:rFonts w:hint="eastAsia"/>
          <w:color w:val="000000" w:themeColor="text1"/>
        </w:rPr>
        <w:t>3.3.1—0</w:t>
      </w:r>
      <w:r>
        <w:rPr>
          <w:color w:val="000000" w:themeColor="text1"/>
        </w:rPr>
        <w:t>71</w:t>
      </w:r>
      <w:r>
        <w:rPr>
          <w:rFonts w:hint="eastAsia"/>
          <w:color w:val="000000" w:themeColor="text1"/>
        </w:rPr>
        <w:t>　</w:t>
      </w:r>
      <w:r>
        <w:rPr>
          <w:color w:val="000000" w:themeColor="text1"/>
        </w:rPr>
        <w:t>　</w:t>
      </w:r>
      <w:r>
        <w:rPr>
          <w:rFonts w:hint="eastAsia"/>
          <w:color w:val="000000" w:themeColor="text1"/>
        </w:rPr>
        <w:t>车辆购置税申报</w:t>
      </w:r>
      <w:bookmarkEnd w:id="59"/>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车辆购置税申报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在中华人民共和国境内购置汽车、有轨电车、汽车挂车、排气量超过一百五十毫升的摩托车（以下统称应税车辆）的单位和个人，为车辆购置税的纳税人，</w:t>
      </w:r>
      <w:r>
        <w:rPr>
          <w:rFonts w:hint="default" w:ascii="宋体" w:hAnsi="宋体" w:cs="Times New Roman"/>
          <w:color w:val="000000" w:themeColor="text1"/>
        </w:rPr>
        <w:t>自纳税义务发生之日起</w:t>
      </w:r>
      <w:r>
        <w:rPr>
          <w:rFonts w:ascii="宋体" w:hAnsi="宋体" w:cs="Times New Roman"/>
          <w:color w:val="000000" w:themeColor="text1"/>
        </w:rPr>
        <w:t>六十</w:t>
      </w:r>
      <w:r>
        <w:rPr>
          <w:rFonts w:hint="default" w:ascii="宋体" w:hAnsi="宋体" w:cs="Times New Roman"/>
          <w:color w:val="000000" w:themeColor="text1"/>
        </w:rPr>
        <w:t>日内</w:t>
      </w:r>
      <w:r>
        <w:rPr>
          <w:rFonts w:ascii="宋体" w:hAnsi="宋体" w:cs="Times New Roman"/>
          <w:color w:val="000000" w:themeColor="text1"/>
        </w:rPr>
        <w:t>办理</w:t>
      </w:r>
      <w:r>
        <w:rPr>
          <w:rFonts w:hint="default" w:ascii="宋体" w:hAnsi="宋体" w:cs="Times New Roman"/>
          <w:color w:val="000000" w:themeColor="text1"/>
        </w:rPr>
        <w:t>车辆购置税申报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所称购置，是指以购买、进口、自产、受赠、获奖或者其他方式取得并自用应税车辆的行为。</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车辆购置税实行一次性征收。购置已征车辆购置税的车辆，不再征收车辆购置税。车辆购置税实行一车一申报制度。</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w:t>
      </w:r>
      <w:r>
        <w:rPr>
          <w:rFonts w:hint="default" w:ascii="宋体" w:hAnsi="宋体" w:cs="Times New Roman"/>
          <w:color w:val="000000" w:themeColor="text1"/>
        </w:rPr>
        <w:t>中华人民共和国</w:t>
      </w:r>
      <w:r>
        <w:rPr>
          <w:rFonts w:ascii="宋体" w:hAnsi="宋体" w:cs="Times New Roman"/>
          <w:color w:val="000000" w:themeColor="text1"/>
        </w:rPr>
        <w:t>车辆购置税法》第一条</w:t>
      </w:r>
    </w:p>
    <w:p>
      <w:pPr>
        <w:pStyle w:val="31"/>
        <w:wordWrap w:val="0"/>
        <w:adjustRightInd/>
        <w:snapToGrid/>
        <w:rPr>
          <w:color w:val="000000" w:themeColor="text1"/>
        </w:rPr>
      </w:pPr>
      <w:r>
        <w:rPr>
          <w:rFonts w:hint="eastAsia"/>
          <w:color w:val="000000" w:themeColor="text1"/>
        </w:rPr>
        <w:t>【办理材料】</w:t>
      </w:r>
    </w:p>
    <w:tbl>
      <w:tblPr>
        <w:tblStyle w:val="18"/>
        <w:tblpPr w:leftFromText="180" w:rightFromText="180" w:vertAnchor="text" w:horzAnchor="margin" w:tblpXSpec="center" w:tblpY="83"/>
        <w:tblW w:w="8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8"/>
        <w:gridCol w:w="2658"/>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adjustRightInd/>
              <w:snapToGrid/>
              <w:spacing w:line="240" w:lineRule="auto"/>
              <w:rPr>
                <w:color w:val="000000" w:themeColor="text1"/>
              </w:rPr>
            </w:pPr>
            <w:r>
              <w:rPr>
                <w:rFonts w:hint="eastAsia"/>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《车辆购置税纳税申报表》</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整车出厂合格证或者《车辆电子信息单》</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exact"/>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color w:val="000000" w:themeColor="text1"/>
              </w:rPr>
              <w:t>车辆相关价格凭证</w:t>
            </w:r>
          </w:p>
        </w:tc>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color w:val="000000" w:themeColor="text1"/>
              </w:rPr>
              <w:t>境内购置车辆为机动车销售统一发票或者其他有效凭证</w:t>
            </w:r>
            <w:r>
              <w:rPr>
                <w:rFonts w:hint="eastAsia"/>
                <w:color w:val="000000" w:themeColor="text1"/>
              </w:rPr>
              <w:t>，</w:t>
            </w:r>
            <w:r>
              <w:rPr>
                <w:color w:val="000000" w:themeColor="text1"/>
              </w:rPr>
              <w:t>进口自用车辆为《海关进口关税专用缴款书》或者海关进出口货物征免税证明，属于应征消费税车辆的还包括《海关进口消费税专用缴款书》。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8164"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2558" w:type="dxa"/>
            <w:gridSpan w:val="2"/>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658" w:type="dxa"/>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trPr>
        <w:tc>
          <w:tcPr>
            <w:tcW w:w="255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color w:val="000000" w:themeColor="text1"/>
              </w:rPr>
              <w:t>免税、减税车辆因转让、改变用途等原因不再属于免税、减税范围（发生二手车交易行为）</w:t>
            </w:r>
          </w:p>
        </w:tc>
        <w:tc>
          <w:tcPr>
            <w:tcW w:w="2658"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color w:val="000000" w:themeColor="text1"/>
              </w:rPr>
              <w:t>二手车销售统一发票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exact"/>
        </w:trPr>
        <w:tc>
          <w:tcPr>
            <w:tcW w:w="2558"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免税、减税车辆因转让、改变用途等原因不再属于免税、减税范围（其他情形）</w:t>
            </w:r>
          </w:p>
        </w:tc>
        <w:tc>
          <w:tcPr>
            <w:tcW w:w="2658" w:type="dxa"/>
            <w:tcBorders>
              <w:left w:val="single" w:color="auto" w:sz="4" w:space="0"/>
              <w:right w:val="single" w:color="auto" w:sz="4" w:space="0"/>
            </w:tcBorders>
            <w:vAlign w:val="center"/>
          </w:tcPr>
          <w:p>
            <w:pPr>
              <w:pStyle w:val="34"/>
              <w:wordWrap w:val="0"/>
              <w:adjustRightInd/>
              <w:snapToGrid/>
              <w:spacing w:line="240" w:lineRule="auto"/>
              <w:rPr>
                <w:rFonts w:ascii="宋体" w:hAnsi="宋体" w:eastAsia="宋体"/>
                <w:color w:val="000000" w:themeColor="text1"/>
                <w:sz w:val="24"/>
                <w:szCs w:val="24"/>
              </w:rPr>
            </w:pPr>
            <w:r>
              <w:rPr>
                <w:rFonts w:hint="eastAsia"/>
                <w:color w:val="000000" w:themeColor="text1"/>
              </w:rPr>
              <w:t>按照相关规定提供申报材料</w:t>
            </w:r>
          </w:p>
        </w:tc>
        <w:tc>
          <w:tcPr>
            <w:tcW w:w="680"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rFonts w:ascii="宋体" w:hAnsi="宋体" w:eastAsia="宋体"/>
                <w:color w:val="000000" w:themeColor="text1"/>
                <w:sz w:val="24"/>
                <w:szCs w:val="24"/>
              </w:rPr>
            </w:pPr>
            <w:r>
              <w:rPr>
                <w:rFonts w:hint="eastAsia" w:ascii="宋体" w:hAnsi="宋体" w:eastAsia="宋体"/>
                <w:color w:val="000000" w:themeColor="text1"/>
                <w:sz w:val="24"/>
                <w:szCs w:val="24"/>
              </w:rPr>
              <w:t>1份</w:t>
            </w:r>
          </w:p>
        </w:tc>
        <w:tc>
          <w:tcPr>
            <w:tcW w:w="226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可通过办税服务厅（场所）、国家税务总局湖南省电子税务局（https://etax.hunan.chinatax.gov.cn）和自助办税终端办理，</w:t>
      </w:r>
      <w:r>
        <w:rPr>
          <w:rFonts w:hint="default"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27"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27"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车辆购置税的纳税义务发生时间为纳税人购置应税车辆的当日。</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）购买自用应税车辆的为购买之日，即车辆相关价格凭证的开具日期。</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）进口自用应税车辆的为进口之日，即《海关进口增值税专用缴款书》或者其他有效凭证的开具日期。</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）自产、受赠、获奖或者以其他方式取得并自用应税车辆的为取得之日，即合同、法律文书或者其他有效凭证的生效或者开具日期。</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车辆购置税的计税价格根据不同情况按下列规定确定：</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）纳税人购买自用应税车辆的计税价格，为纳税人实际支付给销售者的全部价款，不包括增值税税款</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）纳税人进口自用应税车辆的计税价格，为关税完税价格加上关税和消费税</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）纳税人自产自用应税车辆的计税价格，按照纳税人生产的同类应税车辆的销售价格确定，不包括增值税税款</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）纳税人以受赠、获奖或者其他方式取得自用应税车辆的计税价格，按照购置应税车辆时相关凭证载明的价格确定，不包括增值税税款。</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）纳税人以外汇结算应税车辆价款的，按照申报纳税之日的人民币汇率中间价折合成人民币计算缴纳税款。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纳税人申报的应税车辆计税价格明显偏低，又无正当理由的，由税务机关依照《中华人民共和国税收征收管理法》的规定核定其应纳税额。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免税、减税车辆因转让、改变用途等原因不再属于免税、减税范围的，纳税人应当在办理车辆转移登记或者变更登记前缴纳车辆购置税。计税价格以免税、减税车辆初次办理纳税申报时确定的计税价格为基准，每满一年扣减百分之十</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ascii="宋体" w:hAnsi="宋体" w:cs="Times New Roman"/>
          <w:color w:val="000000" w:themeColor="text1"/>
        </w:rPr>
        <w:t>车辆购置税纳税</w:t>
      </w:r>
      <w:r>
        <w:rPr>
          <w:rFonts w:hint="default" w:ascii="宋体" w:hAnsi="宋体" w:cs="Times New Roman"/>
          <w:color w:val="000000" w:themeColor="text1"/>
        </w:rPr>
        <w:t>地点：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）需要办理车辆登记的，向车辆登记地的主管税务机关申报纳税。</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）不需要办理车辆登记的，单位纳税人向其机构所在地的主管税务机关申报纳税，个人纳税人向其户籍所在地或者经常居住地的主管税务机关申报纳税。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12.</w:t>
      </w:r>
      <w:r>
        <w:rPr>
          <w:rFonts w:ascii="宋体" w:hAnsi="宋体" w:cs="Times New Roman"/>
          <w:color w:val="000000" w:themeColor="text1"/>
        </w:rPr>
        <w:t>自</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6</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起，纳税人在全国范围内办理车辆购置税纳税业务时，税务机关不再打印和发放纸质车辆购置税完税证明。纳税人办理完成车辆购置税纳税业务后，在公安机关交通管理部门办理车辆注册登记时，不需向公安机关交通管理部门提交纸质车辆购置税完税证明。</w:t>
      </w:r>
    </w:p>
    <w:p>
      <w:pPr>
        <w:wordWrap w:val="0"/>
        <w:spacing w:line="360" w:lineRule="auto"/>
        <w:ind w:firstLine="480"/>
        <w:rPr>
          <w:rFonts w:hint="default" w:ascii="宋体" w:hAnsi="宋体" w:cs="Times New Roman"/>
          <w:color w:val="000000" w:themeColor="text1"/>
        </w:rPr>
      </w:pPr>
      <w:r>
        <w:rPr>
          <w:rFonts w:cs="Times New Roman"/>
          <w:color w:val="000000" w:themeColor="text1"/>
        </w:rPr>
        <w:t>13.</w:t>
      </w:r>
      <w:r>
        <w:rPr>
          <w:rFonts w:ascii="宋体" w:hAnsi="宋体" w:cs="Times New Roman"/>
          <w:color w:val="000000" w:themeColor="text1"/>
        </w:rPr>
        <w:t>自</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7</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起，纳税人在全国范围内办理车辆购置税补税、完税证明换证或者更正等业务时，税务机关不再出具纸质车辆购置税完税证明。纳税人如需纸质车辆购置税完税证明，可向主管税务机关提出，由主管税务机关打印《车辆购置税完税证明（电子版）》，也可自行通过</w:t>
      </w:r>
      <w:bookmarkStart w:id="62" w:name="_Hlk17879552"/>
      <w:r>
        <w:rPr>
          <w:rFonts w:ascii="宋体" w:hAnsi="宋体" w:cs="Times New Roman"/>
          <w:color w:val="000000" w:themeColor="text1"/>
        </w:rPr>
        <w:t>国家税务总局湖南省电子税务局（https://etax.hunan.chinatax.gov.cn）</w:t>
      </w:r>
      <w:bookmarkEnd w:id="62"/>
      <w:r>
        <w:rPr>
          <w:rFonts w:ascii="宋体" w:hAnsi="宋体" w:cs="Times New Roman"/>
          <w:color w:val="000000" w:themeColor="text1"/>
        </w:rPr>
        <w:t>等官方互联网平台查询和打印。</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rPr>
      </w:pPr>
      <w:r>
        <w:t>进入金三操作系统，通过车辆购置税申报征收岗权限，按照【申报征收】—【申报】—【车辆购置税申报】—【车辆购置税申报】的路径进入功能模块。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83"/>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83" w:type="dxa"/>
            <w:vAlign w:val="center"/>
          </w:tcPr>
          <w:p>
            <w:pPr>
              <w:pStyle w:val="33"/>
              <w:adjustRightInd/>
              <w:snapToGrid/>
              <w:spacing w:line="276" w:lineRule="auto"/>
            </w:pPr>
            <w:r>
              <w:rPr>
                <w:rFonts w:hint="eastAsia"/>
              </w:rPr>
              <w:t>文件名称</w:t>
            </w:r>
          </w:p>
        </w:tc>
        <w:tc>
          <w:tcPr>
            <w:tcW w:w="166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83" w:type="dxa"/>
            <w:vAlign w:val="center"/>
          </w:tcPr>
          <w:p>
            <w:pPr>
              <w:pStyle w:val="50"/>
              <w:adjustRightInd/>
              <w:snapToGrid/>
              <w:spacing w:line="276" w:lineRule="auto"/>
            </w:pPr>
            <w:r>
              <w:rPr>
                <w:rFonts w:hint="eastAsia"/>
              </w:rPr>
              <w:t>《中华人民共和国税收征收管理法》</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83" w:type="dxa"/>
            <w:vAlign w:val="center"/>
          </w:tcPr>
          <w:p>
            <w:pPr>
              <w:pStyle w:val="50"/>
              <w:adjustRightInd/>
              <w:snapToGrid/>
              <w:spacing w:line="276" w:lineRule="auto"/>
            </w:pPr>
            <w:r>
              <w:rPr>
                <w:rFonts w:hint="eastAsia"/>
              </w:rPr>
              <w:t>《中华人民共和国车辆购置税法》</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83" w:type="dxa"/>
            <w:vAlign w:val="center"/>
          </w:tcPr>
          <w:p>
            <w:pPr>
              <w:pStyle w:val="50"/>
              <w:adjustRightInd/>
              <w:snapToGrid/>
              <w:spacing w:line="276" w:lineRule="auto"/>
            </w:pPr>
            <w:r>
              <w:rPr>
                <w:rFonts w:hint="eastAsia"/>
              </w:rPr>
              <w:t>《税收票证管理办法》（国家税务总局令第</w:t>
            </w:r>
            <w:r>
              <w:t>28</w:t>
            </w:r>
            <w:r>
              <w:rPr>
                <w:rFonts w:hint="eastAsia"/>
              </w:rPr>
              <w:t>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4</w:t>
            </w:r>
          </w:p>
        </w:tc>
        <w:tc>
          <w:tcPr>
            <w:tcW w:w="5783" w:type="dxa"/>
            <w:vAlign w:val="center"/>
          </w:tcPr>
          <w:p>
            <w:pPr>
              <w:pStyle w:val="50"/>
              <w:adjustRightInd/>
              <w:snapToGrid/>
              <w:spacing w:line="276" w:lineRule="auto"/>
            </w:pPr>
            <w:r>
              <w:rPr>
                <w:rFonts w:hint="eastAsia"/>
              </w:rPr>
              <w:t>《</w:t>
            </w:r>
            <w:r>
              <w:t>国家税务总局公安部关于应用车辆购置税电子完税信息办理车辆注册登记业务的公告</w:t>
            </w:r>
            <w:r>
              <w:rPr>
                <w:rFonts w:hint="eastAsia"/>
              </w:rPr>
              <w:t>》（</w:t>
            </w:r>
            <w:r>
              <w:t>国家税务总局公安部公告2019年第18号</w:t>
            </w:r>
            <w:r>
              <w:rPr>
                <w:rFonts w:hint="eastAsia"/>
              </w:rPr>
              <w:t>）</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83" w:type="dxa"/>
            <w:vAlign w:val="center"/>
          </w:tcPr>
          <w:p>
            <w:pPr>
              <w:pStyle w:val="50"/>
              <w:adjustRightInd/>
              <w:snapToGrid/>
              <w:spacing w:line="276" w:lineRule="auto"/>
              <w:rPr>
                <w:kern w:val="0"/>
              </w:rPr>
            </w:pPr>
            <w:r>
              <w:rPr>
                <w:rFonts w:hint="eastAsia"/>
                <w:kern w:val="0"/>
              </w:rPr>
              <w:t>《</w:t>
            </w:r>
            <w:r>
              <w:fldChar w:fldCharType="begin"/>
            </w:r>
            <w:r>
              <w:instrText xml:space="preserve"> HYPERLINK "http://hd.chinatax.gov.cn/guoshui/action/GetArticleView1.do?id=27195176&amp;flag=1" \t "_blank" </w:instrText>
            </w:r>
            <w:r>
              <w:fldChar w:fldCharType="separate"/>
            </w:r>
            <w:r>
              <w:rPr>
                <w:kern w:val="0"/>
              </w:rPr>
              <w:t>财政部税务总局关于车辆购置税有关具体政策的公告</w:t>
            </w:r>
            <w:r>
              <w:rPr>
                <w:kern w:val="0"/>
              </w:rPr>
              <w:fldChar w:fldCharType="end"/>
            </w:r>
            <w:r>
              <w:rPr>
                <w:rFonts w:hint="eastAsia"/>
                <w:kern w:val="0"/>
              </w:rPr>
              <w:t>》（</w:t>
            </w:r>
            <w:r>
              <w:rPr>
                <w:kern w:val="0"/>
              </w:rPr>
              <w:t>财政部税务总局公告2019年第71号</w:t>
            </w:r>
            <w:r>
              <w:rPr>
                <w:rFonts w:hint="eastAsia"/>
                <w:kern w:val="0"/>
              </w:rPr>
              <w:t>）</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83" w:type="dxa"/>
            <w:vAlign w:val="center"/>
          </w:tcPr>
          <w:p>
            <w:pPr>
              <w:pStyle w:val="50"/>
              <w:adjustRightInd/>
              <w:snapToGrid/>
              <w:spacing w:line="276" w:lineRule="auto"/>
            </w:pPr>
            <w:r>
              <w:rPr>
                <w:kern w:val="0"/>
              </w:rPr>
              <w:t>《</w:t>
            </w:r>
            <w:r>
              <w:rPr>
                <w:rFonts w:hint="eastAsia"/>
                <w:kern w:val="0"/>
              </w:rPr>
              <w:t>财政部 税务总局关于继续执行的车辆购置税优惠政策的公告</w:t>
            </w:r>
            <w:r>
              <w:rPr>
                <w:kern w:val="0"/>
              </w:rPr>
              <w:t>》（</w:t>
            </w:r>
            <w:r>
              <w:rPr>
                <w:rFonts w:hint="eastAsia"/>
                <w:kern w:val="0"/>
              </w:rPr>
              <w:t>财政部 税务总局公告2019年第75号</w:t>
            </w:r>
            <w:r>
              <w:rPr>
                <w:kern w:val="0"/>
              </w:rPr>
              <w:t>）</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7</w:t>
            </w:r>
          </w:p>
        </w:tc>
        <w:tc>
          <w:tcPr>
            <w:tcW w:w="5783" w:type="dxa"/>
            <w:vAlign w:val="center"/>
          </w:tcPr>
          <w:p>
            <w:pPr>
              <w:pStyle w:val="50"/>
              <w:adjustRightInd/>
              <w:snapToGrid/>
              <w:spacing w:line="276" w:lineRule="auto"/>
            </w:pPr>
            <w:r>
              <w:rPr>
                <w:rFonts w:hint="eastAsia"/>
              </w:rPr>
              <w:t>《国家税务总局关于实施〈税收票证管理办法〉若干问题的公告》（国家税务总局公告</w:t>
            </w:r>
            <w:r>
              <w:t>2013</w:t>
            </w:r>
            <w:r>
              <w:rPr>
                <w:rFonts w:hint="eastAsia"/>
              </w:rPr>
              <w:t>年第</w:t>
            </w:r>
            <w:r>
              <w:t>34</w:t>
            </w:r>
            <w:r>
              <w:rPr>
                <w:rFonts w:hint="eastAsia"/>
              </w:rPr>
              <w:t>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8</w:t>
            </w:r>
          </w:p>
        </w:tc>
        <w:tc>
          <w:tcPr>
            <w:tcW w:w="578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9</w:t>
            </w:r>
          </w:p>
        </w:tc>
        <w:tc>
          <w:tcPr>
            <w:tcW w:w="5783" w:type="dxa"/>
            <w:vAlign w:val="center"/>
          </w:tcPr>
          <w:p>
            <w:pPr>
              <w:pStyle w:val="50"/>
              <w:adjustRightInd/>
              <w:snapToGrid/>
              <w:spacing w:line="276" w:lineRule="auto"/>
            </w:pPr>
            <w:r>
              <w:rPr>
                <w:rFonts w:hint="eastAsia"/>
              </w:rPr>
              <w:t>《</w:t>
            </w:r>
            <w:r>
              <w:t>国家税务总局关于车辆购置税征收管理有关事项的公告</w:t>
            </w:r>
            <w:r>
              <w:rPr>
                <w:rFonts w:hint="eastAsia"/>
              </w:rPr>
              <w:t>》（</w:t>
            </w:r>
            <w:r>
              <w:t>国家税务总局公告2019年第26号</w:t>
            </w:r>
            <w:r>
              <w:rPr>
                <w:rFonts w:hint="eastAsia"/>
              </w:rPr>
              <w:t>）</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10</w:t>
            </w:r>
          </w:p>
        </w:tc>
        <w:tc>
          <w:tcPr>
            <w:tcW w:w="5783" w:type="dxa"/>
            <w:vAlign w:val="center"/>
          </w:tcPr>
          <w:p>
            <w:pPr>
              <w:pStyle w:val="50"/>
              <w:adjustRightInd/>
              <w:snapToGrid/>
              <w:spacing w:line="276" w:lineRule="auto"/>
            </w:pPr>
            <w:r>
              <w:rPr>
                <w:rFonts w:hint="eastAsia"/>
              </w:rPr>
              <w:t>《国家税务总局关于创新税收服务和管理的意见》（税总发〔2014〕85号）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11</w:t>
            </w:r>
          </w:p>
        </w:tc>
        <w:tc>
          <w:tcPr>
            <w:tcW w:w="578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6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12</w:t>
            </w:r>
          </w:p>
        </w:tc>
        <w:tc>
          <w:tcPr>
            <w:tcW w:w="578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6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13</w:t>
            </w:r>
          </w:p>
        </w:tc>
        <w:tc>
          <w:tcPr>
            <w:tcW w:w="578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6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14</w:t>
            </w:r>
          </w:p>
        </w:tc>
        <w:tc>
          <w:tcPr>
            <w:tcW w:w="5783" w:type="dxa"/>
            <w:vAlign w:val="center"/>
          </w:tcPr>
          <w:p>
            <w:pPr>
              <w:pStyle w:val="50"/>
              <w:adjustRightInd/>
              <w:snapToGrid/>
              <w:spacing w:line="276" w:lineRule="auto"/>
            </w:pPr>
            <w:r>
              <w:rPr>
                <w:rFonts w:hint="eastAsia"/>
              </w:rPr>
              <w:t>《国家税务总局关于取消一批涉税事项和报送资料的通知》（税总函〔2017〕403号）</w:t>
            </w:r>
          </w:p>
        </w:tc>
        <w:tc>
          <w:tcPr>
            <w:tcW w:w="1667"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63" w:name="_Toc18096120"/>
      <w:r>
        <w:rPr>
          <w:rFonts w:hint="eastAsia"/>
          <w:color w:val="000000" w:themeColor="text1"/>
        </w:rPr>
        <w:t>3.4　　企业所得税申报</w:t>
      </w:r>
      <w:bookmarkEnd w:id="60"/>
      <w:bookmarkEnd w:id="61"/>
      <w:bookmarkEnd w:id="63"/>
    </w:p>
    <w:p>
      <w:pPr>
        <w:pStyle w:val="30"/>
        <w:wordWrap w:val="0"/>
        <w:topLinePunct w:val="0"/>
        <w:spacing w:before="312" w:after="312"/>
        <w:rPr>
          <w:color w:val="000000" w:themeColor="text1"/>
        </w:rPr>
      </w:pPr>
      <w:bookmarkStart w:id="64" w:name="_Toc16803"/>
      <w:bookmarkStart w:id="65" w:name="_Toc18096121"/>
      <w:bookmarkStart w:id="66" w:name="_Toc21774"/>
      <w:bookmarkStart w:id="67" w:name="_Hlk17928346"/>
      <w:bookmarkStart w:id="68" w:name="_Toc15797"/>
      <w:bookmarkStart w:id="69" w:name="_Toc21745"/>
      <w:bookmarkStart w:id="70" w:name="_Toc9753"/>
      <w:r>
        <w:rPr>
          <w:rFonts w:hint="eastAsia"/>
          <w:color w:val="000000" w:themeColor="text1"/>
        </w:rPr>
        <w:t>3.4.1—07</w:t>
      </w:r>
      <w:r>
        <w:rPr>
          <w:color w:val="000000" w:themeColor="text1"/>
        </w:rPr>
        <w:t>2</w:t>
      </w:r>
      <w:r>
        <w:rPr>
          <w:rFonts w:hint="eastAsia"/>
          <w:color w:val="000000" w:themeColor="text1"/>
        </w:rPr>
        <w:t>　</w:t>
      </w:r>
      <w:r>
        <w:rPr>
          <w:color w:val="000000" w:themeColor="text1"/>
        </w:rPr>
        <w:t>　</w:t>
      </w:r>
      <w:r>
        <w:rPr>
          <w:rFonts w:hint="eastAsia"/>
          <w:color w:val="000000" w:themeColor="text1"/>
        </w:rPr>
        <w:t>居民企业（查账征收）企业所得税月（季）度申报</w:t>
      </w:r>
      <w:bookmarkEnd w:id="64"/>
      <w:bookmarkEnd w:id="65"/>
      <w:bookmarkEnd w:id="66"/>
    </w:p>
    <w:bookmarkEnd w:id="67"/>
    <w:p>
      <w:pPr>
        <w:pStyle w:val="31"/>
        <w:wordWrap w:val="0"/>
        <w:adjustRightInd/>
        <w:snapToGrid/>
        <w:rPr>
          <w:color w:val="000000" w:themeColor="text1"/>
        </w:rPr>
      </w:pPr>
      <w:r>
        <w:rPr>
          <w:rFonts w:hint="eastAsia"/>
          <w:color w:val="000000" w:themeColor="text1"/>
        </w:rPr>
        <w:t>【事项名称】</w:t>
      </w:r>
    </w:p>
    <w:p>
      <w:pPr>
        <w:pStyle w:val="36"/>
        <w:wordWrap w:val="0"/>
        <w:adjustRightInd/>
        <w:snapToGrid/>
        <w:ind w:left="0" w:firstLine="480"/>
        <w:rPr>
          <w:rFonts w:eastAsia="宋体"/>
          <w:color w:val="000000" w:themeColor="text1"/>
        </w:rPr>
      </w:pPr>
      <w:bookmarkStart w:id="71" w:name="_Toc9408"/>
      <w:r>
        <w:rPr>
          <w:rFonts w:hint="eastAsia" w:eastAsia="宋体"/>
          <w:color w:val="000000" w:themeColor="text1"/>
        </w:rPr>
        <w:t>居民企业（查账征收）企业所得税月（季）度申报</w:t>
      </w:r>
      <w:bookmarkEnd w:id="71"/>
    </w:p>
    <w:p>
      <w:pPr>
        <w:pStyle w:val="31"/>
        <w:wordWrap w:val="0"/>
        <w:adjustRightInd/>
        <w:snapToGrid/>
        <w:rPr>
          <w:color w:val="000000" w:themeColor="text1"/>
        </w:rPr>
      </w:pPr>
      <w:r>
        <w:rPr>
          <w:rFonts w:hint="eastAsia"/>
          <w:color w:val="000000" w:themeColor="text1"/>
        </w:rPr>
        <w:t>【业务描述】</w:t>
      </w:r>
    </w:p>
    <w:p>
      <w:pPr>
        <w:pStyle w:val="36"/>
        <w:wordWrap w:val="0"/>
        <w:adjustRightInd/>
        <w:snapToGrid/>
        <w:ind w:left="0" w:firstLine="480"/>
        <w:rPr>
          <w:rFonts w:eastAsia="宋体"/>
          <w:color w:val="000000" w:themeColor="text1"/>
        </w:rPr>
      </w:pPr>
      <w:bookmarkStart w:id="72" w:name="_Toc27843"/>
      <w:r>
        <w:rPr>
          <w:rFonts w:hint="eastAsia" w:eastAsia="宋体"/>
          <w:color w:val="000000" w:themeColor="text1"/>
        </w:rPr>
        <w:t>实行查账征收方式申报企业所得税的居民企业（包括境外注册中资控股居民企业）在月份或者季度终了之日起的</w:t>
      </w:r>
      <w:r>
        <w:rPr>
          <w:rFonts w:hint="eastAsia" w:ascii="Times New Roman" w:hAnsi="Times New Roman" w:eastAsia="宋体"/>
          <w:color w:val="000000" w:themeColor="text1"/>
        </w:rPr>
        <w:t>15</w:t>
      </w:r>
      <w:r>
        <w:rPr>
          <w:rFonts w:hint="eastAsia" w:eastAsia="宋体"/>
          <w:color w:val="000000" w:themeColor="text1"/>
        </w:rPr>
        <w:t>日内，应依照税收法律、法规、规章及其他有关规定，向税务机关填报《中华人民共和国企业所得税月（季）度预缴纳税申报表（A类，</w:t>
      </w:r>
      <w:r>
        <w:rPr>
          <w:rFonts w:hint="eastAsia" w:ascii="Times New Roman" w:hAnsi="Times New Roman" w:eastAsia="宋体"/>
          <w:color w:val="000000" w:themeColor="text1"/>
        </w:rPr>
        <w:t>2018</w:t>
      </w:r>
      <w:r>
        <w:rPr>
          <w:rFonts w:hint="eastAsia" w:eastAsia="宋体"/>
          <w:color w:val="000000" w:themeColor="text1"/>
        </w:rPr>
        <w:t>版）》及其他相关资料，进行月（季）度预缴纳税申报。</w:t>
      </w:r>
      <w:bookmarkEnd w:id="72"/>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《中华人民共和国企业所得税法》第一条、第五十四条</w:t>
      </w:r>
    </w:p>
    <w:p>
      <w:pPr>
        <w:pStyle w:val="31"/>
        <w:wordWrap w:val="0"/>
        <w:adjustRightInd/>
        <w:snapToGrid/>
        <w:rPr>
          <w:color w:val="000000" w:themeColor="text1"/>
        </w:rPr>
      </w:pPr>
      <w:r>
        <w:rPr>
          <w:rFonts w:hint="eastAsia"/>
          <w:color w:val="000000" w:themeColor="text1"/>
        </w:rPr>
        <w:t>【办理材料】</w:t>
      </w:r>
    </w:p>
    <w:tbl>
      <w:tblPr>
        <w:tblStyle w:val="18"/>
        <w:tblW w:w="8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01"/>
        <w:gridCol w:w="28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cs="Microsoft Himalaya"/>
                <w:color w:val="000000" w:themeColor="text1"/>
              </w:rPr>
              <w:t>《中华人民共和国企业所得税月（季）度预缴纳税申报表（A类，</w:t>
            </w:r>
            <w:r>
              <w:rPr>
                <w:rFonts w:hint="eastAsia" w:ascii="Times New Roman" w:hAnsi="Times New Roman"/>
                <w:color w:val="000000" w:themeColor="text1"/>
              </w:rPr>
              <w:t>2018</w:t>
            </w:r>
            <w:r>
              <w:rPr>
                <w:rFonts w:cs="Microsoft Himalaya"/>
                <w:color w:val="000000" w:themeColor="text1"/>
              </w:rPr>
              <w:t>年版）》</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4" w:type="dxa"/>
            <w:gridSpan w:val="5"/>
            <w:tcBorders>
              <w:top w:val="single" w:color="auto" w:sz="4" w:space="0"/>
              <w:left w:val="single" w:color="auto" w:sz="4" w:space="0"/>
              <w:bottom w:val="single" w:color="auto" w:sz="4" w:space="0"/>
              <w:right w:val="single" w:color="auto" w:sz="4" w:space="0"/>
            </w:tcBorders>
            <w:shd w:val="clear" w:color="auto" w:fill="D8D8D8"/>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lang w:val="zh-CN"/>
              </w:rPr>
            </w:pPr>
            <w:r>
              <w:rPr>
                <w:rFonts w:hint="eastAsia"/>
                <w:color w:val="000000" w:themeColor="text1"/>
                <w:sz w:val="21"/>
                <w:szCs w:val="21"/>
              </w:rPr>
              <w:t>适用情形</w:t>
            </w:r>
          </w:p>
        </w:tc>
        <w:tc>
          <w:tcPr>
            <w:tcW w:w="2835" w:type="dxa"/>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lang w:val="zh-CN"/>
              </w:rPr>
            </w:pPr>
            <w:r>
              <w:rPr>
                <w:rFonts w:hint="eastAsia"/>
                <w:color w:val="000000" w:themeColor="text1"/>
                <w:sz w:val="21"/>
                <w:szCs w:val="21"/>
              </w:rPr>
              <w:t>材料名称</w:t>
            </w:r>
          </w:p>
        </w:tc>
        <w:tc>
          <w:tcPr>
            <w:tcW w:w="680" w:type="dxa"/>
            <w:tcBorders>
              <w:top w:val="single" w:color="auto" w:sz="4" w:space="0"/>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lang w:val="zh-CN"/>
              </w:rPr>
            </w:pPr>
            <w:r>
              <w:rPr>
                <w:rFonts w:hint="eastAsia"/>
                <w:color w:val="000000" w:themeColor="text1"/>
                <w:sz w:val="21"/>
                <w:szCs w:val="21"/>
              </w:rPr>
              <w:t>数量</w:t>
            </w:r>
          </w:p>
        </w:tc>
        <w:tc>
          <w:tcPr>
            <w:tcW w:w="2268" w:type="dxa"/>
            <w:tcBorders>
              <w:top w:val="single" w:color="auto" w:sz="4" w:space="0"/>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lang w:val="zh-CN"/>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有直接管理的跨地区设立的项目部的建筑企业总机构</w:t>
            </w:r>
          </w:p>
        </w:tc>
        <w:tc>
          <w:tcPr>
            <w:tcW w:w="2835" w:type="dxa"/>
            <w:tcBorders>
              <w:left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rFonts w:hint="eastAsia" w:cs="Microsoft Himalaya"/>
                <w:color w:val="000000" w:themeColor="text1"/>
              </w:rPr>
              <w:t>建筑企业总机构直接管理的跨地区经营项目部就地预缴税款的完税证明</w:t>
            </w:r>
          </w:p>
        </w:tc>
        <w:tc>
          <w:tcPr>
            <w:tcW w:w="680"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原件查验后退回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跨省、自治区、直辖市和计划单列市设立的，实行汇总纳税办法的居民企业</w:t>
            </w:r>
            <w:r>
              <w:rPr>
                <w:rFonts w:hint="eastAsia"/>
                <w:color w:val="000000" w:themeColor="text1"/>
              </w:rPr>
              <w:t>（分支机构）</w:t>
            </w:r>
          </w:p>
        </w:tc>
        <w:tc>
          <w:tcPr>
            <w:tcW w:w="2835" w:type="dxa"/>
            <w:tcBorders>
              <w:left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rFonts w:hint="eastAsia" w:cs="Microsoft Himalaya"/>
                <w:color w:val="000000" w:themeColor="text1"/>
              </w:rPr>
              <w:t>《企业所得税汇总纳税分支机构所得税分配表》复印件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经总机构所在地主管税务机关受理的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rFonts w:hint="eastAsia"/>
                <w:color w:val="000000" w:themeColor="text1"/>
              </w:rPr>
              <w:t>符合条件的境外投资居民企业</w:t>
            </w:r>
          </w:p>
        </w:tc>
        <w:tc>
          <w:tcPr>
            <w:tcW w:w="2835" w:type="dxa"/>
            <w:tcBorders>
              <w:left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rFonts w:hint="eastAsia"/>
                <w:color w:val="000000" w:themeColor="text1"/>
              </w:rPr>
              <w:t>《居民企业参股外国企业信息报告表》</w:t>
            </w:r>
          </w:p>
        </w:tc>
        <w:tc>
          <w:tcPr>
            <w:tcW w:w="68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rFonts w:hint="eastAsia"/>
                <w:color w:val="000000" w:themeColor="text1"/>
              </w:rPr>
              <w:t>适用股权激励和技术入股递延纳税政策的企业</w:t>
            </w:r>
          </w:p>
        </w:tc>
        <w:tc>
          <w:tcPr>
            <w:tcW w:w="2835" w:type="dxa"/>
            <w:tcBorders>
              <w:left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rFonts w:hint="eastAsia"/>
                <w:color w:val="000000" w:themeColor="text1"/>
              </w:rPr>
              <w:t>《技术成果投资入股企业所得税递延纳税备案表》</w:t>
            </w:r>
          </w:p>
        </w:tc>
        <w:tc>
          <w:tcPr>
            <w:tcW w:w="68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left w:val="single" w:color="auto" w:sz="4" w:space="0"/>
              <w:right w:val="single" w:color="auto" w:sz="4" w:space="0"/>
            </w:tcBorders>
            <w:vAlign w:val="center"/>
          </w:tcPr>
          <w:p>
            <w:pPr>
              <w:pStyle w:val="34"/>
              <w:wordWrap w:val="0"/>
              <w:adjustRightInd/>
              <w:snapToGrid/>
              <w:spacing w:line="240" w:lineRule="auto"/>
              <w:rPr>
                <w:rFonts w:ascii="仿宋" w:hAnsi="仿宋" w:cs="Microsoft Himalaya"/>
                <w:color w:val="000000" w:themeColor="text1"/>
              </w:rPr>
            </w:pPr>
            <w:r>
              <w:rPr>
                <w:rFonts w:hint="eastAsia"/>
                <w:color w:val="000000" w:themeColor="text1"/>
              </w:rPr>
              <w:t>投资完成后首次预缴申报时报送</w:t>
            </w: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20" w:firstLineChars="0"/>
        <w:rPr>
          <w:rFonts w:hint="default"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1.可通过办税服务厅（场所）、国家税务总局湖南省电子税务局（https://etax.hunan.chinatax.gov.cn）办理，</w:t>
      </w:r>
      <w:r>
        <w:rPr>
          <w:rFonts w:hint="default" w:cs="Times New Roman" w:asciiTheme="minorEastAsia" w:hAnsiTheme="minorEastAsia" w:eastAsiaTheme="minorEastAsia"/>
          <w:color w:val="000000" w:themeColor="text1"/>
        </w:rPr>
        <w:t>办税服务厅（场所）的具体地点可从国家税务总局湖南省税务局网站“纳税服务”栏目查询。</w:t>
      </w:r>
    </w:p>
    <w:p>
      <w:pPr>
        <w:wordWrap w:val="0"/>
        <w:spacing w:line="360" w:lineRule="auto"/>
        <w:ind w:firstLine="480"/>
        <w:rPr>
          <w:rFonts w:hint="default"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2.此事项可同城通办。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cs="Calibri"/>
          <w:bCs w:val="0"/>
          <w:color w:val="000000" w:themeColor="text1"/>
        </w:rPr>
      </w:pPr>
      <w:r>
        <w:rPr>
          <w:rFonts w:ascii="宋体" w:hAnsi="宋体" w:eastAsia="宋体" w:cs="Calibri"/>
          <w:bCs w:val="0"/>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9525" b="0"/>
            <wp:docPr id="28"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企业所得税预缴申报必须连续进行，中间缺漏的属期要先补充完整，才能继续申报。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7.</w:t>
      </w:r>
      <w:r>
        <w:rPr>
          <w:rFonts w:hint="default" w:ascii="宋体" w:hAnsi="宋体" w:cs="Times New Roman"/>
          <w:color w:val="000000" w:themeColor="text1"/>
          <w:lang w:val="zh-CN"/>
        </w:rPr>
        <w:t>企业所得税分月或者分季预缴，由税务机关具体核定。符合条件的小型微利企业，实行按季度申报预缴企业所得税。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bookmarkStart w:id="73" w:name="_Hlk17928368"/>
      <w:r>
        <w:rPr>
          <w:rFonts w:cs="Times New Roman"/>
          <w:color w:val="000000" w:themeColor="text1"/>
        </w:rPr>
        <w:t>9.</w:t>
      </w:r>
      <w:bookmarkEnd w:id="73"/>
      <w:r>
        <w:rPr>
          <w:rFonts w:ascii="宋体" w:hAnsi="宋体" w:cs="Times New Roman"/>
          <w:color w:val="000000" w:themeColor="text1"/>
        </w:rPr>
        <w:t>跨省经营的汇总纳税纳税人按照《企业所得税法》规定汇总计算的企业所得税，包括预缴税款和汇算清缴应缴应退税款，5</w:t>
      </w:r>
      <w:r>
        <w:rPr>
          <w:rFonts w:hint="default" w:ascii="宋体" w:hAnsi="宋体" w:cs="Times New Roman"/>
          <w:color w:val="000000" w:themeColor="text1"/>
        </w:rPr>
        <w:t>0</w:t>
      </w:r>
      <w:r>
        <w:rPr>
          <w:rFonts w:ascii="宋体" w:hAnsi="宋体" w:cs="Times New Roman"/>
          <w:color w:val="000000" w:themeColor="text1"/>
        </w:rPr>
        <w:t>%在各分支机构间分摊，各分支机构根据分摊税款就地办理缴库或退库；5</w:t>
      </w:r>
      <w:r>
        <w:rPr>
          <w:rFonts w:hint="default" w:ascii="宋体" w:hAnsi="宋体" w:cs="Times New Roman"/>
          <w:color w:val="000000" w:themeColor="text1"/>
        </w:rPr>
        <w:t>0</w:t>
      </w:r>
      <w:r>
        <w:rPr>
          <w:rFonts w:ascii="宋体" w:hAnsi="宋体" w:cs="Times New Roman"/>
          <w:color w:val="000000" w:themeColor="text1"/>
        </w:rPr>
        <w:t>%由总机构分摊缴纳，其中2</w:t>
      </w:r>
      <w:r>
        <w:rPr>
          <w:rFonts w:hint="default" w:ascii="宋体" w:hAnsi="宋体" w:cs="Times New Roman"/>
          <w:color w:val="000000" w:themeColor="text1"/>
        </w:rPr>
        <w:t>5</w:t>
      </w:r>
      <w:r>
        <w:rPr>
          <w:rFonts w:ascii="宋体" w:hAnsi="宋体" w:cs="Times New Roman"/>
          <w:color w:val="000000" w:themeColor="text1"/>
        </w:rPr>
        <w:t>%就地办理缴库或退库，2</w:t>
      </w:r>
      <w:r>
        <w:rPr>
          <w:rFonts w:hint="default" w:ascii="宋体" w:hAnsi="宋体" w:cs="Times New Roman"/>
          <w:color w:val="000000" w:themeColor="text1"/>
        </w:rPr>
        <w:t>5</w:t>
      </w:r>
      <w:r>
        <w:rPr>
          <w:rFonts w:ascii="宋体" w:hAnsi="宋体" w:cs="Times New Roman"/>
          <w:color w:val="000000" w:themeColor="text1"/>
        </w:rPr>
        <w:t>%就地全额缴入中央国库或退库。省内跨市州、跨县市经营的汇总纳税纳税人，总机构应将统一计算的企业当期应纳税额的4</w:t>
      </w:r>
      <w:r>
        <w:rPr>
          <w:rFonts w:hint="default" w:ascii="宋体" w:hAnsi="宋体" w:cs="Times New Roman"/>
          <w:color w:val="000000" w:themeColor="text1"/>
        </w:rPr>
        <w:t>0</w:t>
      </w:r>
      <w:r>
        <w:rPr>
          <w:rFonts w:ascii="宋体" w:hAnsi="宋体" w:cs="Times New Roman"/>
          <w:color w:val="000000" w:themeColor="text1"/>
        </w:rPr>
        <w:t>%，就地办理缴库；将统一计算的企业当期应纳税额的6</w:t>
      </w:r>
      <w:r>
        <w:rPr>
          <w:rFonts w:hint="default" w:ascii="宋体" w:hAnsi="宋体" w:cs="Times New Roman"/>
          <w:color w:val="000000" w:themeColor="text1"/>
        </w:rPr>
        <w:t>0</w:t>
      </w:r>
      <w:r>
        <w:rPr>
          <w:rFonts w:ascii="宋体" w:hAnsi="宋体" w:cs="Times New Roman"/>
          <w:color w:val="000000" w:themeColor="text1"/>
        </w:rPr>
        <w:t>%在各分支机构之间进行分摊。</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ascii="宋体" w:hAnsi="宋体" w:cs="Times New Roman"/>
          <w:color w:val="000000" w:themeColor="text1"/>
        </w:rPr>
        <w:t>建筑企业总机构直接管理的跨地区设立的项目部，应按项目实际经营收入的</w:t>
      </w:r>
      <w:r>
        <w:rPr>
          <w:rFonts w:cs="Times New Roman"/>
          <w:color w:val="000000" w:themeColor="text1"/>
        </w:rPr>
        <w:t>0.2</w:t>
      </w:r>
      <w:r>
        <w:rPr>
          <w:rFonts w:ascii="宋体" w:hAnsi="宋体" w:cs="Times New Roman"/>
          <w:color w:val="000000" w:themeColor="text1"/>
        </w:rPr>
        <w:t>%按月或按季由总机构向项目所在地预分企业所得税，并由项目部向所在地主管税务机关预缴。</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ascii="宋体" w:hAnsi="宋体" w:cs="Times New Roman"/>
          <w:color w:val="000000" w:themeColor="text1"/>
        </w:rPr>
        <w:t>纳税人享受减税、免税待遇的，在减税、免税期间应当按照规定办理纳税申报，填写申报表及其附表上的优惠栏目。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实现汇总纳税企业的企业所得税涉税信息跨省共享。</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进入金三操作系统，通过申报征收岗权限，按照【申报征收】—【申报】—【居民企业所得税申报】—【居民企业（查账征收）企业所得税月（季）度申报（2018年版）】的路径进入功能模块。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pPr>
            <w:r>
              <w:t>《中华人民共和国企业所得税法》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rPr>
                <w:kern w:val="24"/>
              </w:rPr>
            </w:pPr>
            <w:r>
              <w:t>《税收票证管理办法》（国家税务总局令第28号）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pPr>
            <w:r>
              <w:rPr>
                <w:rFonts w:hint="eastAsia"/>
              </w:rPr>
              <w:t>《财政部 国家税务总局中国人民银行关于印发〈跨省市总分机构企业所得税分配及预算管理办法〉的通知》（财预〔2012〕40号）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rPr>
                <w:kern w:val="0"/>
              </w:rPr>
            </w:pPr>
            <w:r>
              <w:t>《国家税务总局关于印发〈跨地区经营汇总纳税企业所得税征收管理办法〉的公告》（国家税务总局公告2012年第57号）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t>《国家税务总局关于实施〈税收票证管理办法〉若干问题的公告》（国家税务总局公告2013年第34号）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rPr>
                <w:kern w:val="0"/>
              </w:rPr>
            </w:pPr>
            <w:r>
              <w:t>《国家税务总局关于居民企业报告境外投资和所得信息有关问题的公告》（国家税务总局公告2014年第38号）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670" w:type="dxa"/>
            <w:vAlign w:val="center"/>
          </w:tcPr>
          <w:p>
            <w:pPr>
              <w:pStyle w:val="50"/>
              <w:adjustRightInd/>
              <w:snapToGrid/>
              <w:spacing w:line="276" w:lineRule="auto"/>
            </w:pPr>
            <w:r>
              <w:rPr>
                <w:rFonts w:hint="eastAsia"/>
              </w:rPr>
              <w:t>《国家税务总局关于合理简并纳税人申报缴税次数的公告》（国家税务总局公告</w:t>
            </w:r>
            <w:r>
              <w:t>2016</w:t>
            </w:r>
            <w:r>
              <w:rPr>
                <w:rFonts w:hint="eastAsia"/>
              </w:rPr>
              <w:t>年第</w:t>
            </w:r>
            <w:r>
              <w:t>6</w:t>
            </w:r>
            <w:r>
              <w:rPr>
                <w:rFonts w:hint="eastAsia"/>
              </w:rPr>
              <w:t>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rPr>
                <w:color w:val="000000"/>
                <w:kern w:val="0"/>
              </w:rPr>
            </w:pPr>
            <w:r>
              <w:t>《国家税务总局关于股权激励和技术入股所得税征管问题的公告》（国家税务总局公告2016年第62号）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rPr>
                <w:color w:val="00B0F0"/>
                <w:kern w:val="0"/>
              </w:rPr>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670" w:type="dxa"/>
            <w:vAlign w:val="center"/>
          </w:tcPr>
          <w:p>
            <w:pPr>
              <w:pStyle w:val="50"/>
              <w:adjustRightInd/>
              <w:snapToGrid/>
              <w:spacing w:line="276" w:lineRule="auto"/>
              <w:rPr>
                <w:kern w:val="24"/>
              </w:rPr>
            </w:pPr>
            <w:r>
              <w:rPr>
                <w:rFonts w:hint="eastAsia"/>
              </w:rPr>
              <w:t>《国家税务总局关于发布修订后的〈企业所得税优惠政策事项办理办法〉的公告》（国家税务总局公告2018年第23号）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670" w:type="dxa"/>
            <w:vAlign w:val="center"/>
          </w:tcPr>
          <w:p>
            <w:pPr>
              <w:pStyle w:val="50"/>
              <w:adjustRightInd/>
              <w:snapToGrid/>
              <w:spacing w:line="276" w:lineRule="auto"/>
            </w:pPr>
            <w:r>
              <w:rPr>
                <w:kern w:val="24"/>
              </w:rPr>
              <w:t>《</w:t>
            </w:r>
            <w:r>
              <w:rPr>
                <w:rFonts w:hint="eastAsia"/>
              </w:rPr>
              <w:t>国家税务总局关于发布</w:t>
            </w:r>
            <w:r>
              <w:rPr>
                <w:kern w:val="24"/>
              </w:rPr>
              <w:t>〈</w:t>
            </w:r>
            <w:r>
              <w:rPr>
                <w:rFonts w:hint="eastAsia"/>
              </w:rPr>
              <w:t>中华人民共和国企业所得税月（季）度预缴纳税申报表（A类，2018年版）</w:t>
            </w:r>
            <w:r>
              <w:rPr>
                <w:kern w:val="24"/>
              </w:rPr>
              <w:t>〉</w:t>
            </w:r>
            <w:r>
              <w:rPr>
                <w:rFonts w:hint="eastAsia"/>
              </w:rPr>
              <w:t>等报表的公告</w:t>
            </w:r>
            <w:r>
              <w:rPr>
                <w:kern w:val="24"/>
              </w:rPr>
              <w:t>》（国家税务总局公告201</w:t>
            </w:r>
            <w:r>
              <w:rPr>
                <w:rFonts w:hint="eastAsia"/>
                <w:kern w:val="24"/>
              </w:rPr>
              <w:t>8</w:t>
            </w:r>
            <w:r>
              <w:rPr>
                <w:kern w:val="24"/>
              </w:rPr>
              <w:t>年第</w:t>
            </w:r>
            <w:r>
              <w:rPr>
                <w:rFonts w:hint="eastAsia"/>
                <w:kern w:val="24"/>
              </w:rPr>
              <w:t>26</w:t>
            </w:r>
            <w:r>
              <w:rPr>
                <w:kern w:val="24"/>
              </w:rPr>
              <w:t>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670" w:type="dxa"/>
            <w:vAlign w:val="center"/>
          </w:tcPr>
          <w:p>
            <w:pPr>
              <w:pStyle w:val="50"/>
              <w:adjustRightInd/>
              <w:snapToGrid/>
              <w:spacing w:line="276" w:lineRule="auto"/>
              <w:rPr>
                <w:kern w:val="24"/>
              </w:rPr>
            </w:pPr>
            <w:r>
              <w:rPr>
                <w:rFonts w:hint="eastAsia"/>
              </w:rPr>
              <w:t>《国家税务总局关于修订〈中华人民共和国企业所得税月（季）度预缴纳税申报表（A类，2018年版）〉等部分表单样式及填报说明的公告》（国家税务总局公告2019年第3号）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670" w:type="dxa"/>
            <w:vAlign w:val="center"/>
          </w:tcPr>
          <w:p>
            <w:pPr>
              <w:pStyle w:val="50"/>
              <w:adjustRightInd/>
              <w:snapToGrid/>
              <w:spacing w:line="276" w:lineRule="auto"/>
            </w:pPr>
            <w:r>
              <w:rPr>
                <w:rFonts w:hint="eastAsia"/>
              </w:rPr>
              <w:t>《国家税务总局关于修订2018年版企业所得税预缴纳税申报表部分表单及填报说明的公告》（国家税务总局公告2019年第23号）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15</w:t>
            </w:r>
          </w:p>
        </w:tc>
        <w:tc>
          <w:tcPr>
            <w:tcW w:w="5670" w:type="dxa"/>
            <w:vAlign w:val="center"/>
          </w:tcPr>
          <w:p>
            <w:pPr>
              <w:pStyle w:val="50"/>
              <w:adjustRightInd/>
              <w:snapToGrid/>
              <w:spacing w:line="276" w:lineRule="auto"/>
            </w:pPr>
            <w:r>
              <w:t>《国家税务总局中国人民银行财政部关于跨省合资铁路企业跨地区税收分享入库有关问题的通知》（国税发〔2012〕116号）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16</w:t>
            </w:r>
          </w:p>
        </w:tc>
        <w:tc>
          <w:tcPr>
            <w:tcW w:w="5670" w:type="dxa"/>
            <w:vAlign w:val="center"/>
          </w:tcPr>
          <w:p>
            <w:pPr>
              <w:pStyle w:val="50"/>
              <w:adjustRightInd/>
              <w:snapToGrid/>
              <w:spacing w:line="276" w:lineRule="auto"/>
            </w:pPr>
            <w:r>
              <w:t>《国家税务总局关于跨地区经营建筑企业所得税征收管理问题的通知》（国税函〔2010〕156号）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17</w:t>
            </w:r>
          </w:p>
        </w:tc>
        <w:tc>
          <w:tcPr>
            <w:tcW w:w="5670" w:type="dxa"/>
            <w:vAlign w:val="center"/>
          </w:tcPr>
          <w:p>
            <w:pPr>
              <w:pStyle w:val="50"/>
              <w:adjustRightInd/>
              <w:snapToGrid/>
              <w:spacing w:line="276" w:lineRule="auto"/>
            </w:pPr>
            <w:r>
              <w:rPr>
                <w:rFonts w:hint="eastAsia"/>
              </w:rPr>
              <w:t>《国家税务总局关于创新税收服务和管理的意见》（税总发〔2014〕85号）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18</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19</w:t>
            </w:r>
          </w:p>
        </w:tc>
        <w:tc>
          <w:tcPr>
            <w:tcW w:w="5670" w:type="dxa"/>
            <w:vAlign w:val="center"/>
          </w:tcPr>
          <w:p>
            <w:pPr>
              <w:pStyle w:val="50"/>
              <w:adjustRightInd/>
              <w:snapToGrid/>
              <w:spacing w:line="276" w:lineRule="auto"/>
              <w:rPr>
                <w:color w:val="00B0F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20</w:t>
            </w:r>
          </w:p>
        </w:tc>
        <w:tc>
          <w:tcPr>
            <w:tcW w:w="5670" w:type="dxa"/>
            <w:vAlign w:val="center"/>
          </w:tcPr>
          <w:p>
            <w:pPr>
              <w:pStyle w:val="50"/>
              <w:adjustRightInd/>
              <w:snapToGrid/>
              <w:spacing w:line="276" w:lineRule="auto"/>
              <w:rPr>
                <w:color w:val="00B0F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21</w:t>
            </w:r>
          </w:p>
        </w:tc>
        <w:tc>
          <w:tcPr>
            <w:tcW w:w="5670" w:type="dxa"/>
            <w:vAlign w:val="center"/>
          </w:tcPr>
          <w:p>
            <w:pPr>
              <w:pStyle w:val="50"/>
              <w:adjustRightInd/>
              <w:snapToGrid/>
              <w:spacing w:line="276" w:lineRule="auto"/>
              <w:rPr>
                <w:color w:val="00B0F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80"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22</w:t>
            </w:r>
          </w:p>
        </w:tc>
        <w:tc>
          <w:tcPr>
            <w:tcW w:w="5670" w:type="dxa"/>
            <w:vAlign w:val="center"/>
          </w:tcPr>
          <w:p>
            <w:pPr>
              <w:pStyle w:val="50"/>
              <w:adjustRightInd/>
              <w:snapToGrid/>
              <w:spacing w:line="276" w:lineRule="auto"/>
            </w:pPr>
            <w:r>
              <w:rPr>
                <w:rFonts w:hint="eastAsia"/>
              </w:rPr>
              <w:t>《</w:t>
            </w:r>
            <w:r>
              <w:t>湖南省财政厅</w:t>
            </w:r>
            <w:r>
              <w:rPr>
                <w:rFonts w:hint="eastAsia"/>
              </w:rPr>
              <w:t xml:space="preserve"> </w:t>
            </w:r>
            <w:r>
              <w:t>湖南省国家税务局</w:t>
            </w:r>
            <w:r>
              <w:rPr>
                <w:rFonts w:hint="eastAsia"/>
              </w:rPr>
              <w:t xml:space="preserve"> </w:t>
            </w:r>
            <w:r>
              <w:t>湖南省地方税务局</w:t>
            </w:r>
            <w:r>
              <w:rPr>
                <w:rFonts w:hint="eastAsia"/>
              </w:rPr>
              <w:t xml:space="preserve"> </w:t>
            </w:r>
            <w:r>
              <w:t>中国人民银行长沙中心支行关于财政收入预算管理有关问题的通知</w:t>
            </w:r>
            <w:r>
              <w:rPr>
                <w:rFonts w:hint="eastAsia"/>
              </w:rPr>
              <w:t>》（</w:t>
            </w:r>
            <w:r>
              <w:t>湘财预</w:t>
            </w:r>
            <w:r>
              <w:rPr>
                <w:rFonts w:hint="eastAsia"/>
              </w:rPr>
              <w:t>〔201</w:t>
            </w:r>
            <w:r>
              <w:t>0</w:t>
            </w:r>
            <w:r>
              <w:rPr>
                <w:rFonts w:hint="eastAsia"/>
              </w:rPr>
              <w:t>〕</w:t>
            </w:r>
            <w:r>
              <w:t>107号</w:t>
            </w:r>
            <w:r>
              <w:rPr>
                <w:rFonts w:hint="eastAsia"/>
              </w:rPr>
              <w:t>）</w:t>
            </w:r>
          </w:p>
        </w:tc>
        <w:tc>
          <w:tcPr>
            <w:tcW w:w="1780" w:type="dxa"/>
            <w:vAlign w:val="center"/>
          </w:tcPr>
          <w:p>
            <w:pPr>
              <w:pStyle w:val="50"/>
              <w:adjustRightInd/>
              <w:snapToGrid/>
              <w:spacing w:line="276" w:lineRule="auto"/>
            </w:pPr>
            <w:r>
              <w:rPr>
                <w:rFonts w:hint="eastAsia"/>
              </w:rPr>
              <w:t>主动公开</w:t>
            </w:r>
          </w:p>
        </w:tc>
      </w:tr>
    </w:tbl>
    <w:p>
      <w:pPr>
        <w:pStyle w:val="30"/>
        <w:wordWrap w:val="0"/>
        <w:topLinePunct w:val="0"/>
        <w:spacing w:before="312" w:after="312"/>
        <w:rPr>
          <w:color w:val="000000" w:themeColor="text1"/>
        </w:rPr>
      </w:pPr>
      <w:bookmarkStart w:id="74" w:name="_Toc428"/>
      <w:bookmarkStart w:id="75" w:name="_Toc15007"/>
      <w:bookmarkStart w:id="76" w:name="_Toc18096122"/>
      <w:r>
        <w:rPr>
          <w:rFonts w:hint="eastAsia"/>
          <w:color w:val="000000" w:themeColor="text1"/>
        </w:rPr>
        <w:t>3.4.2—07</w:t>
      </w:r>
      <w:r>
        <w:rPr>
          <w:color w:val="000000" w:themeColor="text1"/>
        </w:rPr>
        <w:t>3</w:t>
      </w:r>
      <w:r>
        <w:rPr>
          <w:rFonts w:hint="eastAsia"/>
          <w:color w:val="000000" w:themeColor="text1"/>
        </w:rPr>
        <w:t>　</w:t>
      </w:r>
      <w:r>
        <w:rPr>
          <w:color w:val="000000" w:themeColor="text1"/>
        </w:rPr>
        <w:t>　</w:t>
      </w:r>
      <w:r>
        <w:rPr>
          <w:rFonts w:hint="eastAsia"/>
          <w:color w:val="000000" w:themeColor="text1"/>
        </w:rPr>
        <w:t>居民企业（核定征收）企业所得税月（季）度申报</w:t>
      </w:r>
      <w:bookmarkEnd w:id="74"/>
      <w:bookmarkEnd w:id="75"/>
      <w:bookmarkEnd w:id="76"/>
    </w:p>
    <w:p>
      <w:pPr>
        <w:pStyle w:val="31"/>
        <w:wordWrap w:val="0"/>
        <w:adjustRightInd/>
        <w:snapToGrid/>
        <w:rPr>
          <w:rFonts w:ascii="宋体" w:hAnsi="宋体" w:eastAsia="宋体"/>
          <w:bCs w:val="0"/>
          <w:color w:val="000000" w:themeColor="text1"/>
        </w:rPr>
      </w:pPr>
      <w:r>
        <w:rPr>
          <w:rFonts w:hint="eastAsia"/>
          <w:color w:val="000000" w:themeColor="text1"/>
        </w:rPr>
        <w:t>【事项名称】</w:t>
      </w:r>
    </w:p>
    <w:p>
      <w:pPr>
        <w:pStyle w:val="36"/>
        <w:wordWrap w:val="0"/>
        <w:adjustRightInd/>
        <w:snapToGrid/>
        <w:ind w:left="0" w:firstLine="480"/>
        <w:rPr>
          <w:rFonts w:eastAsia="宋体"/>
          <w:color w:val="000000" w:themeColor="text1"/>
        </w:rPr>
      </w:pPr>
      <w:r>
        <w:rPr>
          <w:rFonts w:hint="eastAsia" w:eastAsia="宋体"/>
          <w:color w:val="000000" w:themeColor="text1"/>
        </w:rPr>
        <w:t>居民企业（核定征收）企业所得税月（季）度申报</w:t>
      </w:r>
    </w:p>
    <w:p>
      <w:pPr>
        <w:pStyle w:val="31"/>
        <w:wordWrap w:val="0"/>
        <w:adjustRightInd/>
        <w:snapToGrid/>
        <w:rPr>
          <w:b/>
          <w:bCs w:val="0"/>
          <w:color w:val="000000" w:themeColor="text1"/>
        </w:rPr>
      </w:pPr>
      <w:r>
        <w:rPr>
          <w:rFonts w:hint="eastAsia"/>
          <w:bCs w:val="0"/>
          <w:color w:val="000000" w:themeColor="text1"/>
        </w:rPr>
        <w:t>【业务描述】</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按照企业所得税核定征收办法缴纳企业所得税的居民企业在月份或者季度终了之日起的</w:t>
      </w:r>
      <w:r>
        <w:rPr>
          <w:rFonts w:hint="eastAsia" w:ascii="Times New Roman" w:hAnsi="Times New Roman" w:eastAsia="宋体"/>
          <w:bCs w:val="0"/>
          <w:color w:val="000000" w:themeColor="text1"/>
        </w:rPr>
        <w:t>15</w:t>
      </w:r>
      <w:r>
        <w:rPr>
          <w:rFonts w:hint="eastAsia" w:ascii="宋体" w:hAnsi="宋体" w:eastAsia="宋体"/>
          <w:bCs w:val="0"/>
          <w:color w:val="000000" w:themeColor="text1"/>
        </w:rPr>
        <w:t>日内，依照税收法律、法规、规章及其他有关企业所得税的规定，向税务机关填报《中华人民共和国企业所得税月（季）度预缴和年度纳税申报表（B类，</w:t>
      </w:r>
      <w:r>
        <w:rPr>
          <w:rFonts w:hint="eastAsia" w:ascii="Times New Roman" w:hAnsi="Times New Roman" w:eastAsia="宋体"/>
          <w:bCs w:val="0"/>
          <w:color w:val="000000" w:themeColor="text1"/>
        </w:rPr>
        <w:t>2018</w:t>
      </w:r>
      <w:r>
        <w:rPr>
          <w:rFonts w:hint="eastAsia" w:ascii="宋体" w:hAnsi="宋体" w:eastAsia="宋体"/>
          <w:bCs w:val="0"/>
          <w:color w:val="000000" w:themeColor="text1"/>
        </w:rPr>
        <w:t>年版）》及其他相关资料，向税务机关进行企业所得税月（季）度申报。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《中华人民共和国企业所得税法》第一条、第五十四条</w:t>
      </w:r>
    </w:p>
    <w:p>
      <w:pPr>
        <w:pStyle w:val="31"/>
        <w:wordWrap w:val="0"/>
        <w:adjustRightInd/>
        <w:snapToGrid/>
        <w:rPr>
          <w:color w:val="000000" w:themeColor="text1"/>
        </w:rPr>
      </w:pPr>
      <w:r>
        <w:rPr>
          <w:rFonts w:hint="eastAsia"/>
          <w:color w:val="000000" w:themeColor="text1"/>
        </w:rPr>
        <w:t>【办理材料】</w:t>
      </w:r>
    </w:p>
    <w:tbl>
      <w:tblPr>
        <w:tblStyle w:val="18"/>
        <w:tblW w:w="8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01"/>
        <w:gridCol w:w="28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《中华人民共和国企业所得税月（季）度预缴和年度纳税申报表（B类，</w:t>
            </w:r>
            <w:r>
              <w:rPr>
                <w:rFonts w:hint="eastAsia" w:ascii="Times New Roman" w:hAnsi="Times New Roman"/>
                <w:color w:val="000000" w:themeColor="text1"/>
              </w:rPr>
              <w:t>2018</w:t>
            </w:r>
            <w:r>
              <w:rPr>
                <w:rFonts w:hint="eastAsia"/>
                <w:color w:val="000000" w:themeColor="text1"/>
              </w:rPr>
              <w:t>年版）》</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4"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835"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符合条件的境外投资居民企业</w:t>
            </w:r>
          </w:p>
        </w:tc>
        <w:tc>
          <w:tcPr>
            <w:tcW w:w="28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《居民企业参股外国企业信息报告表》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29"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29"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月（季）度预缴纳税期限为月份或者季度终了之日起的</w:t>
      </w:r>
      <w:r>
        <w:rPr>
          <w:rFonts w:cs="Times New Roman"/>
          <w:color w:val="000000" w:themeColor="text1"/>
        </w:rPr>
        <w:t>15</w:t>
      </w:r>
      <w:r>
        <w:rPr>
          <w:rFonts w:ascii="宋体" w:hAnsi="宋体" w:cs="Times New Roman"/>
          <w:color w:val="000000" w:themeColor="text1"/>
        </w:rPr>
        <w:t>日内，申报期遇最后一日是法定休假日的，以休假日期满的次日为期限的最后一日；在期限内有连续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lang w:val="zh-CN"/>
        </w:rPr>
        <w:t>企业所得税分月或者分季预缴，由税务机关具体核定。符合条件的小型微利企业，实行按季度申报预缴企业所得税。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纳税人享受减税、免税待遇的，在减税、免税期间应当按照规定办理纳税申报，</w:t>
      </w:r>
      <w:r>
        <w:rPr>
          <w:rFonts w:hint="default" w:ascii="宋体" w:hAnsi="宋体" w:cs="Times New Roman"/>
          <w:color w:val="000000" w:themeColor="text1"/>
        </w:rPr>
        <w:t>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进入金三操作系统，通过申报征收岗权限，按照【申报征收】—【申报】—【居民企业所得税申报】—【居民企业（核定征收）企业所得税月（季）度及年度申报（2018年版）】的路径进入功能模块。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rPr>
                <w:color w:val="000000"/>
              </w:rPr>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pPr>
            <w:r>
              <w:t>《中华人民共和国企业所得税法》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rPr>
                <w:kern w:val="24"/>
              </w:rPr>
            </w:pPr>
            <w:r>
              <w:t>《税收票证管理办法》（国家税务总局令第28号）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rPr>
                <w:color w:val="00B0F0"/>
                <w:kern w:val="0"/>
              </w:rPr>
            </w:pPr>
            <w:r>
              <w:rPr>
                <w:rFonts w:hint="eastAsia"/>
              </w:rPr>
              <w:t>《国家税务总局关于企业所得税核定征收有关问题的公告》（国家税务总局公告</w:t>
            </w:r>
            <w:r>
              <w:t>2012</w:t>
            </w:r>
            <w:r>
              <w:rPr>
                <w:rFonts w:hint="eastAsia"/>
              </w:rPr>
              <w:t>年第</w:t>
            </w:r>
            <w:r>
              <w:t>27</w:t>
            </w:r>
            <w:r>
              <w:rPr>
                <w:rFonts w:hint="eastAsia"/>
              </w:rPr>
              <w:t>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pPr>
            <w:r>
              <w:rPr>
                <w:rFonts w:hint="eastAsia"/>
              </w:rPr>
              <w:t>《国家税务总局关于居民企业报告境外投资和所得信息有关问题的公告》（国家税务总局公告2014年第38号）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rPr>
                <w:rFonts w:hint="eastAsia"/>
              </w:rPr>
              <w:t>《国家税务总局关于合理简并纳税人申报缴税次数的公告》（国家税务总局公告2016年第6号）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670" w:type="dxa"/>
            <w:vAlign w:val="center"/>
          </w:tcPr>
          <w:p>
            <w:pPr>
              <w:pStyle w:val="50"/>
              <w:adjustRightInd/>
              <w:snapToGrid/>
              <w:spacing w:line="276" w:lineRule="auto"/>
            </w:pPr>
            <w:r>
              <w:rPr>
                <w:rFonts w:hint="eastAsia"/>
              </w:rPr>
              <w:t>《国家税务总局关于发布修订后的〈企业所得税优惠政策事项办理办法〉的公告》（国家税务总局公告2018年第23号）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rPr>
                <w:kern w:val="0"/>
              </w:rPr>
            </w:pPr>
            <w:r>
              <w:rPr>
                <w:rFonts w:hint="eastAsia"/>
              </w:rPr>
              <w:t>《国家税务总局关于发布〈中华人民共和国企业所得税月（季）度预缴纳税申报表（A类，2018年版）〉等报表的公告》（国家税务总局公告2018年第26号）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《国家税务总局关于修订〈中华人民共和国企业所得税月（季）度预缴纳税申报表（A类，2018年版）〉等部分表单样式及填报说明的公告》（国家税务总局公告2019年第3号）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670" w:type="dxa"/>
            <w:vAlign w:val="center"/>
          </w:tcPr>
          <w:p>
            <w:pPr>
              <w:pStyle w:val="50"/>
              <w:adjustRightInd/>
              <w:snapToGrid/>
              <w:spacing w:line="276" w:lineRule="auto"/>
            </w:pPr>
            <w:r>
              <w:rPr>
                <w:rFonts w:hint="eastAsia"/>
              </w:rPr>
              <w:t>《国家税务总局关于修订2018年版企业所得税预缴纳税申报表部分表单及填报说明的公告》（国家税务总局公告2019年第23号）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670" w:type="dxa"/>
            <w:vAlign w:val="center"/>
          </w:tcPr>
          <w:p>
            <w:pPr>
              <w:pStyle w:val="50"/>
              <w:adjustRightInd/>
              <w:snapToGrid/>
              <w:spacing w:line="276" w:lineRule="auto"/>
            </w:pPr>
            <w:r>
              <w:rPr>
                <w:rFonts w:hint="eastAsia"/>
              </w:rPr>
              <w:t>《国家税务总局关于印发〈企业所得税核定征收办法〉（试行）的通知》（国税发〔</w:t>
            </w:r>
            <w:r>
              <w:t>2008</w:t>
            </w:r>
            <w:r>
              <w:rPr>
                <w:rFonts w:hint="eastAsia"/>
              </w:rPr>
              <w:t>〕</w:t>
            </w:r>
            <w:r>
              <w:t>30</w:t>
            </w:r>
            <w:r>
              <w:rPr>
                <w:rFonts w:hint="eastAsia"/>
              </w:rPr>
              <w:t>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670" w:type="dxa"/>
            <w:vAlign w:val="center"/>
          </w:tcPr>
          <w:p>
            <w:pPr>
              <w:pStyle w:val="50"/>
              <w:adjustRightInd/>
              <w:snapToGrid/>
              <w:spacing w:line="276" w:lineRule="auto"/>
              <w:rPr>
                <w:kern w:val="0"/>
              </w:rPr>
            </w:pPr>
            <w:r>
              <w:rPr>
                <w:rFonts w:hint="eastAsia"/>
              </w:rPr>
              <w:t>《国家税务总局关于企业所得税核定征收若干问题的通知》（国税函〔2009〕377号）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670" w:type="dxa"/>
            <w:vAlign w:val="center"/>
          </w:tcPr>
          <w:p>
            <w:pPr>
              <w:pStyle w:val="50"/>
              <w:adjustRightInd/>
              <w:snapToGrid/>
              <w:spacing w:line="276" w:lineRule="auto"/>
              <w:rPr>
                <w:color w:val="000000"/>
              </w:rPr>
            </w:pPr>
            <w:r>
              <w:rPr>
                <w:rFonts w:hint="eastAsia"/>
              </w:rPr>
              <w:t>《国家税务总局关于创新税收服务和管理的意见》（税总发〔2014〕85号）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15</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16</w:t>
            </w:r>
          </w:p>
        </w:tc>
        <w:tc>
          <w:tcPr>
            <w:tcW w:w="5670" w:type="dxa"/>
            <w:vAlign w:val="center"/>
          </w:tcPr>
          <w:p>
            <w:pPr>
              <w:pStyle w:val="50"/>
              <w:adjustRightInd/>
              <w:snapToGrid/>
              <w:spacing w:line="276" w:lineRule="auto"/>
              <w:rPr>
                <w:color w:val="00B0F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7</w:t>
            </w:r>
          </w:p>
        </w:tc>
        <w:tc>
          <w:tcPr>
            <w:tcW w:w="5670" w:type="dxa"/>
            <w:vAlign w:val="center"/>
          </w:tcPr>
          <w:p>
            <w:pPr>
              <w:pStyle w:val="50"/>
              <w:adjustRightInd/>
              <w:snapToGrid/>
              <w:spacing w:line="276" w:lineRule="auto"/>
              <w:rPr>
                <w:color w:val="00B0F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8</w:t>
            </w:r>
          </w:p>
        </w:tc>
        <w:tc>
          <w:tcPr>
            <w:tcW w:w="5670"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80" w:type="dxa"/>
            <w:vAlign w:val="center"/>
          </w:tcPr>
          <w:p>
            <w:pPr>
              <w:pStyle w:val="50"/>
              <w:adjustRightInd/>
              <w:snapToGrid/>
              <w:spacing w:line="276" w:lineRule="auto"/>
              <w:rPr>
                <w:color w:val="000000"/>
              </w:rPr>
            </w:pPr>
            <w:r>
              <w:rPr>
                <w:rFonts w:hint="eastAsia"/>
              </w:rPr>
              <w:t>依申请公开</w:t>
            </w:r>
          </w:p>
        </w:tc>
      </w:tr>
    </w:tbl>
    <w:p>
      <w:pPr>
        <w:pStyle w:val="30"/>
        <w:wordWrap w:val="0"/>
        <w:topLinePunct w:val="0"/>
        <w:spacing w:before="312" w:after="312"/>
        <w:rPr>
          <w:color w:val="000000" w:themeColor="text1"/>
        </w:rPr>
      </w:pPr>
      <w:bookmarkStart w:id="77" w:name="_Toc18983"/>
      <w:bookmarkStart w:id="78" w:name="_Toc18096123"/>
      <w:r>
        <w:rPr>
          <w:rFonts w:hint="eastAsia"/>
          <w:color w:val="000000" w:themeColor="text1"/>
        </w:rPr>
        <w:t>3.4.3—07</w:t>
      </w:r>
      <w:r>
        <w:rPr>
          <w:color w:val="000000" w:themeColor="text1"/>
        </w:rPr>
        <w:t>4</w:t>
      </w:r>
      <w:r>
        <w:rPr>
          <w:rFonts w:hint="eastAsia"/>
          <w:color w:val="000000" w:themeColor="text1"/>
        </w:rPr>
        <w:t>　</w:t>
      </w:r>
      <w:r>
        <w:rPr>
          <w:color w:val="000000" w:themeColor="text1"/>
        </w:rPr>
        <w:t>　</w:t>
      </w:r>
      <w:r>
        <w:rPr>
          <w:rFonts w:hint="eastAsia"/>
          <w:color w:val="000000" w:themeColor="text1"/>
        </w:rPr>
        <w:t>居民企业（查账征收）企业所得税年度申报</w:t>
      </w:r>
      <w:bookmarkEnd w:id="77"/>
      <w:bookmarkEnd w:id="78"/>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居民企业（查账征收）企业所得税年度申报</w:t>
      </w:r>
    </w:p>
    <w:p>
      <w:pPr>
        <w:pStyle w:val="31"/>
        <w:wordWrap w:val="0"/>
        <w:adjustRightInd/>
        <w:snapToGrid/>
        <w:rPr>
          <w:b/>
          <w:bCs w:val="0"/>
          <w:color w:val="000000" w:themeColor="text1"/>
        </w:rPr>
      </w:pPr>
      <w:r>
        <w:rPr>
          <w:rFonts w:hint="eastAsia"/>
          <w:bCs w:val="0"/>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实行查账征收方式申报企业所得税的居民企业（包括境外注册中资控股居民企业）应当在纳税年度终了之日起</w:t>
      </w:r>
      <w:r>
        <w:rPr>
          <w:rFonts w:cs="Times New Roman"/>
          <w:color w:val="000000" w:themeColor="text1"/>
        </w:rPr>
        <w:t>5</w:t>
      </w:r>
      <w:r>
        <w:rPr>
          <w:rFonts w:ascii="宋体" w:hAnsi="宋体" w:cs="Times New Roman"/>
          <w:color w:val="000000" w:themeColor="text1"/>
        </w:rPr>
        <w:t>个月内，在年度中间终止经营活动的应当在实际终止经营之日起</w:t>
      </w:r>
      <w:r>
        <w:rPr>
          <w:rFonts w:cs="Times New Roman"/>
          <w:color w:val="000000" w:themeColor="text1"/>
        </w:rPr>
        <w:t>60</w:t>
      </w:r>
      <w:r>
        <w:rPr>
          <w:rFonts w:ascii="宋体" w:hAnsi="宋体" w:cs="Times New Roman"/>
          <w:color w:val="000000" w:themeColor="text1"/>
        </w:rPr>
        <w:t>日内，依照税收法律、法规、规章及其他有关规定，自行计算本纳税年度应纳税所得额、应纳所得税额和本纳税年度应补（退）税额，向税务机关填报《中华人民共和国企业所得税年度纳税申报表（A类，</w:t>
      </w:r>
      <w:r>
        <w:rPr>
          <w:rFonts w:cs="Times New Roman"/>
          <w:color w:val="000000" w:themeColor="text1"/>
        </w:rPr>
        <w:t>2017</w:t>
      </w:r>
      <w:r>
        <w:rPr>
          <w:rFonts w:ascii="宋体" w:hAnsi="宋体" w:cs="Times New Roman"/>
          <w:color w:val="000000" w:themeColor="text1"/>
        </w:rPr>
        <w:t>年版）》及其他有关资料，进行年度纳税申报。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《中华人民共和国企业所得税法》第一条、第五十四条</w:t>
      </w:r>
    </w:p>
    <w:p>
      <w:pPr>
        <w:pStyle w:val="31"/>
        <w:wordWrap w:val="0"/>
        <w:adjustRightInd/>
        <w:snapToGrid/>
        <w:rPr>
          <w:color w:val="000000" w:themeColor="text1"/>
        </w:rPr>
      </w:pPr>
      <w:r>
        <w:rPr>
          <w:rFonts w:hint="eastAsia"/>
          <w:color w:val="000000" w:themeColor="text1"/>
        </w:rPr>
        <w:t>【办理材料】</w:t>
      </w:r>
    </w:p>
    <w:tbl>
      <w:tblPr>
        <w:tblStyle w:val="18"/>
        <w:tblW w:w="816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811"/>
        <w:gridCol w:w="2725"/>
        <w:gridCol w:w="680"/>
        <w:gridCol w:w="226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50" w:hRule="atLeast"/>
          <w:jc w:val="center"/>
        </w:trPr>
        <w:tc>
          <w:tcPr>
            <w:tcW w:w="679" w:type="dxa"/>
            <w:tcBorders>
              <w:tl2br w:val="nil"/>
              <w:tr2bl w:val="nil"/>
            </w:tcBorders>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tcBorders>
              <w:tl2br w:val="nil"/>
              <w:tr2bl w:val="nil"/>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l2br w:val="nil"/>
              <w:tr2bl w:val="nil"/>
            </w:tcBorders>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9" w:type="dxa"/>
            <w:tcBorders>
              <w:tl2br w:val="nil"/>
              <w:tr2bl w:val="nil"/>
            </w:tcBorders>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50" w:hRule="atLeast"/>
          <w:jc w:val="center"/>
        </w:trPr>
        <w:tc>
          <w:tcPr>
            <w:tcW w:w="679"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《中华人民共和国企业所得税年度纳税申报表（A类，</w:t>
            </w:r>
            <w:r>
              <w:rPr>
                <w:rFonts w:hint="eastAsia" w:ascii="Times New Roman" w:hAnsi="Times New Roman"/>
                <w:color w:val="000000" w:themeColor="text1"/>
              </w:rPr>
              <w:t>2017</w:t>
            </w:r>
            <w:r>
              <w:rPr>
                <w:rFonts w:hint="eastAsia"/>
                <w:color w:val="000000" w:themeColor="text1"/>
              </w:rPr>
              <w:t>年版）》</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164" w:type="dxa"/>
            <w:gridSpan w:val="5"/>
            <w:tcBorders>
              <w:tl2br w:val="nil"/>
              <w:tr2bl w:val="nil"/>
            </w:tcBorders>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tcBorders>
              <w:tl2br w:val="nil"/>
              <w:tr2bl w:val="nil"/>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725" w:type="dxa"/>
            <w:tcBorders>
              <w:tl2br w:val="nil"/>
              <w:tr2bl w:val="nil"/>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l2br w:val="nil"/>
              <w:tr2bl w:val="nil"/>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9" w:type="dxa"/>
            <w:tcBorders>
              <w:tl2br w:val="nil"/>
              <w:tr2bl w:val="nil"/>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20" w:hRule="atLeast"/>
          <w:jc w:val="center"/>
        </w:trPr>
        <w:tc>
          <w:tcPr>
            <w:tcW w:w="2490" w:type="dxa"/>
            <w:gridSpan w:val="2"/>
            <w:tcBorders>
              <w:tl2br w:val="nil"/>
              <w:tr2bl w:val="nil"/>
            </w:tcBorders>
            <w:vAlign w:val="center"/>
          </w:tcPr>
          <w:p>
            <w:pPr>
              <w:wordWrap w:val="0"/>
              <w:spacing w:line="240" w:lineRule="auto"/>
              <w:ind w:firstLine="0" w:firstLineChars="0"/>
              <w:jc w:val="center"/>
              <w:rPr>
                <w:rFonts w:hint="default" w:ascii="宋体" w:hAnsi="宋体" w:cs="Times New Roman"/>
                <w:color w:val="000000" w:themeColor="text1"/>
              </w:rPr>
            </w:pPr>
            <w:r>
              <w:rPr>
                <w:rFonts w:ascii="黑体" w:hAnsi="黑体" w:eastAsia="黑体" w:cs="Times New Roman"/>
                <w:color w:val="000000" w:themeColor="text1"/>
                <w:sz w:val="18"/>
                <w:szCs w:val="18"/>
              </w:rPr>
              <w:t>房地产开发企业在开发产品完工当年企业所得税年度纳税申报</w:t>
            </w:r>
          </w:p>
        </w:tc>
        <w:tc>
          <w:tcPr>
            <w:tcW w:w="2725" w:type="dxa"/>
            <w:tcBorders>
              <w:tl2br w:val="nil"/>
              <w:tr2bl w:val="nil"/>
            </w:tcBorders>
            <w:vAlign w:val="center"/>
          </w:tcPr>
          <w:p>
            <w:pPr>
              <w:wordWrap w:val="0"/>
              <w:spacing w:line="240" w:lineRule="auto"/>
              <w:ind w:firstLine="0" w:firstLineChars="0"/>
              <w:jc w:val="center"/>
              <w:rPr>
                <w:rFonts w:hint="default" w:ascii="宋体" w:hAnsi="宋体" w:cs="Times New Roman"/>
                <w:color w:val="000000" w:themeColor="text1"/>
              </w:rPr>
            </w:pPr>
            <w:r>
              <w:rPr>
                <w:rFonts w:ascii="黑体" w:hAnsi="黑体" w:eastAsia="黑体" w:cs="Times New Roman"/>
                <w:color w:val="000000" w:themeColor="text1"/>
                <w:sz w:val="18"/>
                <w:szCs w:val="18"/>
              </w:rPr>
              <w:t>房地产开发企业成本对象管理专项报告</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20" w:hRule="atLeast"/>
          <w:jc w:val="center"/>
        </w:trPr>
        <w:tc>
          <w:tcPr>
            <w:tcW w:w="2490" w:type="dxa"/>
            <w:gridSpan w:val="2"/>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申请享受中小企业信用担保机构有关准备金企业所得税税前扣除政策</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年度会计报表和担保业务情况（包括担保业务明细和风险准备金提取等）</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20" w:hRule="atLeast"/>
          <w:jc w:val="center"/>
        </w:trPr>
        <w:tc>
          <w:tcPr>
            <w:tcW w:w="2490" w:type="dxa"/>
            <w:gridSpan w:val="2"/>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申报抵免境外所得税收（取得境外分支机构的营业利润所得）</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与境外所得相关的完税证明或纳税凭证（原件或复印件）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备案资料使用非中文的，企业应同时提交中文译本复印件。上述资料已向税务机关提供的，可不再提供；上述资料若有变更的，须重新提供。原件查验后退回</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境外分支机构会计报表</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境外分支机构所得依照中国境内企业所得税法及实施条例的规定计算的应纳税额的计算过程及说明资料</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具有资质的机构出具的有关分支机构审计报告等</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申报抵免境外所得税收（取得境外股息、红利所得）</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与境外所得相关的完税证明或纳税凭证（原件或复印件）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集团组织架构图</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被投资公司章程复印件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境外企业有权决定利润分配的机构作出的决定书等</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申报抵免境外所得税收（取得境外利息、租金、特许权使用费、转让财产等所得）</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与境外所得相关的完税证明或纳税凭证（原件或复印件）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依照中国境内企业所得税法及实施条例规定计算的应纳税额的资料及计算过程</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项目合同复印件等</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申报抵免境外所得税收（申请享受税收饶让抵免）</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与境外所得相关的完税证明或纳税凭证（原件或复印件）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本企业及其直接或间接控制的外国企业在境外所获免税及减税的依据及证明或有关审计报告披露该企业享受的优惠政策的复印件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企业在其直接或间接控制的外国企业的参股比例等情况的证明复印件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间接抵免税额或者饶让抵免税额的计算过程</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由本企业直接或间接控制的外国企业的财务会计资料</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64" w:hRule="atLeast"/>
          <w:jc w:val="center"/>
        </w:trPr>
        <w:tc>
          <w:tcPr>
            <w:tcW w:w="2490" w:type="dxa"/>
            <w:gridSpan w:val="2"/>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申报抵免境外所得税收（采用简易办法计算抵免限额）</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与境外所得相关的完税证明或纳税凭证（原件或复印件）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64"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取得境外分支机构的营业利润所得需提供企业申请及有关情况说明</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64"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来源国（地区）政府机关核发的具有纳税性质的凭证和证明复印件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64"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取得符合境外税额间接抵免条件的股息所得需提供企业申请及有关情况说明</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64"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符合企业所得税法第二十四条条件的有关股权证明的文件或凭证复印件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vMerge w:val="continue"/>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64" w:hRule="atLeast"/>
          <w:jc w:val="center"/>
        </w:trPr>
        <w:tc>
          <w:tcPr>
            <w:tcW w:w="2490" w:type="dxa"/>
            <w:gridSpan w:val="2"/>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跨省、自治区、直辖市和计划单列市设立的，实行汇总纳税办法的居民企业（分支机构）</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《汇总纳税企业分支机构所得税分配表》复印件</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经总机构所在地主管税务机关受理的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64" w:hRule="atLeast"/>
          <w:jc w:val="center"/>
        </w:trPr>
        <w:tc>
          <w:tcPr>
            <w:tcW w:w="2490"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2725" w:type="dxa"/>
            <w:tcBorders>
              <w:tl2br w:val="nil"/>
              <w:tr2bl w:val="nil"/>
            </w:tcBorders>
            <w:vAlign w:val="center"/>
          </w:tcPr>
          <w:p>
            <w:pPr>
              <w:pStyle w:val="7"/>
              <w:wordWrap w:val="0"/>
              <w:adjustRightInd/>
              <w:snapToGrid/>
              <w:spacing w:line="240" w:lineRule="auto"/>
              <w:ind w:firstLine="0" w:firstLineChars="0"/>
              <w:jc w:val="center"/>
              <w:rPr>
                <w:color w:val="000000" w:themeColor="text1"/>
              </w:rPr>
            </w:pPr>
            <w:r>
              <w:rPr>
                <w:rFonts w:ascii="黑体" w:hAnsi="黑体" w:eastAsia="黑体"/>
                <w:color w:val="000000" w:themeColor="text1"/>
                <w:sz w:val="18"/>
                <w:szCs w:val="18"/>
              </w:rPr>
              <w:t>《中华人民共和国企业所得税月（季）度预缴纳税申报表（A类，</w:t>
            </w:r>
            <w:r>
              <w:rPr>
                <w:rFonts w:hint="eastAsia" w:ascii="Times New Roman" w:hAnsi="Times New Roman" w:eastAsia="黑体"/>
                <w:color w:val="000000" w:themeColor="text1"/>
                <w:sz w:val="18"/>
                <w:szCs w:val="18"/>
              </w:rPr>
              <w:t>2018</w:t>
            </w:r>
            <w:r>
              <w:rPr>
                <w:rFonts w:ascii="黑体" w:hAnsi="黑体" w:eastAsia="黑体"/>
                <w:color w:val="000000" w:themeColor="text1"/>
                <w:sz w:val="18"/>
                <w:szCs w:val="18"/>
              </w:rPr>
              <w:t>年版）》</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不需要报送《中华人民共和国企业所得税年度纳税申报表（A类，</w:t>
            </w:r>
            <w:r>
              <w:rPr>
                <w:rFonts w:hint="eastAsia" w:ascii="Times New Roman" w:hAnsi="Times New Roman"/>
                <w:color w:val="000000" w:themeColor="text1"/>
              </w:rPr>
              <w:t>2017</w:t>
            </w:r>
            <w:r>
              <w:rPr>
                <w:rFonts w:hint="eastAsia"/>
                <w:color w:val="000000" w:themeColor="text1"/>
              </w:rPr>
              <w:t>年版）》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417" w:hRule="atLeast"/>
          <w:jc w:val="center"/>
        </w:trPr>
        <w:tc>
          <w:tcPr>
            <w:tcW w:w="2490" w:type="dxa"/>
            <w:gridSpan w:val="2"/>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适用《企业所得税法》第</w:t>
            </w:r>
            <w:r>
              <w:rPr>
                <w:rFonts w:hint="eastAsia" w:ascii="Times New Roman" w:hAnsi="Times New Roman"/>
                <w:color w:val="000000" w:themeColor="text1"/>
              </w:rPr>
              <w:t>45</w:t>
            </w:r>
            <w:r>
              <w:rPr>
                <w:rFonts w:hint="eastAsia"/>
                <w:color w:val="000000" w:themeColor="text1"/>
              </w:rPr>
              <w:t>条情形或者需要适用《特别纳税调整实施办法（试行）》第</w:t>
            </w:r>
            <w:r>
              <w:rPr>
                <w:rFonts w:hint="eastAsia" w:ascii="Times New Roman" w:hAnsi="Times New Roman"/>
                <w:color w:val="000000" w:themeColor="text1"/>
              </w:rPr>
              <w:t>84</w:t>
            </w:r>
            <w:r>
              <w:rPr>
                <w:rFonts w:hint="eastAsia"/>
                <w:color w:val="000000" w:themeColor="text1"/>
              </w:rPr>
              <w:t>条规定的居民企业</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《受控外国企业信息报告表》</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98" w:hRule="atLeast"/>
          <w:jc w:val="center"/>
        </w:trPr>
        <w:tc>
          <w:tcPr>
            <w:tcW w:w="2490" w:type="dxa"/>
            <w:gridSpan w:val="2"/>
            <w:tcBorders>
              <w:tl2br w:val="nil"/>
              <w:tr2bl w:val="nil"/>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居民企业在办理企业所得税年度申报时，与境外所得相关的纳入企业所得税法第二十四条规定抵免范围的外国企业或符合企业所得税法第四十五条规定的受控外国企业</w:t>
            </w:r>
          </w:p>
        </w:tc>
        <w:tc>
          <w:tcPr>
            <w:tcW w:w="2725" w:type="dxa"/>
            <w:tcBorders>
              <w:tl2br w:val="nil"/>
              <w:tr2bl w:val="nil"/>
            </w:tcBorders>
            <w:vAlign w:val="center"/>
          </w:tcPr>
          <w:p>
            <w:pPr>
              <w:wordWrap w:val="0"/>
              <w:spacing w:line="240" w:lineRule="auto"/>
              <w:ind w:firstLine="0" w:firstLineChars="0"/>
              <w:jc w:val="center"/>
              <w:rPr>
                <w:rFonts w:hint="default" w:ascii="宋体" w:hAnsi="宋体" w:cs="宋体"/>
                <w:color w:val="000000" w:themeColor="text1"/>
                <w:kern w:val="0"/>
                <w:sz w:val="18"/>
                <w:szCs w:val="18"/>
              </w:rPr>
            </w:pPr>
            <w:r>
              <w:rPr>
                <w:rFonts w:ascii="黑体" w:hAnsi="黑体" w:eastAsia="黑体" w:cs="Times New Roman"/>
                <w:color w:val="000000" w:themeColor="text1"/>
                <w:sz w:val="18"/>
                <w:szCs w:val="18"/>
              </w:rPr>
              <w:t>《财务报表主表及相关附表》</w:t>
            </w:r>
          </w:p>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《会计报表附注》</w:t>
            </w:r>
          </w:p>
          <w:p>
            <w:pPr>
              <w:pStyle w:val="34"/>
              <w:wordWrap w:val="0"/>
              <w:adjustRightInd/>
              <w:snapToGrid/>
              <w:spacing w:line="240" w:lineRule="auto"/>
              <w:rPr>
                <w:color w:val="000000" w:themeColor="text1"/>
              </w:rPr>
            </w:pPr>
            <w:r>
              <w:rPr>
                <w:rFonts w:hint="eastAsia"/>
                <w:color w:val="000000" w:themeColor="text1"/>
              </w:rPr>
              <w:t>《财务情况说明书》</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005" w:hRule="atLeast"/>
          <w:jc w:val="center"/>
        </w:trPr>
        <w:tc>
          <w:tcPr>
            <w:tcW w:w="2490" w:type="dxa"/>
            <w:gridSpan w:val="2"/>
            <w:tcBorders>
              <w:tl2br w:val="nil"/>
              <w:tr2bl w:val="nil"/>
            </w:tcBorders>
            <w:vAlign w:val="center"/>
          </w:tcPr>
          <w:p>
            <w:pPr>
              <w:wordWrap w:val="0"/>
              <w:spacing w:line="240" w:lineRule="auto"/>
              <w:ind w:firstLine="0" w:firstLineChars="0"/>
              <w:jc w:val="center"/>
              <w:rPr>
                <w:rFonts w:hint="default"/>
                <w:color w:val="000000" w:themeColor="text1"/>
              </w:rPr>
            </w:pPr>
            <w:r>
              <w:rPr>
                <w:rFonts w:ascii="黑体" w:hAnsi="黑体" w:eastAsia="黑体" w:cs="Times New Roman"/>
                <w:color w:val="000000" w:themeColor="text1"/>
                <w:sz w:val="18"/>
                <w:szCs w:val="18"/>
              </w:rPr>
              <w:t>居民企业以非货币性资产对外投资确认的非货币性资产转让所得，在自确认非货币性资产转让收入年度起不超过连续</w:t>
            </w:r>
            <w:r>
              <w:rPr>
                <w:rFonts w:eastAsia="黑体" w:cs="Times New Roman"/>
                <w:color w:val="000000" w:themeColor="text1"/>
                <w:sz w:val="18"/>
                <w:szCs w:val="18"/>
              </w:rPr>
              <w:t>5</w:t>
            </w:r>
            <w:r>
              <w:rPr>
                <w:rFonts w:ascii="黑体" w:hAnsi="黑体" w:eastAsia="黑体" w:cs="Times New Roman"/>
                <w:color w:val="000000" w:themeColor="text1"/>
                <w:sz w:val="18"/>
                <w:szCs w:val="18"/>
              </w:rPr>
              <w:t>个纳税年度的期间内，分期均匀计入相应年度的应纳税所得额的，在非货币性资产转让所得递延确认期间每年企业所得税汇算清缴</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《非货币性资产投资递延纳税调整明细表》</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94" w:hRule="atLeast"/>
          <w:jc w:val="center"/>
        </w:trPr>
        <w:tc>
          <w:tcPr>
            <w:tcW w:w="2490" w:type="dxa"/>
            <w:gridSpan w:val="2"/>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企业重组业务适用特殊性税务处理申报</w:t>
            </w:r>
          </w:p>
        </w:tc>
        <w:tc>
          <w:tcPr>
            <w:tcW w:w="2725"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《企业重组所得税特殊性税务处理报告表及附表》</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tcBorders>
              <w:tl2br w:val="nil"/>
              <w:tr2bl w:val="nil"/>
            </w:tcBorders>
            <w:vAlign w:val="center"/>
          </w:tcPr>
          <w:p>
            <w:pPr>
              <w:wordWrap w:val="0"/>
              <w:spacing w:line="240" w:lineRule="auto"/>
              <w:ind w:firstLine="0" w:firstLineChars="0"/>
              <w:jc w:val="center"/>
              <w:rPr>
                <w:rFonts w:hint="default"/>
                <w:color w:val="000000" w:themeColor="text1"/>
              </w:rPr>
            </w:pPr>
            <w:r>
              <w:rPr>
                <w:rFonts w:ascii="黑体" w:hAnsi="黑体" w:eastAsia="黑体" w:cs="宋体"/>
                <w:color w:val="000000" w:themeColor="text1"/>
                <w:kern w:val="0"/>
                <w:sz w:val="18"/>
                <w:szCs w:val="18"/>
              </w:rPr>
              <w:t>为参与开采海上油气资源的中国企业和外国企业在申报当年度企业所得税汇算清缴资料</w:t>
            </w:r>
          </w:p>
        </w:tc>
        <w:tc>
          <w:tcPr>
            <w:tcW w:w="2725" w:type="dxa"/>
            <w:tcBorders>
              <w:tl2br w:val="nil"/>
              <w:tr2bl w:val="nil"/>
            </w:tcBorders>
            <w:vAlign w:val="center"/>
          </w:tcPr>
          <w:p>
            <w:pPr>
              <w:wordWrap w:val="0"/>
              <w:spacing w:line="240" w:lineRule="auto"/>
              <w:ind w:firstLine="0" w:firstLineChars="0"/>
              <w:jc w:val="center"/>
              <w:rPr>
                <w:rFonts w:hint="default" w:ascii="宋体" w:hAnsi="宋体" w:cs="Times New Roman"/>
                <w:color w:val="000000" w:themeColor="text1"/>
              </w:rPr>
            </w:pPr>
            <w:r>
              <w:rPr>
                <w:rFonts w:ascii="黑体" w:hAnsi="黑体" w:eastAsia="黑体" w:cs="宋体"/>
                <w:color w:val="000000" w:themeColor="text1"/>
                <w:kern w:val="0"/>
                <w:sz w:val="18"/>
                <w:szCs w:val="18"/>
              </w:rPr>
              <w:t>《海上油气生产设施弃置费情况表》</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tcBorders>
              <w:tl2br w:val="nil"/>
              <w:tr2bl w:val="nil"/>
            </w:tcBorders>
            <w:vAlign w:val="center"/>
          </w:tcPr>
          <w:p>
            <w:pPr>
              <w:wordWrap w:val="0"/>
              <w:spacing w:line="240" w:lineRule="auto"/>
              <w:ind w:firstLine="0" w:firstLineChars="0"/>
              <w:jc w:val="center"/>
              <w:rPr>
                <w:rFonts w:hint="default"/>
                <w:color w:val="000000" w:themeColor="text1"/>
              </w:rPr>
            </w:pPr>
            <w:r>
              <w:rPr>
                <w:rFonts w:ascii="黑体" w:hAnsi="黑体" w:eastAsia="黑体" w:cs="宋体"/>
                <w:color w:val="000000" w:themeColor="text1"/>
                <w:kern w:val="0"/>
                <w:sz w:val="18"/>
                <w:szCs w:val="18"/>
              </w:rPr>
              <w:t>进行特殊性税务处理的股权或资产划转的交易双方在年度汇算清缴</w:t>
            </w:r>
          </w:p>
        </w:tc>
        <w:tc>
          <w:tcPr>
            <w:tcW w:w="2725" w:type="dxa"/>
            <w:tcBorders>
              <w:tl2br w:val="nil"/>
              <w:tr2bl w:val="nil"/>
            </w:tcBorders>
            <w:vAlign w:val="center"/>
          </w:tcPr>
          <w:p>
            <w:pPr>
              <w:wordWrap w:val="0"/>
              <w:spacing w:line="240" w:lineRule="auto"/>
              <w:ind w:firstLine="0" w:firstLineChars="0"/>
              <w:jc w:val="center"/>
              <w:rPr>
                <w:rFonts w:hint="default" w:ascii="宋体" w:hAnsi="宋体" w:cs="Times New Roman"/>
                <w:color w:val="000000" w:themeColor="text1"/>
              </w:rPr>
            </w:pPr>
            <w:r>
              <w:rPr>
                <w:rFonts w:ascii="黑体" w:hAnsi="黑体" w:eastAsia="黑体" w:cs="宋体"/>
                <w:color w:val="000000" w:themeColor="text1"/>
                <w:kern w:val="0"/>
                <w:sz w:val="18"/>
                <w:szCs w:val="18"/>
              </w:rPr>
              <w:t>《居民企业资产（股权）划转特殊性税务处理申报表》</w:t>
            </w:r>
          </w:p>
        </w:tc>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2490" w:type="dxa"/>
            <w:gridSpan w:val="2"/>
            <w:tcBorders>
              <w:tl2br w:val="nil"/>
              <w:tr2bl w:val="nil"/>
            </w:tcBorders>
            <w:vAlign w:val="center"/>
          </w:tcPr>
          <w:p>
            <w:pPr>
              <w:wordWrap w:val="0"/>
              <w:spacing w:line="240" w:lineRule="auto"/>
              <w:ind w:firstLine="0" w:firstLineChars="0"/>
              <w:jc w:val="center"/>
              <w:rPr>
                <w:rFonts w:hint="default" w:cs="宋体"/>
                <w:color w:val="000000" w:themeColor="text1"/>
                <w:kern w:val="0"/>
              </w:rPr>
            </w:pPr>
            <w:r>
              <w:rPr>
                <w:rFonts w:ascii="黑体" w:hAnsi="黑体" w:eastAsia="黑体" w:cs="宋体"/>
                <w:color w:val="000000" w:themeColor="text1"/>
                <w:kern w:val="0"/>
                <w:sz w:val="18"/>
                <w:szCs w:val="18"/>
              </w:rPr>
              <w:t>企业税前扣除手续费及佣金支出</w:t>
            </w:r>
          </w:p>
        </w:tc>
        <w:tc>
          <w:tcPr>
            <w:tcW w:w="2725" w:type="dxa"/>
            <w:tcBorders>
              <w:tl2br w:val="nil"/>
              <w:tr2bl w:val="nil"/>
            </w:tcBorders>
            <w:vAlign w:val="center"/>
          </w:tcPr>
          <w:p>
            <w:pPr>
              <w:pStyle w:val="34"/>
              <w:wordWrap w:val="0"/>
              <w:adjustRightInd/>
              <w:snapToGrid/>
              <w:spacing w:line="240" w:lineRule="auto"/>
              <w:rPr>
                <w:rFonts w:cs="宋体"/>
                <w:color w:val="000000" w:themeColor="text1"/>
                <w:kern w:val="0"/>
              </w:rPr>
            </w:pPr>
            <w:r>
              <w:rPr>
                <w:rFonts w:hint="eastAsia" w:cs="宋体"/>
                <w:color w:val="000000" w:themeColor="text1"/>
                <w:kern w:val="0"/>
              </w:rPr>
              <w:t>依法取得合法真实凭证的当年手续费及佣金计算分配表和其他相关资料</w:t>
            </w:r>
          </w:p>
        </w:tc>
        <w:tc>
          <w:tcPr>
            <w:tcW w:w="680" w:type="dxa"/>
            <w:tcBorders>
              <w:tl2br w:val="nil"/>
              <w:tr2bl w:val="nil"/>
            </w:tcBorders>
            <w:vAlign w:val="center"/>
          </w:tcPr>
          <w:p>
            <w:pPr>
              <w:pStyle w:val="34"/>
              <w:wordWrap w:val="0"/>
              <w:adjustRightInd/>
              <w:snapToGrid/>
              <w:spacing w:line="240" w:lineRule="auto"/>
              <w:rPr>
                <w:rFonts w:cs="宋体"/>
                <w:color w:val="000000" w:themeColor="text1"/>
                <w:kern w:val="0"/>
              </w:rPr>
            </w:pPr>
            <w:r>
              <w:rPr>
                <w:rFonts w:hint="eastAsia" w:ascii="Times New Roman" w:hAnsi="Times New Roman"/>
                <w:color w:val="000000" w:themeColor="text1"/>
                <w:kern w:val="0"/>
              </w:rPr>
              <w:t>1</w:t>
            </w:r>
            <w:r>
              <w:rPr>
                <w:rFonts w:hint="eastAsia" w:cs="宋体"/>
                <w:color w:val="000000" w:themeColor="text1"/>
                <w:kern w:val="0"/>
              </w:rPr>
              <w:t>份</w:t>
            </w:r>
          </w:p>
        </w:tc>
        <w:tc>
          <w:tcPr>
            <w:tcW w:w="2269" w:type="dxa"/>
            <w:tcBorders>
              <w:tl2br w:val="nil"/>
              <w:tr2bl w:val="nil"/>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b/>
          <w:color w:val="000000" w:themeColor="text1"/>
        </w:rPr>
      </w:pPr>
      <w:r>
        <w:rPr>
          <w:rFonts w:ascii="宋体" w:hAnsi="宋体" w:cs="Times New Roman"/>
          <w:color w:val="000000" w:themeColor="text1"/>
        </w:rPr>
        <w:t>1.可通过办税服务厅（场所）、国家税务总局湖南省电子税务局（https://etax.hunan.chinatax.gov.cn）办理，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30"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30"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7.</w:t>
      </w:r>
      <w:r>
        <w:rPr>
          <w:rFonts w:ascii="宋体" w:hAnsi="宋体" w:eastAsia="宋体"/>
          <w:color w:val="000000" w:themeColor="text1"/>
        </w:rPr>
        <w:t>小型微利企业办理</w:t>
      </w:r>
      <w:r>
        <w:rPr>
          <w:rFonts w:hint="eastAsia" w:ascii="Times New Roman" w:hAnsi="Times New Roman" w:eastAsia="宋体"/>
          <w:color w:val="000000" w:themeColor="text1"/>
        </w:rPr>
        <w:t>2018</w:t>
      </w:r>
      <w:r>
        <w:rPr>
          <w:rFonts w:ascii="宋体" w:hAnsi="宋体" w:eastAsia="宋体"/>
          <w:color w:val="000000" w:themeColor="text1"/>
        </w:rPr>
        <w:t>年度及以后年度企业所得税汇算清缴纳税申报时，《中华人民共和国企业所得税年度纳税申报表（A类）》（A</w:t>
      </w:r>
      <w:r>
        <w:rPr>
          <w:rFonts w:hint="eastAsia" w:ascii="Times New Roman" w:hAnsi="Times New Roman" w:eastAsia="宋体"/>
          <w:color w:val="000000" w:themeColor="text1"/>
        </w:rPr>
        <w:t>100000</w:t>
      </w:r>
      <w:r>
        <w:rPr>
          <w:rFonts w:ascii="宋体" w:hAnsi="宋体" w:eastAsia="宋体"/>
          <w:color w:val="000000" w:themeColor="text1"/>
        </w:rPr>
        <w:t>）为小型微利企业必填表单。《企业所得税年度纳税申报基础信息表》（A</w:t>
      </w:r>
      <w:r>
        <w:rPr>
          <w:rFonts w:hint="eastAsia" w:ascii="Times New Roman" w:hAnsi="Times New Roman" w:eastAsia="宋体"/>
          <w:color w:val="000000" w:themeColor="text1"/>
        </w:rPr>
        <w:t>000000</w:t>
      </w:r>
      <w:r>
        <w:rPr>
          <w:rFonts w:ascii="宋体" w:hAnsi="宋体" w:eastAsia="宋体"/>
          <w:color w:val="000000" w:themeColor="text1"/>
        </w:rPr>
        <w:t>）中的“基本经营情况”为小型微利企业必填项目；“有关涉税事项情况”为选填项目，存在或者发生相关事项时小型微利企业必须填报；“主要股东及分红情况”为小型微利企业免填项目。免于填报《一般企业收入明细表》（A</w:t>
      </w:r>
      <w:r>
        <w:rPr>
          <w:rFonts w:hint="eastAsia" w:ascii="Times New Roman" w:hAnsi="Times New Roman" w:eastAsia="宋体"/>
          <w:color w:val="000000" w:themeColor="text1"/>
        </w:rPr>
        <w:t>101010</w:t>
      </w:r>
      <w:r>
        <w:rPr>
          <w:rFonts w:ascii="宋体" w:hAnsi="宋体" w:eastAsia="宋体"/>
          <w:color w:val="000000" w:themeColor="text1"/>
        </w:rPr>
        <w:t>）、《金融企业收入明细表》（A</w:t>
      </w:r>
      <w:r>
        <w:rPr>
          <w:rFonts w:hint="eastAsia" w:ascii="Times New Roman" w:hAnsi="Times New Roman" w:eastAsia="宋体"/>
          <w:color w:val="000000" w:themeColor="text1"/>
        </w:rPr>
        <w:t>101020</w:t>
      </w:r>
      <w:r>
        <w:rPr>
          <w:rFonts w:ascii="宋体" w:hAnsi="宋体" w:eastAsia="宋体"/>
          <w:color w:val="000000" w:themeColor="text1"/>
        </w:rPr>
        <w:t>）、《一般企业成本支出明细表》（A</w:t>
      </w:r>
      <w:r>
        <w:rPr>
          <w:rFonts w:hint="eastAsia" w:ascii="Times New Roman" w:hAnsi="Times New Roman" w:eastAsia="宋体"/>
          <w:color w:val="000000" w:themeColor="text1"/>
        </w:rPr>
        <w:t>102010</w:t>
      </w:r>
      <w:r>
        <w:rPr>
          <w:rFonts w:ascii="宋体" w:hAnsi="宋体" w:eastAsia="宋体"/>
          <w:color w:val="000000" w:themeColor="text1"/>
        </w:rPr>
        <w:t>）、《金融企业支出明细表》（A</w:t>
      </w:r>
      <w:r>
        <w:rPr>
          <w:rFonts w:hint="eastAsia" w:ascii="Times New Roman" w:hAnsi="Times New Roman" w:eastAsia="宋体"/>
          <w:color w:val="000000" w:themeColor="text1"/>
        </w:rPr>
        <w:t>102020</w:t>
      </w:r>
      <w:r>
        <w:rPr>
          <w:rFonts w:ascii="宋体" w:hAnsi="宋体" w:eastAsia="宋体"/>
          <w:color w:val="000000" w:themeColor="text1"/>
        </w:rPr>
        <w:t>）、《事业单位、民间非营利组织收入、支出明细表》（A</w:t>
      </w:r>
      <w:r>
        <w:rPr>
          <w:rFonts w:hint="eastAsia" w:ascii="Times New Roman" w:hAnsi="Times New Roman" w:eastAsia="宋体"/>
          <w:color w:val="000000" w:themeColor="text1"/>
        </w:rPr>
        <w:t>103000</w:t>
      </w:r>
      <w:r>
        <w:rPr>
          <w:rFonts w:ascii="宋体" w:hAnsi="宋体" w:eastAsia="宋体"/>
          <w:color w:val="000000" w:themeColor="text1"/>
        </w:rPr>
        <w:t>）、《期间费用明细表》（A</w:t>
      </w:r>
      <w:r>
        <w:rPr>
          <w:rFonts w:hint="eastAsia" w:ascii="Times New Roman" w:hAnsi="Times New Roman" w:eastAsia="宋体"/>
          <w:color w:val="000000" w:themeColor="text1"/>
        </w:rPr>
        <w:t>104000</w:t>
      </w:r>
      <w:r>
        <w:rPr>
          <w:rFonts w:ascii="宋体" w:hAnsi="宋体" w:eastAsia="宋体"/>
          <w:color w:val="000000" w:themeColor="text1"/>
        </w:rPr>
        <w:t>）。除前述规定的表单、项目外，小型微利企业可结合自身经营情况，选择表单填报。未发生表单中规定的事项，无需填报。</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8.</w:t>
      </w:r>
      <w:r>
        <w:rPr>
          <w:rFonts w:ascii="宋体" w:hAnsi="宋体" w:eastAsia="宋体"/>
          <w:color w:val="000000" w:themeColor="text1"/>
        </w:rPr>
        <w:t>实行查账征收的居民企业和在中国境内设立机构、场所并据实申报缴纳企业所得税的非居民企业，向税务机关报送年度企业所得税纳税申报表时，应当就其与关联方之间的业务往来进行关联申报。</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9.</w:t>
      </w:r>
      <w:r>
        <w:rPr>
          <w:rFonts w:ascii="宋体" w:hAnsi="宋体" w:eastAsia="宋体"/>
          <w:color w:val="000000" w:themeColor="text1"/>
        </w:rPr>
        <w:t>居民企业（查账征收）在办理年度申报时在纳税年度内预缴企业所得税税款少于应缴企业所得税税款的，应在汇算清缴期内结清应补缴的企业所得税税款；预缴税款超过应纳税款的，及时向主管税务机关按有关规定办理抵缴或退税。</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10.</w:t>
      </w:r>
      <w:r>
        <w:rPr>
          <w:rFonts w:ascii="宋体" w:hAnsi="宋体" w:eastAsia="宋体"/>
          <w:color w:val="000000" w:themeColor="text1"/>
        </w:rPr>
        <w:t>一般企业纳税年度发生的亏损，准予向以后年度结转，用以后年度的所得弥补，但结转年限最长不得超过</w:t>
      </w:r>
      <w:r>
        <w:rPr>
          <w:rFonts w:hint="eastAsia" w:ascii="Times New Roman" w:hAnsi="Times New Roman" w:eastAsia="宋体"/>
          <w:color w:val="000000" w:themeColor="text1"/>
        </w:rPr>
        <w:t>5</w:t>
      </w:r>
      <w:r>
        <w:rPr>
          <w:rFonts w:ascii="宋体" w:hAnsi="宋体" w:eastAsia="宋体"/>
          <w:color w:val="000000" w:themeColor="text1"/>
        </w:rPr>
        <w:t>年。自</w:t>
      </w:r>
      <w:r>
        <w:rPr>
          <w:rFonts w:hint="eastAsia" w:ascii="Times New Roman" w:hAnsi="Times New Roman" w:eastAsia="宋体"/>
          <w:color w:val="000000" w:themeColor="text1"/>
        </w:rPr>
        <w:t>2018</w:t>
      </w:r>
      <w:r>
        <w:rPr>
          <w:rFonts w:ascii="宋体" w:hAnsi="宋体" w:eastAsia="宋体"/>
          <w:color w:val="000000" w:themeColor="text1"/>
        </w:rPr>
        <w:t>年</w:t>
      </w:r>
      <w:r>
        <w:rPr>
          <w:rFonts w:hint="eastAsia" w:ascii="Times New Roman" w:hAnsi="Times New Roman" w:eastAsia="宋体"/>
          <w:color w:val="000000" w:themeColor="text1"/>
        </w:rPr>
        <w:t>1</w:t>
      </w:r>
      <w:r>
        <w:rPr>
          <w:rFonts w:ascii="宋体" w:hAnsi="宋体" w:eastAsia="宋体"/>
          <w:color w:val="000000" w:themeColor="text1"/>
        </w:rPr>
        <w:t>月</w:t>
      </w:r>
      <w:r>
        <w:rPr>
          <w:rFonts w:hint="eastAsia" w:ascii="Times New Roman" w:hAnsi="Times New Roman" w:eastAsia="宋体"/>
          <w:color w:val="000000" w:themeColor="text1"/>
        </w:rPr>
        <w:t>1</w:t>
      </w:r>
      <w:r>
        <w:rPr>
          <w:rFonts w:ascii="宋体" w:hAnsi="宋体" w:eastAsia="宋体"/>
          <w:color w:val="000000" w:themeColor="text1"/>
        </w:rPr>
        <w:t>日起，当年具备高新技术企业或科技型中小企业资格的企业，其具备资格年度之前</w:t>
      </w:r>
      <w:r>
        <w:rPr>
          <w:rFonts w:hint="eastAsia" w:ascii="Times New Roman" w:hAnsi="Times New Roman" w:eastAsia="宋体"/>
          <w:color w:val="000000" w:themeColor="text1"/>
        </w:rPr>
        <w:t>5</w:t>
      </w:r>
      <w:r>
        <w:rPr>
          <w:rFonts w:ascii="宋体" w:hAnsi="宋体" w:eastAsia="宋体"/>
          <w:color w:val="000000" w:themeColor="text1"/>
        </w:rPr>
        <w:t>个年度发生的尚未弥补完的亏损，准予结转以后年度弥补，最长结转年限由</w:t>
      </w:r>
      <w:r>
        <w:rPr>
          <w:rFonts w:hint="eastAsia" w:ascii="Times New Roman" w:hAnsi="Times New Roman" w:eastAsia="宋体"/>
          <w:color w:val="000000" w:themeColor="text1"/>
        </w:rPr>
        <w:t>5</w:t>
      </w:r>
      <w:r>
        <w:rPr>
          <w:rFonts w:ascii="宋体" w:hAnsi="宋体" w:eastAsia="宋体"/>
          <w:color w:val="000000" w:themeColor="text1"/>
        </w:rPr>
        <w:t>年延长至</w:t>
      </w:r>
      <w:r>
        <w:rPr>
          <w:rFonts w:hint="eastAsia" w:ascii="Times New Roman" w:hAnsi="Times New Roman" w:eastAsia="宋体"/>
          <w:color w:val="000000" w:themeColor="text1"/>
        </w:rPr>
        <w:t>10</w:t>
      </w:r>
      <w:r>
        <w:rPr>
          <w:rFonts w:ascii="宋体" w:hAnsi="宋体" w:eastAsia="宋体"/>
          <w:color w:val="000000" w:themeColor="text1"/>
        </w:rPr>
        <w:t>年。</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11</w:t>
      </w:r>
      <w:r>
        <w:rPr>
          <w:rFonts w:ascii="宋体" w:hAnsi="宋体" w:eastAsia="宋体"/>
          <w:color w:val="000000" w:themeColor="text1"/>
        </w:rPr>
        <w:t>.纳税人享受减税、免税待遇的，在减税、免税期间应当按照规定办理纳税申报，填写申报表及其附表上的优惠栏目。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实现汇总纳税企业的企业所得税涉税信息跨省共享。</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进入金三操作系统，通过申报征收岗权限，按照【申报征收】—【申报】—【居民企业所得税申报】—【居民企业（查账征收）企业所得税年度申报（2017年版）】的路径进入功能模块。</w:t>
      </w:r>
    </w:p>
    <w:p>
      <w:pPr>
        <w:pStyle w:val="31"/>
        <w:adjustRightInd/>
        <w:snapToGrid/>
      </w:pPr>
      <w:r>
        <w:rPr>
          <w:rFonts w:hint="eastAsia"/>
        </w:rPr>
        <w:t>【政策依据】</w:t>
      </w:r>
    </w:p>
    <w:tbl>
      <w:tblPr>
        <w:tblStyle w:val="18"/>
        <w:tblW w:w="8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812"/>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33"/>
              <w:adjustRightInd/>
              <w:snapToGrid/>
              <w:spacing w:line="276" w:lineRule="auto"/>
            </w:pPr>
            <w:r>
              <w:rPr>
                <w:rFonts w:hint="eastAsia"/>
              </w:rPr>
              <w:t>序号</w:t>
            </w:r>
          </w:p>
        </w:tc>
        <w:tc>
          <w:tcPr>
            <w:tcW w:w="5812" w:type="dxa"/>
            <w:vAlign w:val="center"/>
          </w:tcPr>
          <w:p>
            <w:pPr>
              <w:pStyle w:val="33"/>
              <w:adjustRightInd/>
              <w:snapToGrid/>
              <w:spacing w:line="276" w:lineRule="auto"/>
            </w:pPr>
            <w:r>
              <w:rPr>
                <w:rFonts w:hint="eastAsia"/>
              </w:rPr>
              <w:t>文件名称</w:t>
            </w:r>
          </w:p>
        </w:tc>
        <w:tc>
          <w:tcPr>
            <w:tcW w:w="174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rPr>
                <w:rFonts w:ascii="黑体" w:hAnsi="黑体" w:eastAsia="黑体"/>
              </w:rPr>
            </w:pPr>
            <w:r>
              <w:rPr>
                <w:rFonts w:hint="eastAsia"/>
              </w:rPr>
              <w:t>1</w:t>
            </w:r>
          </w:p>
        </w:tc>
        <w:tc>
          <w:tcPr>
            <w:tcW w:w="5812" w:type="dxa"/>
            <w:vAlign w:val="center"/>
          </w:tcPr>
          <w:p>
            <w:pPr>
              <w:pStyle w:val="50"/>
              <w:adjustRightInd/>
              <w:snapToGrid/>
              <w:spacing w:line="276" w:lineRule="auto"/>
              <w:rPr>
                <w:color w:val="000000"/>
              </w:rPr>
            </w:pPr>
            <w:r>
              <w:rPr>
                <w:rFonts w:hint="eastAsia"/>
              </w:rPr>
              <w:t>《中华人民共和国税收征收管理法》</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rPr>
                <w:rFonts w:hint="eastAsia"/>
              </w:rPr>
              <w:t>2</w:t>
            </w:r>
          </w:p>
        </w:tc>
        <w:tc>
          <w:tcPr>
            <w:tcW w:w="5812" w:type="dxa"/>
            <w:vAlign w:val="center"/>
          </w:tcPr>
          <w:p>
            <w:pPr>
              <w:pStyle w:val="50"/>
              <w:adjustRightInd/>
              <w:snapToGrid/>
              <w:spacing w:line="276" w:lineRule="auto"/>
            </w:pPr>
            <w:r>
              <w:t>《中华人民共和国企业所得税法》</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rPr>
                <w:rFonts w:hint="eastAsia"/>
              </w:rPr>
              <w:t>3</w:t>
            </w:r>
          </w:p>
        </w:tc>
        <w:tc>
          <w:tcPr>
            <w:tcW w:w="5812" w:type="dxa"/>
            <w:vAlign w:val="center"/>
          </w:tcPr>
          <w:p>
            <w:pPr>
              <w:pStyle w:val="50"/>
              <w:adjustRightInd/>
              <w:snapToGrid/>
              <w:spacing w:line="276" w:lineRule="auto"/>
            </w:pPr>
            <w:r>
              <w:rPr>
                <w:rFonts w:hint="eastAsia"/>
              </w:rPr>
              <w:t>《国家税务总局关于发布〈企业境外所得税收抵免操作指南〉的公告》（国家税务总局公告</w:t>
            </w:r>
            <w:r>
              <w:t>2010</w:t>
            </w:r>
            <w:r>
              <w:rPr>
                <w:rFonts w:hint="eastAsia"/>
              </w:rPr>
              <w:t>年第</w:t>
            </w:r>
            <w:r>
              <w:t>1</w:t>
            </w:r>
            <w:r>
              <w:rPr>
                <w:rFonts w:hint="eastAsia"/>
              </w:rPr>
              <w:t>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4</w:t>
            </w:r>
          </w:p>
        </w:tc>
        <w:tc>
          <w:tcPr>
            <w:tcW w:w="5812" w:type="dxa"/>
            <w:vAlign w:val="center"/>
          </w:tcPr>
          <w:p>
            <w:pPr>
              <w:pStyle w:val="50"/>
              <w:adjustRightInd/>
              <w:snapToGrid/>
              <w:spacing w:line="276" w:lineRule="auto"/>
              <w:rPr>
                <w:kern w:val="0"/>
              </w:rPr>
            </w:pPr>
            <w:r>
              <w:rPr>
                <w:rFonts w:hint="eastAsia"/>
              </w:rPr>
              <w:t>《国家税务总局关于发布〈企业重组业务企业所得税管理办法〉的公告》（国家税务总局公告2010年第4号）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5</w:t>
            </w:r>
          </w:p>
        </w:tc>
        <w:tc>
          <w:tcPr>
            <w:tcW w:w="5812" w:type="dxa"/>
            <w:vAlign w:val="center"/>
          </w:tcPr>
          <w:p>
            <w:pPr>
              <w:pStyle w:val="50"/>
              <w:adjustRightInd/>
              <w:snapToGrid/>
              <w:spacing w:line="276" w:lineRule="auto"/>
              <w:rPr>
                <w:kern w:val="0"/>
              </w:rPr>
            </w:pPr>
            <w:r>
              <w:rPr>
                <w:rFonts w:hint="eastAsia"/>
              </w:rPr>
              <w:t>《国家税务总局关于发布〈企业资产损失所得税税前扣除管理办法〉的公告》（国家税务总局公告2011年第25号）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6</w:t>
            </w:r>
          </w:p>
        </w:tc>
        <w:tc>
          <w:tcPr>
            <w:tcW w:w="5812" w:type="dxa"/>
            <w:vAlign w:val="center"/>
          </w:tcPr>
          <w:p>
            <w:pPr>
              <w:pStyle w:val="50"/>
              <w:adjustRightInd/>
              <w:snapToGrid/>
              <w:spacing w:line="276" w:lineRule="auto"/>
            </w:pPr>
            <w:r>
              <w:rPr>
                <w:rFonts w:hint="eastAsia"/>
              </w:rPr>
              <w:t>《国家税务总局关于简化小型微利企业所得税年度纳税申报有关措施的公告》（国家税务总局公告2018年第58号）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7</w:t>
            </w:r>
          </w:p>
        </w:tc>
        <w:tc>
          <w:tcPr>
            <w:tcW w:w="5812" w:type="dxa"/>
            <w:vAlign w:val="center"/>
          </w:tcPr>
          <w:p>
            <w:pPr>
              <w:pStyle w:val="50"/>
              <w:adjustRightInd/>
              <w:snapToGrid/>
              <w:spacing w:line="276" w:lineRule="auto"/>
            </w:pPr>
            <w:r>
              <w:rPr>
                <w:rFonts w:hint="eastAsia"/>
              </w:rPr>
              <w:t>《国家税务总局关于印发〈跨地区经营汇总纳税企业所得税征收管理办法〉的公告》（国家税务总局公告2012年第57号）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8</w:t>
            </w:r>
          </w:p>
        </w:tc>
        <w:tc>
          <w:tcPr>
            <w:tcW w:w="5812" w:type="dxa"/>
            <w:vAlign w:val="center"/>
          </w:tcPr>
          <w:p>
            <w:pPr>
              <w:pStyle w:val="50"/>
              <w:adjustRightInd/>
              <w:snapToGrid/>
              <w:spacing w:line="276" w:lineRule="auto"/>
            </w:pPr>
            <w:r>
              <w:rPr>
                <w:rFonts w:hint="eastAsia"/>
              </w:rPr>
              <w:t>《国家税务总局关于修订〈中华人民共和国企业所得税月（季）度预缴纳税申报表（</w:t>
            </w:r>
            <w:r>
              <w:t>A类2018年版）〉等部分表单样式及填报说明的公告》（国家税务总局公告2019年第3号）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9</w:t>
            </w:r>
          </w:p>
        </w:tc>
        <w:tc>
          <w:tcPr>
            <w:tcW w:w="5812" w:type="dxa"/>
            <w:vAlign w:val="center"/>
          </w:tcPr>
          <w:p>
            <w:pPr>
              <w:pStyle w:val="50"/>
              <w:adjustRightInd/>
              <w:snapToGrid/>
              <w:spacing w:line="276" w:lineRule="auto"/>
            </w:pPr>
            <w:r>
              <w:rPr>
                <w:rFonts w:hint="eastAsia"/>
              </w:rPr>
              <w:t>《国家税务总局关于企业因国务院决定事项形成的资产损失税前扣除问题的公告》（国家税务总局公告2014年第18号）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10</w:t>
            </w:r>
          </w:p>
        </w:tc>
        <w:tc>
          <w:tcPr>
            <w:tcW w:w="5812" w:type="dxa"/>
            <w:vAlign w:val="center"/>
          </w:tcPr>
          <w:p>
            <w:pPr>
              <w:pStyle w:val="50"/>
              <w:adjustRightInd/>
              <w:snapToGrid/>
              <w:spacing w:line="276" w:lineRule="auto"/>
            </w:pPr>
            <w:r>
              <w:rPr>
                <w:rFonts w:hint="eastAsia"/>
              </w:rPr>
              <w:t>《国家税务总局关于房地产开发企业成本对象管理问题的公告》（国家税务总局公告</w:t>
            </w:r>
            <w:r>
              <w:t>2014</w:t>
            </w:r>
            <w:r>
              <w:rPr>
                <w:rFonts w:hint="eastAsia"/>
              </w:rPr>
              <w:t>年第</w:t>
            </w:r>
            <w:r>
              <w:t>35</w:t>
            </w:r>
            <w:r>
              <w:rPr>
                <w:rFonts w:hint="eastAsia"/>
              </w:rPr>
              <w:t>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11</w:t>
            </w:r>
          </w:p>
        </w:tc>
        <w:tc>
          <w:tcPr>
            <w:tcW w:w="5812" w:type="dxa"/>
            <w:vAlign w:val="center"/>
          </w:tcPr>
          <w:p>
            <w:pPr>
              <w:pStyle w:val="50"/>
              <w:adjustRightInd/>
              <w:snapToGrid/>
              <w:spacing w:line="276" w:lineRule="auto"/>
            </w:pPr>
            <w:r>
              <w:rPr>
                <w:rFonts w:hint="eastAsia"/>
              </w:rPr>
              <w:t>《国家税务总局关于居民企业报告境外投资和所得信息有关问题的公告》（国家税务总局公告2014年第38号）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12</w:t>
            </w:r>
          </w:p>
        </w:tc>
        <w:tc>
          <w:tcPr>
            <w:tcW w:w="5812" w:type="dxa"/>
            <w:vAlign w:val="center"/>
          </w:tcPr>
          <w:p>
            <w:pPr>
              <w:pStyle w:val="50"/>
              <w:adjustRightInd/>
              <w:snapToGrid/>
              <w:spacing w:line="276" w:lineRule="auto"/>
            </w:pPr>
            <w:r>
              <w:rPr>
                <w:rFonts w:hint="eastAsia"/>
              </w:rPr>
              <w:t>《国家税务总局关于非货币性资产投资企业所得税有关征管问题的公告》（国家税务总局公告</w:t>
            </w:r>
            <w:r>
              <w:t>2015</w:t>
            </w:r>
            <w:r>
              <w:rPr>
                <w:rFonts w:hint="eastAsia"/>
              </w:rPr>
              <w:t>年第</w:t>
            </w:r>
            <w:r>
              <w:t>33</w:t>
            </w:r>
            <w:r>
              <w:rPr>
                <w:rFonts w:hint="eastAsia"/>
              </w:rPr>
              <w:t>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13</w:t>
            </w:r>
          </w:p>
        </w:tc>
        <w:tc>
          <w:tcPr>
            <w:tcW w:w="5812" w:type="dxa"/>
            <w:vAlign w:val="center"/>
          </w:tcPr>
          <w:p>
            <w:pPr>
              <w:pStyle w:val="50"/>
              <w:adjustRightInd/>
              <w:snapToGrid/>
              <w:spacing w:line="276" w:lineRule="auto"/>
            </w:pPr>
            <w:r>
              <w:rPr>
                <w:rFonts w:hint="eastAsia"/>
              </w:rPr>
              <w:t>《国家税务总局关于企业重组业务企业所得税征收管理若干问题的公告》（国家税务总局公告2015年第48号）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14</w:t>
            </w:r>
          </w:p>
        </w:tc>
        <w:tc>
          <w:tcPr>
            <w:tcW w:w="5812" w:type="dxa"/>
            <w:vAlign w:val="center"/>
          </w:tcPr>
          <w:p>
            <w:pPr>
              <w:pStyle w:val="50"/>
              <w:adjustRightInd/>
              <w:snapToGrid/>
              <w:spacing w:line="276" w:lineRule="auto"/>
            </w:pPr>
            <w:r>
              <w:rPr>
                <w:rFonts w:hint="eastAsia"/>
              </w:rPr>
              <w:t>《国家税务总局关于企业研究开发费用税前加计扣除政策有关问题的公告》（国家税务总局公告2015年第97号）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15</w:t>
            </w:r>
          </w:p>
        </w:tc>
        <w:tc>
          <w:tcPr>
            <w:tcW w:w="5812" w:type="dxa"/>
            <w:vAlign w:val="center"/>
          </w:tcPr>
          <w:p>
            <w:pPr>
              <w:pStyle w:val="50"/>
              <w:adjustRightInd/>
              <w:snapToGrid/>
              <w:spacing w:line="276" w:lineRule="auto"/>
            </w:pPr>
            <w:r>
              <w:rPr>
                <w:rFonts w:hint="eastAsia"/>
              </w:rPr>
              <w:t>《国家税务总局关于为纳税人提供企业所得税税收政策风险提示服务有关问题的公告》（国家税务总局公告2017年第10号）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16</w:t>
            </w:r>
          </w:p>
        </w:tc>
        <w:tc>
          <w:tcPr>
            <w:tcW w:w="5812" w:type="dxa"/>
            <w:vAlign w:val="center"/>
          </w:tcPr>
          <w:p>
            <w:pPr>
              <w:pStyle w:val="50"/>
              <w:adjustRightInd/>
              <w:snapToGrid/>
              <w:spacing w:line="276" w:lineRule="auto"/>
            </w:pPr>
            <w:r>
              <w:rPr>
                <w:rFonts w:hint="eastAsia"/>
              </w:rPr>
              <w:t>《国家税务总局关于发布〈中华人民共和国企业所得税年度纳税申报表（A类，2017年版）〉的公告》（国家税务总局公告2017年第54号）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17</w:t>
            </w:r>
          </w:p>
        </w:tc>
        <w:tc>
          <w:tcPr>
            <w:tcW w:w="5812"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18</w:t>
            </w:r>
          </w:p>
        </w:tc>
        <w:tc>
          <w:tcPr>
            <w:tcW w:w="5812" w:type="dxa"/>
            <w:vAlign w:val="center"/>
          </w:tcPr>
          <w:p>
            <w:pPr>
              <w:pStyle w:val="50"/>
              <w:adjustRightInd/>
              <w:snapToGrid/>
              <w:spacing w:line="276" w:lineRule="auto"/>
            </w:pPr>
            <w:r>
              <w:rPr>
                <w:rFonts w:hint="eastAsia"/>
              </w:rPr>
              <w:t>《国家税务总局关于企业所得税资产损失资料留存备查有关事项的公告》（国家税务总局公告2018年第15号）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19</w:t>
            </w:r>
          </w:p>
        </w:tc>
        <w:tc>
          <w:tcPr>
            <w:tcW w:w="5812" w:type="dxa"/>
            <w:vAlign w:val="center"/>
          </w:tcPr>
          <w:p>
            <w:pPr>
              <w:pStyle w:val="50"/>
              <w:adjustRightInd/>
              <w:snapToGrid/>
              <w:spacing w:line="276" w:lineRule="auto"/>
            </w:pPr>
            <w:r>
              <w:rPr>
                <w:rFonts w:hint="eastAsia"/>
              </w:rPr>
              <w:t>《国家税务总局关于发布修订后的〈企业所得税优惠政策事项办理办法〉的公告》（国家税务总局公告2018年第23号）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20</w:t>
            </w:r>
          </w:p>
        </w:tc>
        <w:tc>
          <w:tcPr>
            <w:tcW w:w="5812" w:type="dxa"/>
            <w:vAlign w:val="center"/>
          </w:tcPr>
          <w:p>
            <w:pPr>
              <w:pStyle w:val="50"/>
              <w:adjustRightInd/>
              <w:snapToGrid/>
              <w:spacing w:line="276" w:lineRule="auto"/>
            </w:pPr>
            <w:r>
              <w:rPr>
                <w:rFonts w:hint="eastAsia"/>
              </w:rPr>
              <w:t>国家税务总局关于修订</w:t>
            </w:r>
            <w:r>
              <w:t>2018年版企业所得税预缴纳税申报表部分表单及填报说明的公告</w:t>
            </w:r>
            <w:r>
              <w:rPr>
                <w:rFonts w:hint="eastAsia"/>
              </w:rPr>
              <w:t>（国家税务总局公告</w:t>
            </w:r>
            <w:r>
              <w:t>2019年第23号</w:t>
            </w:r>
            <w:r>
              <w:rPr>
                <w:rFonts w:hint="eastAsia"/>
              </w:rPr>
              <w:t>）</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21</w:t>
            </w:r>
          </w:p>
        </w:tc>
        <w:tc>
          <w:tcPr>
            <w:tcW w:w="5812" w:type="dxa"/>
            <w:vAlign w:val="center"/>
          </w:tcPr>
          <w:p>
            <w:pPr>
              <w:pStyle w:val="50"/>
              <w:adjustRightInd/>
              <w:snapToGrid/>
              <w:spacing w:line="276" w:lineRule="auto"/>
            </w:pPr>
            <w:r>
              <w:rPr>
                <w:rFonts w:hint="eastAsia"/>
              </w:rPr>
              <w:t>《国家税务总局关于发布&lt;企业所得税税前扣除凭证管理办法&gt;的公告》（国家税务总局公告2018年第28号）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22</w:t>
            </w:r>
          </w:p>
        </w:tc>
        <w:tc>
          <w:tcPr>
            <w:tcW w:w="5812" w:type="dxa"/>
            <w:vAlign w:val="center"/>
          </w:tcPr>
          <w:p>
            <w:pPr>
              <w:pStyle w:val="50"/>
              <w:adjustRightInd/>
              <w:snapToGrid/>
              <w:spacing w:line="276" w:lineRule="auto"/>
            </w:pPr>
            <w:r>
              <w:rPr>
                <w:rFonts w:hint="eastAsia"/>
              </w:rPr>
              <w:t>《国家税务总局关于延长高新技术企业和科技型中小企业亏损结转弥补年限有关企业所得税处理问题的公告》（国家税务总局公告2018年第45号）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23</w:t>
            </w:r>
          </w:p>
        </w:tc>
        <w:tc>
          <w:tcPr>
            <w:tcW w:w="5812" w:type="dxa"/>
            <w:vAlign w:val="center"/>
          </w:tcPr>
          <w:p>
            <w:pPr>
              <w:pStyle w:val="50"/>
              <w:adjustRightInd/>
              <w:snapToGrid/>
              <w:spacing w:line="276" w:lineRule="auto"/>
            </w:pPr>
            <w:r>
              <w:rPr>
                <w:rFonts w:hint="eastAsia"/>
              </w:rPr>
              <w:t>《国家税务总局关于设备器具扣除有关企业所得税政策执行问题的公告》（国家税务总局公告2018年第46号）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24</w:t>
            </w:r>
          </w:p>
        </w:tc>
        <w:tc>
          <w:tcPr>
            <w:tcW w:w="5812" w:type="dxa"/>
            <w:vAlign w:val="center"/>
          </w:tcPr>
          <w:p>
            <w:pPr>
              <w:pStyle w:val="50"/>
              <w:adjustRightInd/>
              <w:snapToGrid/>
              <w:spacing w:line="276" w:lineRule="auto"/>
            </w:pPr>
            <w:r>
              <w:rPr>
                <w:rFonts w:hint="eastAsia"/>
              </w:rPr>
              <w:t>《国家税务总局关于责任保险费企业所得税税前扣除有关问题的公告》（国家税务总局公告2018年第52号）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25</w:t>
            </w:r>
          </w:p>
        </w:tc>
        <w:tc>
          <w:tcPr>
            <w:tcW w:w="5812" w:type="dxa"/>
            <w:vAlign w:val="center"/>
          </w:tcPr>
          <w:p>
            <w:pPr>
              <w:pStyle w:val="50"/>
              <w:adjustRightInd/>
              <w:snapToGrid/>
              <w:spacing w:line="276" w:lineRule="auto"/>
            </w:pPr>
            <w:r>
              <w:rPr>
                <w:rFonts w:hint="eastAsia"/>
              </w:rPr>
              <w:t>《国家税务总局关于修订&lt;中华人民共和国企业所得税年度纳税申报表（A类，2017年版）&gt;部分表单样式及填报说明的公告》（国家税务总局公告2018年第57号）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26</w:t>
            </w:r>
          </w:p>
        </w:tc>
        <w:tc>
          <w:tcPr>
            <w:tcW w:w="5812" w:type="dxa"/>
            <w:vAlign w:val="center"/>
          </w:tcPr>
          <w:p>
            <w:pPr>
              <w:pStyle w:val="50"/>
              <w:adjustRightInd/>
              <w:snapToGrid/>
              <w:spacing w:line="276" w:lineRule="auto"/>
            </w:pPr>
            <w:r>
              <w:rPr>
                <w:rFonts w:hint="eastAsia"/>
              </w:rPr>
              <w:t>《国家税务总局关于实施小型微利企业普惠性所得税减免政策有关问题的公告》（国家税务总局公告2019年第2号）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27</w:t>
            </w:r>
          </w:p>
        </w:tc>
        <w:tc>
          <w:tcPr>
            <w:tcW w:w="5812" w:type="dxa"/>
            <w:vAlign w:val="center"/>
          </w:tcPr>
          <w:p>
            <w:pPr>
              <w:pStyle w:val="50"/>
              <w:adjustRightInd/>
              <w:snapToGrid/>
              <w:spacing w:line="276" w:lineRule="auto"/>
            </w:pPr>
            <w:r>
              <w:rPr>
                <w:rFonts w:hint="eastAsia"/>
              </w:rPr>
              <w:t>《国家税务总局关于印发〈房地产开发经营业务企业所得税处理办〉的通知》（国税发〔</w:t>
            </w:r>
            <w:r>
              <w:t>2009</w:t>
            </w:r>
            <w:r>
              <w:rPr>
                <w:rFonts w:hint="eastAsia"/>
              </w:rPr>
              <w:t>〕</w:t>
            </w:r>
            <w:r>
              <w:t>31</w:t>
            </w:r>
            <w:r>
              <w:rPr>
                <w:rFonts w:hint="eastAsia"/>
              </w:rPr>
              <w:t>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28</w:t>
            </w:r>
          </w:p>
        </w:tc>
        <w:tc>
          <w:tcPr>
            <w:tcW w:w="5812" w:type="dxa"/>
            <w:vAlign w:val="center"/>
          </w:tcPr>
          <w:p>
            <w:pPr>
              <w:pStyle w:val="50"/>
              <w:adjustRightInd/>
              <w:snapToGrid/>
              <w:spacing w:line="276" w:lineRule="auto"/>
            </w:pPr>
            <w:r>
              <w:rPr>
                <w:rFonts w:hint="eastAsia"/>
              </w:rPr>
              <w:t>《国家税务总局关于印发〈企业所得税汇算清缴管理办法〉的通知》（国税发〔</w:t>
            </w:r>
            <w:r>
              <w:t>2009</w:t>
            </w:r>
            <w:r>
              <w:rPr>
                <w:rFonts w:hint="eastAsia"/>
              </w:rPr>
              <w:t>〕</w:t>
            </w:r>
            <w:r>
              <w:t>79</w:t>
            </w:r>
            <w:r>
              <w:rPr>
                <w:rFonts w:hint="eastAsia"/>
              </w:rPr>
              <w:t>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29</w:t>
            </w:r>
          </w:p>
        </w:tc>
        <w:tc>
          <w:tcPr>
            <w:tcW w:w="5812" w:type="dxa"/>
            <w:vAlign w:val="center"/>
          </w:tcPr>
          <w:p>
            <w:pPr>
              <w:pStyle w:val="50"/>
              <w:adjustRightInd/>
              <w:snapToGrid/>
              <w:spacing w:line="276" w:lineRule="auto"/>
            </w:pPr>
            <w:r>
              <w:rPr>
                <w:rFonts w:hint="eastAsia"/>
              </w:rPr>
              <w:t>《国家税务总局关于跨地区经营建筑企业所得税征收管理问题的通知》（国税函〔2010〕156号）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30</w:t>
            </w:r>
          </w:p>
        </w:tc>
        <w:tc>
          <w:tcPr>
            <w:tcW w:w="5812"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31</w:t>
            </w:r>
          </w:p>
        </w:tc>
        <w:tc>
          <w:tcPr>
            <w:tcW w:w="5812" w:type="dxa"/>
            <w:vAlign w:val="center"/>
          </w:tcPr>
          <w:p>
            <w:pPr>
              <w:pStyle w:val="50"/>
              <w:adjustRightInd/>
              <w:snapToGrid/>
              <w:spacing w:line="276" w:lineRule="auto"/>
              <w:rPr>
                <w:kern w:val="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4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32</w:t>
            </w:r>
          </w:p>
        </w:tc>
        <w:tc>
          <w:tcPr>
            <w:tcW w:w="5812"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47" w:type="dxa"/>
            <w:vAlign w:val="center"/>
          </w:tcPr>
          <w:p>
            <w:pPr>
              <w:pStyle w:val="50"/>
              <w:adjustRightInd/>
              <w:snapToGrid/>
              <w:spacing w:line="276" w:lineRule="auto"/>
            </w:pPr>
            <w:r>
              <w:rPr>
                <w:rFonts w:hint="eastAsia"/>
              </w:rPr>
              <w:t>主动公开</w:t>
            </w:r>
          </w:p>
        </w:tc>
      </w:tr>
    </w:tbl>
    <w:p>
      <w:pPr>
        <w:pStyle w:val="30"/>
        <w:wordWrap w:val="0"/>
        <w:topLinePunct w:val="0"/>
        <w:spacing w:before="312" w:after="312"/>
        <w:rPr>
          <w:color w:val="000000" w:themeColor="text1"/>
        </w:rPr>
      </w:pPr>
      <w:bookmarkStart w:id="79" w:name="_Toc18096124"/>
      <w:bookmarkStart w:id="80" w:name="_Toc15822"/>
      <w:bookmarkStart w:id="81" w:name="_Toc12707"/>
      <w:r>
        <w:rPr>
          <w:rFonts w:hint="eastAsia"/>
          <w:color w:val="000000" w:themeColor="text1"/>
        </w:rPr>
        <w:t>3.4.4—07</w:t>
      </w:r>
      <w:r>
        <w:rPr>
          <w:color w:val="000000" w:themeColor="text1"/>
        </w:rPr>
        <w:t>5</w:t>
      </w:r>
      <w:r>
        <w:rPr>
          <w:rFonts w:hint="eastAsia"/>
          <w:color w:val="000000" w:themeColor="text1"/>
        </w:rPr>
        <w:t>　</w:t>
      </w:r>
      <w:r>
        <w:rPr>
          <w:color w:val="000000" w:themeColor="text1"/>
        </w:rPr>
        <w:t>　</w:t>
      </w:r>
      <w:r>
        <w:rPr>
          <w:rFonts w:hint="eastAsia"/>
          <w:color w:val="000000" w:themeColor="text1"/>
        </w:rPr>
        <w:t>居民企业（核定征收）企业所得税年度申报</w:t>
      </w:r>
      <w:bookmarkEnd w:id="79"/>
      <w:bookmarkEnd w:id="80"/>
      <w:bookmarkEnd w:id="81"/>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居民企业（核定征收）企业所得税年度申报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按照企业所得税核定征收办法缴纳企业所得税的居民企业</w:t>
      </w:r>
      <w:r>
        <w:rPr>
          <w:rFonts w:ascii="宋体" w:hAnsi="宋体" w:cs="Times New Roman"/>
          <w:color w:val="000000" w:themeColor="text1"/>
        </w:rPr>
        <w:t>年度终了之日起</w:t>
      </w:r>
      <w:r>
        <w:rPr>
          <w:rFonts w:cs="Times New Roman"/>
          <w:color w:val="000000" w:themeColor="text1"/>
        </w:rPr>
        <w:t>5</w:t>
      </w:r>
      <w:r>
        <w:rPr>
          <w:rFonts w:ascii="宋体" w:hAnsi="宋体" w:cs="Times New Roman"/>
          <w:color w:val="000000" w:themeColor="text1"/>
        </w:rPr>
        <w:t>个月内或在年度中间终止经营活动的应自实际终止经营之日起</w:t>
      </w:r>
      <w:r>
        <w:rPr>
          <w:rFonts w:cs="Times New Roman"/>
          <w:color w:val="000000" w:themeColor="text1"/>
        </w:rPr>
        <w:t>60</w:t>
      </w:r>
      <w:r>
        <w:rPr>
          <w:rFonts w:ascii="宋体" w:hAnsi="宋体" w:cs="Times New Roman"/>
          <w:color w:val="000000" w:themeColor="text1"/>
        </w:rPr>
        <w:t>日内，</w:t>
      </w:r>
      <w:r>
        <w:rPr>
          <w:rFonts w:hint="default" w:ascii="宋体" w:hAnsi="宋体" w:cs="Times New Roman"/>
          <w:color w:val="000000" w:themeColor="text1"/>
        </w:rPr>
        <w:t>依照税收法律、法规、规章及其他有关企业所得税的规定，向税务机关</w:t>
      </w:r>
      <w:r>
        <w:rPr>
          <w:rFonts w:ascii="宋体" w:hAnsi="宋体" w:cs="Times New Roman"/>
          <w:color w:val="000000" w:themeColor="text1"/>
        </w:rPr>
        <w:t>填报</w:t>
      </w:r>
      <w:r>
        <w:rPr>
          <w:rFonts w:hint="default" w:ascii="宋体" w:hAnsi="宋体" w:cs="Times New Roman"/>
          <w:color w:val="000000" w:themeColor="text1"/>
        </w:rPr>
        <w:t>《中华人民共和国企业所得税月（季）度预缴和年度纳税申报表（B类，</w:t>
      </w:r>
      <w:r>
        <w:rPr>
          <w:rFonts w:cs="Times New Roman"/>
          <w:color w:val="000000" w:themeColor="text1"/>
        </w:rPr>
        <w:t>2018</w:t>
      </w:r>
      <w:r>
        <w:rPr>
          <w:rFonts w:hint="default" w:ascii="宋体" w:hAnsi="宋体" w:cs="Times New Roman"/>
          <w:color w:val="000000" w:themeColor="text1"/>
        </w:rPr>
        <w:t>年版）》及其他相关资料，向税务机关进行企业所得税年度申报。实行核定定额征收企业所得税的纳税人，不进行汇算清缴。</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《中华人民共和国企业所得税法》第一条、第五十四条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028"/>
        <w:gridCol w:w="2507"/>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《中华人民共和国企业所得税月（季）度预缴和年度纳税申报表（B类，</w:t>
            </w:r>
            <w:r>
              <w:rPr>
                <w:rFonts w:hint="eastAsia" w:ascii="Times New Roman" w:hAnsi="Times New Roman"/>
                <w:color w:val="000000" w:themeColor="text1"/>
              </w:rPr>
              <w:t>2018</w:t>
            </w:r>
            <w:r>
              <w:rPr>
                <w:rFonts w:hint="eastAsia"/>
                <w:color w:val="000000" w:themeColor="text1"/>
              </w:rPr>
              <w:t>年版）》</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08" w:type="dxa"/>
            <w:gridSpan w:val="2"/>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507"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2708"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适用《企业所得税法》第</w:t>
            </w:r>
            <w:r>
              <w:rPr>
                <w:rFonts w:hint="eastAsia" w:ascii="Times New Roman" w:hAnsi="Times New Roman"/>
                <w:color w:val="000000" w:themeColor="text1"/>
              </w:rPr>
              <w:t>45</w:t>
            </w:r>
            <w:r>
              <w:rPr>
                <w:rFonts w:hint="eastAsia"/>
                <w:color w:val="000000" w:themeColor="text1"/>
              </w:rPr>
              <w:t>条情形或者需要适用《特别纳税调整实施办法（试行）》第</w:t>
            </w:r>
            <w:r>
              <w:rPr>
                <w:rFonts w:hint="eastAsia" w:ascii="Times New Roman" w:hAnsi="Times New Roman"/>
                <w:color w:val="000000" w:themeColor="text1"/>
              </w:rPr>
              <w:t>84</w:t>
            </w:r>
            <w:r>
              <w:rPr>
                <w:rFonts w:hint="eastAsia"/>
                <w:color w:val="000000" w:themeColor="text1"/>
              </w:rPr>
              <w:t>条规定的居民企业</w:t>
            </w:r>
          </w:p>
        </w:tc>
        <w:tc>
          <w:tcPr>
            <w:tcW w:w="25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《受控外国企业信息报告表》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cs="Times New Roman" w:asciiTheme="minorEastAsia" w:hAnsiTheme="minorEastAsia" w:eastAsiaTheme="minorEastAsia"/>
          <w:b/>
          <w:color w:val="000000" w:themeColor="text1"/>
        </w:rPr>
      </w:pPr>
      <w:r>
        <w:rPr>
          <w:rFonts w:cs="Times New Roman" w:asciiTheme="minorEastAsia" w:hAnsiTheme="minorEastAsia" w:eastAsiaTheme="minorEastAsia"/>
          <w:color w:val="000000" w:themeColor="text1"/>
        </w:rPr>
        <w:t>1.可通过办税服务厅（场所）、国家税务总局湖南省电子税务局（https://etax.hunan.chinatax.gov.cn）办理，</w:t>
      </w:r>
      <w:r>
        <w:rPr>
          <w:rFonts w:hint="default" w:cs="Times New Roman" w:asciiTheme="minorEastAsia" w:hAnsiTheme="minorEastAsia" w:eastAsiaTheme="minorEastAsia"/>
          <w:color w:val="000000" w:themeColor="text1"/>
        </w:rPr>
        <w:t>办税服务厅（场所）的具体地点可从国家税务总局湖南省税务局网站“纳税服务”栏目查询。</w:t>
      </w:r>
    </w:p>
    <w:p>
      <w:pPr>
        <w:wordWrap w:val="0"/>
        <w:spacing w:line="360" w:lineRule="auto"/>
        <w:ind w:firstLine="480"/>
        <w:rPr>
          <w:rFonts w:hint="default" w:cs="Times New Roman" w:asciiTheme="minorEastAsia" w:hAnsiTheme="minorEastAsia" w:eastAsiaTheme="minorEastAsia"/>
          <w:color w:val="000000" w:themeColor="text1"/>
        </w:rPr>
      </w:pPr>
      <w:r>
        <w:rPr>
          <w:rFonts w:cs="Times New Roman" w:asciiTheme="minorEastAsia" w:hAnsiTheme="minorEastAsia" w:eastAsiaTheme="minorEastAsia"/>
          <w:color w:val="000000" w:themeColor="text1"/>
        </w:rPr>
        <w:t>2.此事项可同城通办。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31"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31"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小型微利企业在预缴时已享受优惠政策，但年度汇算清缴时超过规定标准的，应按规定补缴税款。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纳税人享受减税、免税待遇的，在减税、免税期间应当按照规定办理纳税申报，填写申报表及其附表上的优惠栏目。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进入金三操作系统，通过申报征收岗权限，按照【申报征收】—【申报】—【居民企业所得税申报】—【居民企业（核定征收）企业所得税月（季）度及年度申报（2018年版）】的路径进入功能模块。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rPr>
                <w:color w:val="000000"/>
              </w:rPr>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pPr>
            <w:r>
              <w:t>《中华人民共和国企业所得税法》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rPr>
                <w:kern w:val="24"/>
              </w:rPr>
            </w:pPr>
            <w:r>
              <w:t>《税收票证管理办法》（国家税务总局令第28号）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rPr>
                <w:color w:val="000000"/>
              </w:rPr>
            </w:pPr>
            <w:r>
              <w:rPr>
                <w:rFonts w:hint="eastAsia"/>
              </w:rPr>
              <w:t>《财政部 税务总局关于完善企业境外所得税收抵免政策问题的通知》（财税〔2017〕84号）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rPr>
                <w:color w:val="00B0F0"/>
                <w:kern w:val="0"/>
              </w:rPr>
            </w:pPr>
            <w:r>
              <w:rPr>
                <w:rFonts w:hint="eastAsia"/>
              </w:rPr>
              <w:t>《国家税务总局关于企业所得税核定征收有关问题的公告》（国家税务总局公告</w:t>
            </w:r>
            <w:r>
              <w:t>2012</w:t>
            </w:r>
            <w:r>
              <w:rPr>
                <w:rFonts w:hint="eastAsia"/>
              </w:rPr>
              <w:t>年第</w:t>
            </w:r>
            <w:r>
              <w:t>27</w:t>
            </w:r>
            <w:r>
              <w:rPr>
                <w:rFonts w:hint="eastAsia"/>
              </w:rPr>
              <w:t>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rPr>
                <w:rFonts w:hint="eastAsia"/>
              </w:rPr>
              <w:t>《国家税务总局关于居民企业报告境外投资和所得信息有关问题的公告》（国家税务总局公告2014年第38号）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pPr>
            <w:r>
              <w:rPr>
                <w:rFonts w:hint="eastAsia"/>
              </w:rPr>
              <w:t>《国家税务总局关于合理简并纳税人申报缴税次数的公告》（国家税务总局公告2016年第6号）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pPr>
            <w:r>
              <w:rPr>
                <w:rFonts w:hint="eastAsia"/>
              </w:rPr>
              <w:t>《国家税务总局关于发布修订后的〈企业所得税优惠政策事项办理办法〉的公告》（国家税务总局公告2018年第23号）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国家税务总局关于修订</w:t>
            </w:r>
            <w:r>
              <w:t>2018年版企业所得税预缴纳税申报表部分表单及填报说明的公告</w:t>
            </w:r>
            <w:r>
              <w:rPr>
                <w:rFonts w:hint="eastAsia"/>
              </w:rPr>
              <w:t>（国家税务总局公告</w:t>
            </w:r>
            <w:r>
              <w:t>2019年第23号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670" w:type="dxa"/>
            <w:vAlign w:val="center"/>
          </w:tcPr>
          <w:p>
            <w:pPr>
              <w:pStyle w:val="50"/>
              <w:adjustRightInd/>
              <w:snapToGrid/>
              <w:spacing w:line="276" w:lineRule="auto"/>
            </w:pPr>
            <w:r>
              <w:rPr>
                <w:rFonts w:hint="eastAsia"/>
              </w:rPr>
              <w:t>《国家税务总局关于实施小型微利企业普惠性所得税减免政策有关问题的公告》（国家税务总局公告2019年第2号）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670" w:type="dxa"/>
            <w:vAlign w:val="center"/>
          </w:tcPr>
          <w:p>
            <w:pPr>
              <w:pStyle w:val="50"/>
              <w:adjustRightInd/>
              <w:snapToGrid/>
              <w:spacing w:line="276" w:lineRule="auto"/>
              <w:rPr>
                <w:kern w:val="0"/>
              </w:rPr>
            </w:pPr>
            <w:r>
              <w:rPr>
                <w:rFonts w:hint="eastAsia"/>
              </w:rPr>
              <w:t>《国家税务总局关于印发〈企业所得税核定征收办法〉（试行）的通知》（国税发〔</w:t>
            </w:r>
            <w:r>
              <w:t>2008</w:t>
            </w:r>
            <w:r>
              <w:rPr>
                <w:rFonts w:hint="eastAsia"/>
              </w:rPr>
              <w:t>〕</w:t>
            </w:r>
            <w:r>
              <w:t>30</w:t>
            </w:r>
            <w:r>
              <w:rPr>
                <w:rFonts w:hint="eastAsia"/>
              </w:rPr>
              <w:t>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670" w:type="dxa"/>
            <w:vAlign w:val="center"/>
          </w:tcPr>
          <w:p>
            <w:pPr>
              <w:pStyle w:val="50"/>
              <w:adjustRightInd/>
              <w:snapToGrid/>
              <w:spacing w:line="276" w:lineRule="auto"/>
            </w:pPr>
            <w:r>
              <w:rPr>
                <w:rFonts w:hint="eastAsia"/>
              </w:rPr>
              <w:t>《特别纳税调整实施办法（试行）》（国税发〔2009〕2号）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670" w:type="dxa"/>
            <w:vAlign w:val="center"/>
          </w:tcPr>
          <w:p>
            <w:pPr>
              <w:pStyle w:val="50"/>
              <w:adjustRightInd/>
              <w:snapToGrid/>
              <w:spacing w:line="276" w:lineRule="auto"/>
              <w:rPr>
                <w:color w:val="000000"/>
              </w:rPr>
            </w:pPr>
            <w:r>
              <w:rPr>
                <w:rFonts w:hint="eastAsia"/>
              </w:rPr>
              <w:t>《国家税务总局印发〈企业所得税汇算清缴管理办法〉的通知》（国税发〔2009〕79号）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15</w:t>
            </w:r>
          </w:p>
        </w:tc>
        <w:tc>
          <w:tcPr>
            <w:tcW w:w="5670" w:type="dxa"/>
            <w:vAlign w:val="center"/>
          </w:tcPr>
          <w:p>
            <w:pPr>
              <w:pStyle w:val="50"/>
              <w:adjustRightInd/>
              <w:snapToGrid/>
              <w:spacing w:line="276" w:lineRule="auto"/>
              <w:rPr>
                <w:color w:val="000000"/>
              </w:rPr>
            </w:pPr>
            <w:r>
              <w:rPr>
                <w:rFonts w:hint="eastAsia"/>
              </w:rPr>
              <w:t>《国家税务总局关于企业所得税核定征收若干问题的通知》（国税函〔2009〕377号）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16</w:t>
            </w:r>
          </w:p>
        </w:tc>
        <w:tc>
          <w:tcPr>
            <w:tcW w:w="5670" w:type="dxa"/>
            <w:vAlign w:val="center"/>
          </w:tcPr>
          <w:p>
            <w:pPr>
              <w:pStyle w:val="50"/>
              <w:adjustRightInd/>
              <w:snapToGrid/>
              <w:spacing w:line="276" w:lineRule="auto"/>
            </w:pPr>
            <w:r>
              <w:rPr>
                <w:rFonts w:hint="eastAsia"/>
              </w:rPr>
              <w:t>《国家税务总局关于创新税收服务和管理的意见》（税总发〔2014〕85号）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17</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18</w:t>
            </w:r>
          </w:p>
        </w:tc>
        <w:tc>
          <w:tcPr>
            <w:tcW w:w="5670"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80"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19</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r>
              <w:t>0</w:t>
            </w:r>
          </w:p>
        </w:tc>
        <w:tc>
          <w:tcPr>
            <w:tcW w:w="5670"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80" w:type="dxa"/>
            <w:vAlign w:val="center"/>
          </w:tcPr>
          <w:p>
            <w:pPr>
              <w:pStyle w:val="50"/>
              <w:adjustRightInd/>
              <w:snapToGrid/>
              <w:spacing w:line="276" w:lineRule="auto"/>
              <w:rPr>
                <w:color w:val="000000"/>
              </w:rPr>
            </w:pPr>
            <w:r>
              <w:rPr>
                <w:rFonts w:hint="eastAsia"/>
              </w:rPr>
              <w:t>依申请公开</w:t>
            </w:r>
          </w:p>
        </w:tc>
      </w:tr>
    </w:tbl>
    <w:p>
      <w:pPr>
        <w:pStyle w:val="30"/>
        <w:wordWrap w:val="0"/>
        <w:topLinePunct w:val="0"/>
        <w:spacing w:before="312" w:after="312"/>
        <w:rPr>
          <w:color w:val="000000" w:themeColor="text1"/>
        </w:rPr>
      </w:pPr>
      <w:bookmarkStart w:id="82" w:name="_Toc26717"/>
      <w:bookmarkStart w:id="83" w:name="_Toc18096125"/>
      <w:bookmarkStart w:id="84" w:name="_Toc19132"/>
      <w:r>
        <w:rPr>
          <w:rFonts w:hint="eastAsia"/>
          <w:color w:val="000000" w:themeColor="text1"/>
        </w:rPr>
        <w:t>3.4.5—07</w:t>
      </w:r>
      <w:r>
        <w:rPr>
          <w:color w:val="000000" w:themeColor="text1"/>
        </w:rPr>
        <w:t>6</w:t>
      </w:r>
      <w:r>
        <w:rPr>
          <w:rFonts w:hint="eastAsia"/>
          <w:color w:val="000000" w:themeColor="text1"/>
        </w:rPr>
        <w:t>　</w:t>
      </w:r>
      <w:r>
        <w:rPr>
          <w:color w:val="000000" w:themeColor="text1"/>
        </w:rPr>
        <w:t>　</w:t>
      </w:r>
      <w:r>
        <w:rPr>
          <w:rFonts w:hint="eastAsia"/>
          <w:color w:val="000000" w:themeColor="text1"/>
        </w:rPr>
        <w:t>清算企业所得税申报</w:t>
      </w:r>
      <w:bookmarkEnd w:id="82"/>
      <w:bookmarkEnd w:id="83"/>
      <w:bookmarkEnd w:id="84"/>
    </w:p>
    <w:p>
      <w:pPr>
        <w:pStyle w:val="31"/>
        <w:wordWrap w:val="0"/>
        <w:adjustRightInd/>
        <w:snapToGrid/>
        <w:rPr>
          <w:color w:val="000000" w:themeColor="text1"/>
        </w:rPr>
      </w:pPr>
      <w:r>
        <w:rPr>
          <w:rFonts w:hint="eastAsia"/>
          <w:color w:val="000000" w:themeColor="text1"/>
        </w:rPr>
        <w:t>【事项名称】</w:t>
      </w:r>
    </w:p>
    <w:p>
      <w:pPr>
        <w:pStyle w:val="36"/>
        <w:wordWrap w:val="0"/>
        <w:adjustRightInd/>
        <w:snapToGrid/>
        <w:ind w:left="0" w:firstLine="480"/>
        <w:rPr>
          <w:rFonts w:eastAsia="宋体"/>
          <w:color w:val="000000" w:themeColor="text1"/>
        </w:rPr>
      </w:pPr>
      <w:bookmarkStart w:id="85" w:name="_Toc18617"/>
      <w:r>
        <w:rPr>
          <w:rFonts w:hint="eastAsia" w:eastAsia="宋体"/>
          <w:color w:val="000000" w:themeColor="text1"/>
        </w:rPr>
        <w:t>清算企业所得税申报</w:t>
      </w:r>
      <w:bookmarkEnd w:id="85"/>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因解散、破产、重组等原因终止生产经营活动的纳税人，不再持续经营的纳税人，企业由法人转变为个人独资企业、合伙企业等非法人组织，或将登记注册地转移至中华人民共和国境外（包括港澳台地区），应在办理注销登记前，以整个清算期间作为一个纳税年度，依法计算清算所得及其应纳所得税，自清算结束之日起</w:t>
      </w:r>
      <w:r>
        <w:rPr>
          <w:rFonts w:cs="Times New Roman"/>
          <w:color w:val="000000" w:themeColor="text1"/>
        </w:rPr>
        <w:t>15</w:t>
      </w:r>
      <w:r>
        <w:rPr>
          <w:rFonts w:ascii="宋体" w:hAnsi="宋体" w:cs="Times New Roman"/>
          <w:color w:val="000000" w:themeColor="text1"/>
        </w:rPr>
        <w:t>日内，填报《中华人民共和国企业清算所得税申报表》及其他相关资料，向税务机关进行申报。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《中华人民共和国企业所得税法》第一条、第五十五条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76"/>
        <w:gridCol w:w="3359"/>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shd w:val="clear" w:color="000000"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vAlign w:val="center"/>
          </w:tcPr>
          <w:p>
            <w:pPr>
              <w:pStyle w:val="34"/>
              <w:wordWrap w:val="0"/>
              <w:adjustRightInd/>
              <w:snapToGrid/>
              <w:spacing w:line="240" w:lineRule="auto"/>
              <w:rPr>
                <w:color w:val="000000" w:themeColor="text1"/>
              </w:rPr>
            </w:pPr>
            <w:r>
              <w:rPr>
                <w:rFonts w:hint="eastAsia"/>
                <w:color w:val="000000" w:themeColor="text1"/>
              </w:rPr>
              <w:t>《中华人民共和国企业清算所得税申报表》</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63" w:type="dxa"/>
            <w:gridSpan w:val="5"/>
            <w:shd w:val="clear" w:color="000000"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shd w:val="clear" w:color="auto" w:fill="D8D8D8"/>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适用情形</w:t>
            </w:r>
          </w:p>
        </w:tc>
        <w:tc>
          <w:tcPr>
            <w:tcW w:w="3359" w:type="dxa"/>
            <w:shd w:val="clear" w:color="auto" w:fill="D8D8D8"/>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材料名称</w:t>
            </w:r>
          </w:p>
        </w:tc>
        <w:tc>
          <w:tcPr>
            <w:tcW w:w="680" w:type="dxa"/>
            <w:shd w:val="clear" w:color="auto" w:fill="D8D8D8"/>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数量</w:t>
            </w:r>
          </w:p>
        </w:tc>
        <w:tc>
          <w:tcPr>
            <w:tcW w:w="2268" w:type="dxa"/>
            <w:shd w:val="clear" w:color="auto" w:fill="D8D8D8"/>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restart"/>
            <w:vAlign w:val="center"/>
          </w:tcPr>
          <w:p>
            <w:pPr>
              <w:pStyle w:val="34"/>
              <w:wordWrap w:val="0"/>
              <w:adjustRightInd/>
              <w:snapToGrid/>
              <w:spacing w:line="240" w:lineRule="auto"/>
              <w:rPr>
                <w:color w:val="000000" w:themeColor="text1"/>
              </w:rPr>
            </w:pPr>
            <w:r>
              <w:rPr>
                <w:rFonts w:hint="eastAsia"/>
                <w:color w:val="000000" w:themeColor="text1"/>
              </w:rPr>
              <w:t>企业由法人转变为个人独资企业、合伙企业等非法人组织，或将登记注册地转移至中华人民共和国境外（包括港澳台地区）</w:t>
            </w:r>
          </w:p>
        </w:tc>
        <w:tc>
          <w:tcPr>
            <w:tcW w:w="3359" w:type="dxa"/>
            <w:vAlign w:val="center"/>
          </w:tcPr>
          <w:p>
            <w:pPr>
              <w:wordWrap w:val="0"/>
              <w:spacing w:line="240" w:lineRule="auto"/>
              <w:ind w:firstLine="0" w:firstLineChars="0"/>
              <w:jc w:val="center"/>
              <w:rPr>
                <w:rFonts w:hint="default" w:ascii="宋体" w:hAnsi="宋体" w:cs="Times New Roman"/>
                <w:color w:val="000000" w:themeColor="text1"/>
              </w:rPr>
            </w:pPr>
            <w:r>
              <w:rPr>
                <w:rFonts w:ascii="黑体" w:hAnsi="黑体" w:eastAsia="黑体" w:cs="Times New Roman"/>
                <w:color w:val="000000" w:themeColor="text1"/>
                <w:sz w:val="18"/>
                <w:szCs w:val="18"/>
              </w:rPr>
              <w:t>企业改变法律形式的的市场监督管理部门或其他政府部门的批准文件复印件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continue"/>
            <w:vAlign w:val="center"/>
          </w:tcPr>
          <w:p>
            <w:pPr>
              <w:pStyle w:val="34"/>
              <w:wordWrap w:val="0"/>
              <w:adjustRightInd/>
              <w:snapToGrid/>
              <w:spacing w:line="240" w:lineRule="auto"/>
              <w:rPr>
                <w:color w:val="000000" w:themeColor="text1"/>
              </w:rPr>
            </w:pPr>
          </w:p>
        </w:tc>
        <w:tc>
          <w:tcPr>
            <w:tcW w:w="3359" w:type="dxa"/>
            <w:vAlign w:val="center"/>
          </w:tcPr>
          <w:p>
            <w:pPr>
              <w:pStyle w:val="34"/>
              <w:wordWrap w:val="0"/>
              <w:adjustRightInd/>
              <w:snapToGrid/>
              <w:spacing w:line="240" w:lineRule="auto"/>
              <w:rPr>
                <w:color w:val="000000" w:themeColor="text1"/>
              </w:rPr>
            </w:pPr>
            <w:r>
              <w:rPr>
                <w:rFonts w:hint="eastAsia"/>
                <w:color w:val="000000" w:themeColor="text1"/>
              </w:rPr>
              <w:t>企业全部资产的计税基础以及评估机构出具的资产评估报告复印件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continue"/>
            <w:vAlign w:val="center"/>
          </w:tcPr>
          <w:p>
            <w:pPr>
              <w:pStyle w:val="34"/>
              <w:wordWrap w:val="0"/>
              <w:adjustRightInd/>
              <w:snapToGrid/>
              <w:spacing w:line="240" w:lineRule="auto"/>
              <w:rPr>
                <w:color w:val="000000" w:themeColor="text1"/>
              </w:rPr>
            </w:pPr>
          </w:p>
        </w:tc>
        <w:tc>
          <w:tcPr>
            <w:tcW w:w="3359" w:type="dxa"/>
            <w:vAlign w:val="center"/>
          </w:tcPr>
          <w:p>
            <w:pPr>
              <w:pStyle w:val="34"/>
              <w:wordWrap w:val="0"/>
              <w:adjustRightInd/>
              <w:snapToGrid/>
              <w:spacing w:line="240" w:lineRule="auto"/>
              <w:rPr>
                <w:color w:val="000000" w:themeColor="text1"/>
              </w:rPr>
            </w:pPr>
            <w:r>
              <w:rPr>
                <w:rFonts w:hint="eastAsia"/>
                <w:color w:val="000000" w:themeColor="text1"/>
              </w:rPr>
              <w:t>企业债权、债务处理或归属情况说明复印件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restart"/>
            <w:vAlign w:val="center"/>
          </w:tcPr>
          <w:p>
            <w:pPr>
              <w:pStyle w:val="34"/>
              <w:wordWrap w:val="0"/>
              <w:adjustRightInd/>
              <w:snapToGrid/>
              <w:spacing w:line="240" w:lineRule="auto"/>
              <w:rPr>
                <w:color w:val="000000" w:themeColor="text1"/>
              </w:rPr>
            </w:pPr>
            <w:r>
              <w:rPr>
                <w:rFonts w:hint="eastAsia"/>
                <w:color w:val="000000" w:themeColor="text1"/>
              </w:rPr>
              <w:t>被合并企业</w:t>
            </w:r>
          </w:p>
        </w:tc>
        <w:tc>
          <w:tcPr>
            <w:tcW w:w="3359" w:type="dxa"/>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企业合并的市场监督管理部门</w:t>
            </w:r>
          </w:p>
          <w:p>
            <w:pPr>
              <w:pStyle w:val="34"/>
              <w:wordWrap w:val="0"/>
              <w:adjustRightInd/>
              <w:snapToGrid/>
              <w:spacing w:line="240" w:lineRule="auto"/>
              <w:rPr>
                <w:color w:val="000000" w:themeColor="text1"/>
              </w:rPr>
            </w:pPr>
            <w:r>
              <w:rPr>
                <w:rFonts w:hint="eastAsia"/>
                <w:color w:val="000000" w:themeColor="text1"/>
              </w:rPr>
              <w:t>或其他政府部门的批准文件复印件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continue"/>
            <w:vAlign w:val="center"/>
          </w:tcPr>
          <w:p>
            <w:pPr>
              <w:pStyle w:val="34"/>
              <w:wordWrap w:val="0"/>
              <w:adjustRightInd/>
              <w:snapToGrid/>
              <w:spacing w:line="240" w:lineRule="auto"/>
              <w:rPr>
                <w:color w:val="000000" w:themeColor="text1"/>
              </w:rPr>
            </w:pPr>
          </w:p>
        </w:tc>
        <w:tc>
          <w:tcPr>
            <w:tcW w:w="3359" w:type="dxa"/>
            <w:vAlign w:val="center"/>
          </w:tcPr>
          <w:p>
            <w:pPr>
              <w:pStyle w:val="34"/>
              <w:wordWrap w:val="0"/>
              <w:adjustRightInd/>
              <w:snapToGrid/>
              <w:spacing w:line="240" w:lineRule="auto"/>
              <w:rPr>
                <w:color w:val="000000" w:themeColor="text1"/>
              </w:rPr>
            </w:pPr>
            <w:r>
              <w:rPr>
                <w:rFonts w:hint="eastAsia"/>
                <w:color w:val="000000" w:themeColor="text1"/>
              </w:rPr>
              <w:t>企业全部资产和负债的计税基础以及评估机构出具的资产评估报告复印件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continue"/>
            <w:vAlign w:val="center"/>
          </w:tcPr>
          <w:p>
            <w:pPr>
              <w:pStyle w:val="34"/>
              <w:wordWrap w:val="0"/>
              <w:adjustRightInd/>
              <w:snapToGrid/>
              <w:spacing w:line="240" w:lineRule="auto"/>
              <w:rPr>
                <w:color w:val="000000" w:themeColor="text1"/>
              </w:rPr>
            </w:pPr>
          </w:p>
        </w:tc>
        <w:tc>
          <w:tcPr>
            <w:tcW w:w="3359" w:type="dxa"/>
            <w:vAlign w:val="center"/>
          </w:tcPr>
          <w:p>
            <w:pPr>
              <w:pStyle w:val="34"/>
              <w:wordWrap w:val="0"/>
              <w:adjustRightInd/>
              <w:snapToGrid/>
              <w:spacing w:line="240" w:lineRule="auto"/>
              <w:rPr>
                <w:color w:val="000000" w:themeColor="text1"/>
              </w:rPr>
            </w:pPr>
            <w:r>
              <w:rPr>
                <w:rFonts w:hint="eastAsia"/>
                <w:color w:val="000000" w:themeColor="text1"/>
              </w:rPr>
              <w:t>被合并企业债务处理或归属情况说明复印件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restart"/>
            <w:vAlign w:val="center"/>
          </w:tcPr>
          <w:p>
            <w:pPr>
              <w:pStyle w:val="34"/>
              <w:wordWrap w:val="0"/>
              <w:adjustRightInd/>
              <w:snapToGrid/>
              <w:spacing w:line="240" w:lineRule="auto"/>
              <w:rPr>
                <w:color w:val="000000" w:themeColor="text1"/>
              </w:rPr>
            </w:pPr>
            <w:r>
              <w:rPr>
                <w:rFonts w:hint="eastAsia"/>
                <w:color w:val="000000" w:themeColor="text1"/>
              </w:rPr>
              <w:t>被分立企业</w:t>
            </w:r>
          </w:p>
        </w:tc>
        <w:tc>
          <w:tcPr>
            <w:tcW w:w="3359" w:type="dxa"/>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企业分立的市场监督管理部门</w:t>
            </w:r>
          </w:p>
          <w:p>
            <w:pPr>
              <w:pStyle w:val="34"/>
              <w:wordWrap w:val="0"/>
              <w:adjustRightInd/>
              <w:snapToGrid/>
              <w:spacing w:line="240" w:lineRule="auto"/>
              <w:rPr>
                <w:color w:val="000000" w:themeColor="text1"/>
              </w:rPr>
            </w:pPr>
            <w:r>
              <w:rPr>
                <w:rFonts w:hint="eastAsia"/>
                <w:color w:val="000000" w:themeColor="text1"/>
              </w:rPr>
              <w:t>或其他政府部门的批准文件复印件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continue"/>
            <w:vAlign w:val="center"/>
          </w:tcPr>
          <w:p>
            <w:pPr>
              <w:pStyle w:val="34"/>
              <w:wordWrap w:val="0"/>
              <w:adjustRightInd/>
              <w:snapToGrid/>
              <w:spacing w:line="240" w:lineRule="auto"/>
              <w:rPr>
                <w:color w:val="000000" w:themeColor="text1"/>
              </w:rPr>
            </w:pPr>
          </w:p>
        </w:tc>
        <w:tc>
          <w:tcPr>
            <w:tcW w:w="3359" w:type="dxa"/>
            <w:vAlign w:val="center"/>
          </w:tcPr>
          <w:p>
            <w:pPr>
              <w:pStyle w:val="34"/>
              <w:wordWrap w:val="0"/>
              <w:adjustRightInd/>
              <w:snapToGrid/>
              <w:spacing w:line="240" w:lineRule="auto"/>
              <w:rPr>
                <w:color w:val="000000" w:themeColor="text1"/>
              </w:rPr>
            </w:pPr>
            <w:r>
              <w:rPr>
                <w:rFonts w:hint="eastAsia"/>
                <w:color w:val="000000" w:themeColor="text1"/>
              </w:rPr>
              <w:t>被分立企业全部资产的计税基础以及评估机构出具的资产评估报告复印件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856" w:type="dxa"/>
            <w:gridSpan w:val="2"/>
            <w:vMerge w:val="continue"/>
            <w:vAlign w:val="center"/>
          </w:tcPr>
          <w:p>
            <w:pPr>
              <w:pStyle w:val="34"/>
              <w:wordWrap w:val="0"/>
              <w:adjustRightInd/>
              <w:snapToGrid/>
              <w:spacing w:line="240" w:lineRule="auto"/>
              <w:rPr>
                <w:color w:val="000000" w:themeColor="text1"/>
              </w:rPr>
            </w:pPr>
          </w:p>
        </w:tc>
        <w:tc>
          <w:tcPr>
            <w:tcW w:w="3359" w:type="dxa"/>
            <w:vAlign w:val="center"/>
          </w:tcPr>
          <w:p>
            <w:pPr>
              <w:pStyle w:val="34"/>
              <w:wordWrap w:val="0"/>
              <w:adjustRightInd/>
              <w:snapToGrid/>
              <w:spacing w:line="240" w:lineRule="auto"/>
              <w:rPr>
                <w:color w:val="000000" w:themeColor="text1"/>
              </w:rPr>
            </w:pPr>
            <w:r>
              <w:rPr>
                <w:rFonts w:hint="eastAsia"/>
                <w:color w:val="000000" w:themeColor="text1"/>
              </w:rPr>
              <w:t>被分立企业债务处理或归属情况说明复印件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32"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32"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lang w:val="zh-CN"/>
        </w:rPr>
        <w:t>7.</w:t>
      </w:r>
      <w:r>
        <w:rPr>
          <w:rFonts w:ascii="宋体" w:hAnsi="宋体" w:cs="Times New Roman"/>
          <w:color w:val="000000" w:themeColor="text1"/>
          <w:lang w:val="zh-CN"/>
        </w:rPr>
        <w:t>完成居民企业清算企业所得税申报后，可继续办理注销登记或清税申报等事宜。</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8.</w:t>
      </w:r>
      <w:r>
        <w:rPr>
          <w:rFonts w:ascii="宋体" w:hAnsi="宋体" w:cs="Times New Roman"/>
          <w:color w:val="000000" w:themeColor="text1"/>
          <w:lang w:val="zh-CN"/>
        </w:rPr>
        <w:t>企业应当在办理注销登记之前，就其清算所得向主管税务机关申报并依法缴纳企业所得税。境外注册中资控股居民企业需要申报办理注销税务登记的，应在注销税务登记前，就其清算所得向主管税务机关申报缴纳企业所得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进入清算期的企业应对清算事项，报主管税务机关备案。</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利用数字证书申报成功的纳税人，取消纸质资料报送。</w:t>
      </w:r>
    </w:p>
    <w:p>
      <w:pPr>
        <w:pStyle w:val="31"/>
        <w:wordWrap w:val="0"/>
        <w:adjustRightInd/>
        <w:snapToGrid/>
        <w:rPr>
          <w:color w:val="000000" w:themeColor="text1"/>
        </w:rPr>
      </w:pPr>
      <w:r>
        <w:rPr>
          <w:color w:val="000000" w:themeColor="text1"/>
        </w:rPr>
        <w:t>【操作规范】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进入金三操作系统，通过税务登记岗权限，按照【管理服务】—【税务登记】—【企业所得税清算报备】的路径进入功能模块。通过申报征收岗权限，按照【申报征收】—【申报】—【居民企业所得税申报】—【企业清算所得税申报】的路径进入功能模块。</w:t>
      </w:r>
    </w:p>
    <w:p>
      <w:pPr>
        <w:pStyle w:val="31"/>
        <w:wordWrap w:val="0"/>
        <w:adjustRightInd/>
        <w:snapToGrid/>
        <w:rPr>
          <w:color w:val="000000" w:themeColor="text1"/>
        </w:rPr>
      </w:pPr>
      <w:r>
        <w:rPr>
          <w:rFonts w:hint="eastAsia"/>
          <w:color w:val="000000" w:themeColor="text1"/>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rPr>
                <w:color w:val="000000"/>
              </w:rPr>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t>《中华人民共和国企业所得税法》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rPr>
                <w:kern w:val="24"/>
              </w:rPr>
            </w:pPr>
            <w:r>
              <w:t>《税收票证管理办法》（国家税务总局令第28号）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rPr>
                <w:color w:val="00B0F0"/>
                <w:kern w:val="0"/>
              </w:rPr>
            </w:pPr>
            <w:r>
              <w:rPr>
                <w:rFonts w:hint="eastAsia"/>
              </w:rPr>
              <w:t>《财政部 国家税务总局关于企业重组业务企业所得税处理若干问题的通知》（财税〔</w:t>
            </w:r>
            <w:r>
              <w:t>2009</w:t>
            </w:r>
            <w:r>
              <w:rPr>
                <w:rFonts w:hint="eastAsia"/>
              </w:rPr>
              <w:t>〕</w:t>
            </w:r>
            <w:r>
              <w:t>59</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rPr>
                <w:kern w:val="0"/>
              </w:rPr>
            </w:pPr>
            <w:r>
              <w:rPr>
                <w:rFonts w:hint="eastAsia"/>
              </w:rPr>
              <w:t>《财政部 国家税务总局关于企业清算业务企业所得税处理若干问题的通知》（财税〔</w:t>
            </w:r>
            <w:r>
              <w:t>2009</w:t>
            </w:r>
            <w:r>
              <w:rPr>
                <w:rFonts w:hint="eastAsia"/>
              </w:rPr>
              <w:t>〕</w:t>
            </w:r>
            <w:r>
              <w:t>60</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《国家税务总局关于发布〈企业重组业务企业所得税管理办法〉的公告》（国家税务总局公告</w:t>
            </w:r>
            <w:r>
              <w:t>2010</w:t>
            </w:r>
            <w:r>
              <w:rPr>
                <w:rFonts w:hint="eastAsia"/>
              </w:rPr>
              <w:t>年第</w:t>
            </w:r>
            <w:r>
              <w:t>4</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《国家税务总局关于印发〈中华人民共和国企业清算所得税申报表〉的通知》（国税函〔</w:t>
            </w:r>
            <w:r>
              <w:t>2009</w:t>
            </w:r>
            <w:r>
              <w:rPr>
                <w:rFonts w:hint="eastAsia"/>
              </w:rPr>
              <w:t>〕</w:t>
            </w:r>
            <w:r>
              <w:t>388</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《国家税务总局关于企业清算所得税有关问题的通知》（国税函〔2009〕684号）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pPr>
            <w:r>
              <w:rPr>
                <w:rFonts w:hint="eastAsia"/>
              </w:rPr>
              <w:t>《国家税务总局关于创新税收服务和管理的意见》（税总发〔2014〕85号）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713" w:type="dxa"/>
            <w:vAlign w:val="center"/>
          </w:tcPr>
          <w:p>
            <w:pPr>
              <w:pStyle w:val="50"/>
              <w:adjustRightInd/>
              <w:snapToGrid/>
              <w:spacing w:line="276" w:lineRule="auto"/>
              <w:rPr>
                <w:color w:val="000000"/>
              </w:rPr>
            </w:pPr>
            <w:r>
              <w:rPr>
                <w:rFonts w:hint="eastAsia"/>
              </w:rPr>
              <w:t>《国家税务总局关于加快推行办税事项同城通办的通知》（税总发〔2016〕46号）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713" w:type="dxa"/>
            <w:vAlign w:val="center"/>
          </w:tcPr>
          <w:p>
            <w:pPr>
              <w:pStyle w:val="50"/>
              <w:adjustRightInd/>
              <w:snapToGrid/>
              <w:spacing w:line="276" w:lineRule="auto"/>
              <w:rPr>
                <w:color w:val="00000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713"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rPr>
                <w:color w:val="000000"/>
              </w:rPr>
            </w:pPr>
            <w:r>
              <w:rPr>
                <w:rFonts w:hint="eastAsia"/>
              </w:rPr>
              <w:t>依申请公开</w:t>
            </w:r>
          </w:p>
        </w:tc>
      </w:tr>
    </w:tbl>
    <w:p>
      <w:pPr>
        <w:pStyle w:val="30"/>
        <w:wordWrap w:val="0"/>
        <w:topLinePunct w:val="0"/>
        <w:spacing w:before="312" w:after="312"/>
        <w:rPr>
          <w:color w:val="000000" w:themeColor="text1"/>
        </w:rPr>
      </w:pPr>
      <w:bookmarkStart w:id="86" w:name="_Toc11475"/>
      <w:bookmarkStart w:id="87" w:name="_Toc18096126"/>
      <w:r>
        <w:rPr>
          <w:rFonts w:hint="eastAsia"/>
          <w:color w:val="000000" w:themeColor="text1"/>
        </w:rPr>
        <w:t>3.4.6—07</w:t>
      </w:r>
      <w:r>
        <w:rPr>
          <w:color w:val="000000" w:themeColor="text1"/>
        </w:rPr>
        <w:t>7</w:t>
      </w:r>
      <w:r>
        <w:rPr>
          <w:rFonts w:hint="eastAsia"/>
          <w:color w:val="000000" w:themeColor="text1"/>
        </w:rPr>
        <w:t>　</w:t>
      </w:r>
      <w:r>
        <w:rPr>
          <w:color w:val="000000" w:themeColor="text1"/>
        </w:rPr>
        <w:t>　</w:t>
      </w:r>
      <w:r>
        <w:rPr>
          <w:rFonts w:hint="eastAsia"/>
          <w:color w:val="000000" w:themeColor="text1"/>
        </w:rPr>
        <w:t>对采取实际利润额预缴以外的其他企业所得税预缴方式的核定</w:t>
      </w:r>
      <w:bookmarkEnd w:id="86"/>
      <w:bookmarkEnd w:id="87"/>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对采取实际利润额预缴以外的其他企业所得税预缴方式的核定</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企业所得税纳税人应</w:t>
      </w:r>
      <w:r>
        <w:rPr>
          <w:rFonts w:hint="default" w:ascii="宋体" w:hAnsi="宋体" w:cs="Times New Roman"/>
          <w:color w:val="000000" w:themeColor="text1"/>
        </w:rPr>
        <w:t>按照月度或者季度的实际利润额预缴</w:t>
      </w:r>
      <w:r>
        <w:rPr>
          <w:rFonts w:ascii="宋体" w:hAnsi="宋体" w:cs="Times New Roman"/>
          <w:color w:val="000000" w:themeColor="text1"/>
        </w:rPr>
        <w:t>企业所得税。</w:t>
      </w:r>
      <w:r>
        <w:rPr>
          <w:rFonts w:hint="default" w:ascii="宋体" w:hAnsi="宋体" w:cs="Times New Roman"/>
          <w:color w:val="000000" w:themeColor="text1"/>
        </w:rPr>
        <w:t>按照月度或者季度的实际利润额预缴有困难的，可以按照上一纳税年度应纳税所得额的月度或者季度平均额预缴，或者按照经税务机关认可的其他方法预缴。</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《中华人民共和国企业所得税法实施条例》第一百二十七条第二款</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73"/>
        <w:gridCol w:w="3262"/>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rPr>
                <w:rFonts w:hint="default" w:ascii="黑体" w:hAnsi="黑体" w:eastAsia="黑体" w:cs="Times New Roman"/>
                <w:color w:val="000000" w:themeColor="text1"/>
                <w:sz w:val="21"/>
                <w:szCs w:val="21"/>
              </w:rPr>
            </w:pPr>
            <w:r>
              <w:rPr>
                <w:rFonts w:hint="default" w:ascii="黑体" w:hAnsi="黑体" w:eastAsia="黑体" w:cs="Times New Roman"/>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《税务行政许可申请表》</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2</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经办人身份证件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3</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纳税人确有困难不能按照月度或者季度的实际利润额预缴企业所得税的情况证明</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hint="default" w:ascii="黑体" w:hAnsi="黑体" w:eastAsia="黑体" w:cs="Times New Roman"/>
                <w:color w:val="000000" w:themeColor="text1"/>
                <w:sz w:val="21"/>
                <w:szCs w:val="2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tcBorders>
              <w:left w:val="single" w:color="auto" w:sz="4" w:space="0"/>
              <w:right w:val="single" w:color="auto" w:sz="4" w:space="0"/>
            </w:tcBorders>
            <w:shd w:val="clear" w:color="auto" w:fill="D8D8D8"/>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适用情形</w:t>
            </w:r>
          </w:p>
        </w:tc>
        <w:tc>
          <w:tcPr>
            <w:tcW w:w="3262" w:type="dxa"/>
            <w:tcBorders>
              <w:left w:val="single" w:color="auto" w:sz="4" w:space="0"/>
              <w:right w:val="single" w:color="auto" w:sz="4" w:space="0"/>
            </w:tcBorders>
            <w:shd w:val="clear" w:color="auto" w:fill="D8D8D8"/>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8D8D8"/>
            <w:vAlign w:val="center"/>
          </w:tcPr>
          <w:p>
            <w:pPr>
              <w:wordWrap w:val="0"/>
              <w:spacing w:line="240" w:lineRule="auto"/>
              <w:ind w:firstLine="0" w:firstLineChars="0"/>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8D8D8"/>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restart"/>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委托代理人办理</w:t>
            </w:r>
          </w:p>
        </w:tc>
        <w:tc>
          <w:tcPr>
            <w:tcW w:w="3262" w:type="dxa"/>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代理委托书</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continue"/>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c>
          <w:tcPr>
            <w:tcW w:w="3262" w:type="dxa"/>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代理人身份证件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查验后退回</w:t>
            </w:r>
          </w:p>
        </w:tc>
      </w:tr>
    </w:tbl>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在</w:t>
      </w:r>
      <w:r>
        <w:rPr>
          <w:rFonts w:cs="Times New Roman"/>
          <w:color w:val="000000" w:themeColor="text1"/>
        </w:rPr>
        <w:t>20</w:t>
      </w:r>
      <w:r>
        <w:rPr>
          <w:rFonts w:hint="default" w:ascii="宋体" w:hAnsi="宋体" w:cs="Times New Roman"/>
          <w:color w:val="000000" w:themeColor="text1"/>
        </w:rPr>
        <w:t>个工作日内办结；对</w:t>
      </w:r>
      <w:r>
        <w:rPr>
          <w:rFonts w:cs="Times New Roman"/>
          <w:color w:val="000000" w:themeColor="text1"/>
        </w:rPr>
        <w:t>20</w:t>
      </w:r>
      <w:r>
        <w:rPr>
          <w:rFonts w:hint="default" w:ascii="宋体" w:hAnsi="宋体" w:cs="Times New Roman"/>
          <w:color w:val="000000" w:themeColor="text1"/>
        </w:rPr>
        <w:t>个工作日内无法作出决定的，经决定机构负责人批准可以延长</w:t>
      </w:r>
      <w:r>
        <w:rPr>
          <w:rFonts w:cs="Times New Roman"/>
          <w:color w:val="000000" w:themeColor="text1"/>
        </w:rPr>
        <w:t>10</w:t>
      </w:r>
      <w:r>
        <w:rPr>
          <w:rFonts w:hint="default" w:ascii="宋体" w:hAnsi="宋体" w:cs="Times New Roman"/>
          <w:color w:val="000000" w:themeColor="text1"/>
        </w:rPr>
        <w:t>个工作日。</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0" distR="0">
            <wp:extent cx="5184140" cy="1966595"/>
            <wp:effectExtent l="0" t="0" r="10160" b="1905"/>
            <wp:docPr id="81" name="图片 33" descr="C:\Users\baoqianyu\Desktop\流程图\行政许可\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3" descr="C:\Users\baoqianyu\Desktop\流程图\行政许可\纳税人.png纳税人"/>
                    <pic:cNvPicPr>
                      <a:picLocks noChangeAspect="1" noChangeArrowheads="1"/>
                    </pic:cNvPicPr>
                  </pic:nvPicPr>
                  <pic:blipFill>
                    <a:blip r:embed="rId13"/>
                    <a:srcRect/>
                    <a:stretch>
                      <a:fillRect/>
                    </a:stretch>
                  </pic:blipFill>
                  <pic:spPr>
                    <a:xfrm>
                      <a:off x="0" y="0"/>
                      <a:ext cx="5184140" cy="1966595"/>
                    </a:xfrm>
                    <a:prstGeom prst="rect">
                      <a:avLst/>
                    </a:prstGeom>
                    <a:noFill/>
                    <a:ln>
                      <a:noFill/>
                    </a:ln>
                  </pic:spPr>
                </pic:pic>
              </a:graphicData>
            </a:graphic>
          </wp:inline>
        </w:drawing>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纳税人的预缴方法一经确定，该纳税年度内不得随意变更。</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按月度预缴企业所得税的申请人应当于每年</w:t>
      </w:r>
      <w:r>
        <w:rPr>
          <w:rFonts w:cs="Times New Roman"/>
          <w:color w:val="000000" w:themeColor="text1"/>
        </w:rPr>
        <w:t>1</w:t>
      </w:r>
      <w:r>
        <w:rPr>
          <w:rFonts w:ascii="宋体" w:hAnsi="宋体" w:cs="Times New Roman"/>
          <w:color w:val="000000" w:themeColor="text1"/>
        </w:rPr>
        <w:t>月</w:t>
      </w:r>
      <w:r>
        <w:rPr>
          <w:rFonts w:cs="Times New Roman"/>
          <w:color w:val="000000" w:themeColor="text1"/>
        </w:rPr>
        <w:t>31</w:t>
      </w:r>
      <w:r>
        <w:rPr>
          <w:rFonts w:ascii="宋体" w:hAnsi="宋体" w:cs="Times New Roman"/>
          <w:color w:val="000000" w:themeColor="text1"/>
        </w:rPr>
        <w:t>日前提出申请；按季度预缴企业所得税的申请人应当于每年</w:t>
      </w:r>
      <w:r>
        <w:rPr>
          <w:rFonts w:cs="Times New Roman"/>
          <w:color w:val="000000" w:themeColor="text1"/>
        </w:rPr>
        <w:t>3</w:t>
      </w:r>
      <w:r>
        <w:rPr>
          <w:rFonts w:ascii="宋体" w:hAnsi="宋体" w:cs="Times New Roman"/>
          <w:color w:val="000000" w:themeColor="text1"/>
        </w:rPr>
        <w:t>月</w:t>
      </w:r>
      <w:r>
        <w:rPr>
          <w:rFonts w:cs="Times New Roman"/>
          <w:color w:val="000000" w:themeColor="text1"/>
        </w:rPr>
        <w:t>31</w:t>
      </w:r>
      <w:r>
        <w:rPr>
          <w:rFonts w:ascii="宋体" w:hAnsi="宋体" w:cs="Times New Roman"/>
          <w:color w:val="000000" w:themeColor="text1"/>
        </w:rPr>
        <w:t>日前提出申请。</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）办税服务厅接收纳税人报送的资料，核对资料是否齐全、是否符合法定形式、填写内容是否完整，符合的即时受理，制作《税务行政许可受理通知书》送达纳税人，并制作《税务文书送达回证》由纳税人签收。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）申请材料存在问题可以当场更正的，应当一次性告知纳税人更正；申请材料不齐全或不符合法定形式的，应当当场或者</w:t>
      </w:r>
      <w:r>
        <w:rPr>
          <w:rFonts w:cs="Times New Roman"/>
          <w:color w:val="000000" w:themeColor="text1"/>
        </w:rPr>
        <w:t>5</w:t>
      </w:r>
      <w:r>
        <w:rPr>
          <w:rFonts w:ascii="宋体" w:hAnsi="宋体" w:cs="Times New Roman"/>
          <w:color w:val="000000" w:themeColor="text1"/>
        </w:rPr>
        <w:t>日内制作《补正税务行政许可材料告知书》，一次性告知纳税人需要补正的材料，并制作《税务文书送达回证》由纳税人签收。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）纳税人提出的行政许可申请事项依法不属于本行政机关职权范围的，办税服务厅不予受理，当场制作并送达《税务行政许可不予受理通知书》，并制作《税务文书送达回证》由纳税人签收。</w:t>
      </w:r>
    </w:p>
    <w:p>
      <w:pPr>
        <w:wordWrap w:val="0"/>
        <w:spacing w:line="360" w:lineRule="auto"/>
        <w:ind w:firstLine="480"/>
        <w:rPr>
          <w:rFonts w:hint="default" w:ascii="宋体" w:hAnsi="宋体" w:cs="Times New Roman"/>
          <w:color w:val="000000" w:themeColor="text1"/>
        </w:rPr>
      </w:pPr>
      <w:bookmarkStart w:id="88" w:name="_Hlk14519285"/>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）申请事项属于税务机关管辖范围，但不需要取得税务行政许可的，应当即时告知申请人不受理，同时告知其解决的途径。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）对省税务机关确定的能够当即办理的税务行政许可事项，直接出具和送达《准予税务行政许可决定书》，不再出具《税务行政许可受理通知书》。</w:t>
      </w:r>
    </w:p>
    <w:p>
      <w:pPr>
        <w:wordWrap w:val="0"/>
        <w:spacing w:line="360" w:lineRule="auto"/>
        <w:ind w:firstLine="480"/>
        <w:jc w:val="left"/>
        <w:rPr>
          <w:rFonts w:hint="default" w:ascii="宋体" w:hAnsi="宋体" w:cs="Times New Roman"/>
          <w:color w:val="000000" w:themeColor="text1"/>
        </w:rPr>
      </w:pPr>
      <w:bookmarkStart w:id="89" w:name="_Hlk16369995"/>
      <w:r>
        <w:rPr>
          <w:rFonts w:ascii="宋体" w:hAnsi="宋体" w:cs="Times New Roman"/>
          <w:color w:val="000000" w:themeColor="text1"/>
        </w:rPr>
        <w:t>（</w:t>
      </w:r>
      <w:r>
        <w:rPr>
          <w:rFonts w:cs="Times New Roman"/>
          <w:color w:val="000000" w:themeColor="text1"/>
        </w:rPr>
        <w:t>6</w:t>
      </w:r>
      <w:r>
        <w:rPr>
          <w:rFonts w:ascii="宋体" w:hAnsi="宋体" w:cs="Times New Roman"/>
          <w:color w:val="000000" w:themeColor="text1"/>
        </w:rPr>
        <w:t>）纳税人通过电子税务局申请的，电子税务局接收纳税人报送的资料信息，</w:t>
      </w:r>
      <w:r>
        <w:rPr>
          <w:rFonts w:hint="default" w:ascii="宋体" w:hAnsi="宋体" w:cs="Times New Roman"/>
          <w:color w:val="000000" w:themeColor="text1"/>
        </w:rPr>
        <w:t>核对资料是否齐全、是否符合法定形式、填写内容是否完整，符合的即时受理</w:t>
      </w:r>
      <w:r>
        <w:rPr>
          <w:rFonts w:ascii="宋体" w:hAnsi="宋体" w:cs="Times New Roman"/>
          <w:color w:val="000000" w:themeColor="text1"/>
        </w:rPr>
        <w:t>；资料不齐全或者填写内容不符合规定的，一次性告知补正内容或要求纳税人重新填报。</w:t>
      </w:r>
    </w:p>
    <w:bookmarkEnd w:id="88"/>
    <w:bookmarkEnd w:id="89"/>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bookmarkStart w:id="90" w:name="_Hlk14617044"/>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）办税服务厅收到反馈后</w:t>
      </w:r>
      <w:r>
        <w:rPr>
          <w:rFonts w:cs="Times New Roman"/>
          <w:color w:val="000000" w:themeColor="text1"/>
        </w:rPr>
        <w:t>1</w:t>
      </w:r>
      <w:r>
        <w:rPr>
          <w:rFonts w:hint="default" w:ascii="宋体" w:hAnsi="宋体" w:cs="Times New Roman"/>
          <w:color w:val="000000" w:themeColor="text1"/>
        </w:rPr>
        <w:t>个工作日内通知纳税人凭《税务行政许可受理通知书》领取《准予税务行政许可决定书》或《不予税务行政许可决定书》，并制作《税务文书送达回证》由纳税人签收。审查结果为“不予税务行政许可”的，应当说明理由并告知纳税人在《不予税务行政许可决定书》上注明的期限内，享有依法申请行政复议或提起行政诉讼的权利。</w:t>
      </w:r>
    </w:p>
    <w:p>
      <w:pPr>
        <w:wordWrap w:val="0"/>
        <w:spacing w:line="360" w:lineRule="auto"/>
        <w:ind w:firstLine="480"/>
        <w:rPr>
          <w:rFonts w:hint="default" w:ascii="宋体" w:hAnsi="宋体" w:cs="Times New Roman"/>
          <w:color w:val="000000" w:themeColor="text1"/>
        </w:rPr>
      </w:pPr>
      <w:bookmarkStart w:id="91" w:name="_Hlk16370011"/>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hint="default" w:ascii="宋体" w:hAnsi="宋体" w:cs="Times New Roman"/>
          <w:color w:val="000000" w:themeColor="text1"/>
        </w:rPr>
        <w:t>电子税务局办理的，将办理结果通过电子税务局反馈给纳税人。</w:t>
      </w:r>
    </w:p>
    <w:bookmarkEnd w:id="91"/>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）办税服务厅与申请人不在同一县（市、区、旗），或者直接送达税务行政许可文书存在其他困难情形的，可以根据</w:t>
      </w:r>
      <w:r>
        <w:rPr>
          <w:rFonts w:ascii="宋体" w:hAnsi="宋体" w:cs="Times New Roman"/>
          <w:color w:val="000000" w:themeColor="text1"/>
        </w:rPr>
        <w:t>纳税</w:t>
      </w:r>
      <w:r>
        <w:rPr>
          <w:rFonts w:hint="default" w:ascii="宋体" w:hAnsi="宋体" w:cs="Times New Roman"/>
          <w:color w:val="000000" w:themeColor="text1"/>
        </w:rPr>
        <w:t>人书面要求，按照</w:t>
      </w:r>
      <w:r>
        <w:rPr>
          <w:rFonts w:ascii="宋体" w:hAnsi="宋体" w:cs="Times New Roman"/>
          <w:color w:val="000000" w:themeColor="text1"/>
        </w:rPr>
        <w:t>纳税</w:t>
      </w:r>
      <w:r>
        <w:rPr>
          <w:rFonts w:hint="default" w:ascii="宋体" w:hAnsi="宋体" w:cs="Times New Roman"/>
          <w:color w:val="000000" w:themeColor="text1"/>
        </w:rPr>
        <w:t>人在《税务行政许可申请表》上填写的地址，在文书出具之日起</w:t>
      </w:r>
      <w:r>
        <w:rPr>
          <w:rFonts w:cs="Times New Roman"/>
          <w:color w:val="000000" w:themeColor="text1"/>
        </w:rPr>
        <w:t>2</w:t>
      </w:r>
      <w:r>
        <w:rPr>
          <w:rFonts w:hint="default" w:ascii="宋体" w:hAnsi="宋体" w:cs="Times New Roman"/>
          <w:color w:val="000000" w:themeColor="text1"/>
        </w:rPr>
        <w:t>个工作日内向</w:t>
      </w:r>
      <w:r>
        <w:rPr>
          <w:rFonts w:ascii="宋体" w:hAnsi="宋体" w:cs="Times New Roman"/>
          <w:color w:val="000000" w:themeColor="text1"/>
        </w:rPr>
        <w:t>纳税</w:t>
      </w:r>
      <w:r>
        <w:rPr>
          <w:rFonts w:hint="default" w:ascii="宋体" w:hAnsi="宋体" w:cs="Times New Roman"/>
          <w:color w:val="000000" w:themeColor="text1"/>
        </w:rPr>
        <w:t>人邮寄送达。邮寄送达的，以挂号函件回执上注明的收件日期为送达日期，并视为已送达。税务机关应当保留邮寄单据并做好台账登记。邮寄送达不得收取任何费用。</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）在作出准予税务行政许可决定之日起</w:t>
      </w:r>
      <w:r>
        <w:rPr>
          <w:rFonts w:cs="Times New Roman"/>
          <w:color w:val="000000" w:themeColor="text1"/>
        </w:rPr>
        <w:t>7</w:t>
      </w:r>
      <w:r>
        <w:rPr>
          <w:rFonts w:hint="default" w:ascii="宋体" w:hAnsi="宋体" w:cs="Times New Roman"/>
          <w:color w:val="000000" w:themeColor="text1"/>
        </w:rPr>
        <w:t>日内，在办税服务厅或者其他办公场所以及税务机关门户网站上公开税务行政许可决定。</w:t>
      </w:r>
      <w:bookmarkEnd w:id="90"/>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w:t>
      </w:r>
      <w:r>
        <w:rPr>
          <w:rFonts w:ascii="宋体" w:hAnsi="宋体" w:cs="Times New Roman"/>
          <w:color w:val="000000" w:themeColor="text1"/>
        </w:rPr>
        <w:t>不得将纳税人的办理材料用于与政务服务无关的用途。</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办理时限由</w:t>
      </w:r>
      <w:r>
        <w:rPr>
          <w:rFonts w:cs="Times New Roman"/>
          <w:color w:val="000000" w:themeColor="text1"/>
        </w:rPr>
        <w:t>20</w:t>
      </w:r>
      <w:r>
        <w:rPr>
          <w:rFonts w:hint="default" w:ascii="宋体" w:hAnsi="宋体" w:cs="Times New Roman"/>
          <w:color w:val="000000" w:themeColor="text1"/>
        </w:rPr>
        <w:t>个工作日提速至</w:t>
      </w:r>
      <w:r>
        <w:rPr>
          <w:rFonts w:cs="Times New Roman"/>
          <w:color w:val="000000" w:themeColor="text1"/>
        </w:rPr>
        <w:t>15</w:t>
      </w:r>
      <w:r>
        <w:rPr>
          <w:rFonts w:hint="default" w:ascii="宋体" w:hAnsi="宋体" w:cs="Times New Roman"/>
          <w:color w:val="000000" w:themeColor="text1"/>
        </w:rPr>
        <w:t>个工作日。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根据纳税信用评价结果逐步取消资料报送。</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ascii="黑体" w:hAnsi="黑体" w:eastAsia="黑体" w:cs="Times New Roman"/>
          <w:color w:val="000000" w:themeColor="text1"/>
        </w:rPr>
        <w:t>操作规范</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文书受理岗权限，按照【管理服务】—【文书管理】—【核定类】—【企业所得税核定（居民）（依申请）】的路径进入功能模块。点击界面上【税务行政许可申报征收类】按钮触发税务行政许可申请。</w:t>
      </w:r>
    </w:p>
    <w:p>
      <w:pPr>
        <w:wordWrap w:val="0"/>
        <w:spacing w:line="360" w:lineRule="auto"/>
        <w:ind w:firstLine="480"/>
        <w:rPr>
          <w:rFonts w:hint="default"/>
          <w:b/>
          <w:sz w:val="36"/>
          <w:szCs w:val="36"/>
        </w:rPr>
      </w:pPr>
      <w:r>
        <w:rPr>
          <w:rFonts w:ascii="黑体" w:hAnsi="黑体" w:eastAsia="黑体" w:cs="黑体"/>
          <w:color w:val="000000" w:themeColor="text1"/>
        </w:rPr>
        <w:t>【表证单书填写范本】</w:t>
      </w:r>
    </w:p>
    <w:p>
      <w:pPr>
        <w:spacing w:line="360" w:lineRule="auto"/>
        <w:ind w:firstLine="0" w:firstLineChars="0"/>
        <w:jc w:val="center"/>
        <w:rPr>
          <w:rFonts w:hint="default"/>
          <w:b/>
          <w:sz w:val="36"/>
          <w:szCs w:val="36"/>
        </w:rPr>
      </w:pPr>
      <w:r>
        <w:drawing>
          <wp:anchor distT="0" distB="0" distL="114300" distR="114300" simplePos="0" relativeHeight="251663360" behindDoc="0" locked="0" layoutInCell="1" allowOverlap="1">
            <wp:simplePos x="0" y="0"/>
            <wp:positionH relativeFrom="column">
              <wp:posOffset>1437005</wp:posOffset>
            </wp:positionH>
            <wp:positionV relativeFrom="paragraph">
              <wp:posOffset>374015</wp:posOffset>
            </wp:positionV>
            <wp:extent cx="1143000" cy="1066800"/>
            <wp:effectExtent l="0" t="0" r="0" b="0"/>
            <wp:wrapNone/>
            <wp:docPr id="8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0"/>
                    <pic:cNvPicPr>
                      <a:picLocks noChangeAspect="1" noChangeArrowheads="1"/>
                    </pic:cNvPicPr>
                  </pic:nvPicPr>
                  <pic:blipFill>
                    <a:blip r:embed="rId14"/>
                    <a:srcRect/>
                    <a:stretch>
                      <a:fillRect/>
                    </a:stretch>
                  </pic:blipFill>
                  <pic:spPr>
                    <a:xfrm>
                      <a:off x="0" y="0"/>
                      <a:ext cx="1143000" cy="1066800"/>
                    </a:xfrm>
                    <a:prstGeom prst="rect">
                      <a:avLst/>
                    </a:prstGeom>
                    <a:noFill/>
                    <a:ln w="9525">
                      <a:noFill/>
                      <a:miter lim="800000"/>
                      <a:headEnd/>
                      <a:tailEnd/>
                    </a:ln>
                  </pic:spPr>
                </pic:pic>
              </a:graphicData>
            </a:graphic>
          </wp:anchor>
        </w:drawing>
      </w:r>
      <w:r>
        <w:rPr>
          <w:b/>
          <w:sz w:val="36"/>
          <w:szCs w:val="36"/>
        </w:rPr>
        <w:t>税务行政许可申请表</w:t>
      </w:r>
    </w:p>
    <w:p>
      <w:pPr>
        <w:ind w:firstLine="460"/>
        <w:rPr>
          <w:rFonts w:hint="default" w:ascii="宋体" w:hAnsi="宋体"/>
          <w:sz w:val="23"/>
          <w:szCs w:val="23"/>
        </w:rPr>
      </w:pPr>
      <w:r>
        <w:rPr>
          <w:rFonts w:ascii="宋体" w:hAnsi="宋体"/>
          <w:sz w:val="23"/>
          <w:szCs w:val="23"/>
        </w:rPr>
        <w:t>申请日期：</w:t>
      </w:r>
      <w:r>
        <w:rPr>
          <w:rFonts w:ascii="宋体" w:hAnsi="宋体"/>
          <w:b/>
          <w:color w:val="0000FF"/>
          <w:sz w:val="23"/>
          <w:szCs w:val="23"/>
        </w:rPr>
        <w:t>XXXX</w:t>
      </w:r>
      <w:r>
        <w:rPr>
          <w:rFonts w:ascii="宋体" w:hAnsi="宋体"/>
          <w:sz w:val="23"/>
          <w:szCs w:val="23"/>
        </w:rPr>
        <w:t>年</w:t>
      </w:r>
      <w:r>
        <w:rPr>
          <w:rFonts w:ascii="宋体" w:hAnsi="宋体"/>
          <w:b/>
          <w:color w:val="0000FF"/>
          <w:sz w:val="23"/>
          <w:szCs w:val="23"/>
        </w:rPr>
        <w:t>XX</w:t>
      </w:r>
      <w:r>
        <w:rPr>
          <w:rFonts w:ascii="宋体" w:hAnsi="宋体"/>
          <w:sz w:val="23"/>
          <w:szCs w:val="23"/>
        </w:rPr>
        <w:t>月</w:t>
      </w:r>
      <w:r>
        <w:rPr>
          <w:rFonts w:ascii="宋体" w:hAnsi="宋体"/>
          <w:b/>
          <w:color w:val="0000FF"/>
          <w:sz w:val="23"/>
          <w:szCs w:val="23"/>
        </w:rPr>
        <w:t>XX</w:t>
      </w:r>
      <w:r>
        <w:rPr>
          <w:rFonts w:ascii="宋体" w:hAnsi="宋体"/>
          <w:sz w:val="23"/>
          <w:szCs w:val="23"/>
        </w:rPr>
        <w:t>日</w:t>
      </w:r>
    </w:p>
    <w:tbl>
      <w:tblPr>
        <w:tblStyle w:val="18"/>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819"/>
        <w:gridCol w:w="1655"/>
        <w:gridCol w:w="1655"/>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77" w:type="dxa"/>
            <w:vMerge w:val="restart"/>
            <w:vAlign w:val="center"/>
          </w:tcPr>
          <w:p>
            <w:pPr>
              <w:ind w:firstLine="0" w:firstLineChars="0"/>
              <w:jc w:val="center"/>
              <w:rPr>
                <w:rFonts w:hint="default" w:ascii="宋体" w:hAnsi="宋体"/>
                <w:sz w:val="23"/>
                <w:szCs w:val="23"/>
              </w:rPr>
            </w:pPr>
            <w:r>
              <w:rPr>
                <w:rFonts w:ascii="宋体" w:hAnsi="宋体"/>
                <w:sz w:val="23"/>
                <w:szCs w:val="23"/>
              </w:rPr>
              <w:t>申</w:t>
            </w:r>
          </w:p>
          <w:p>
            <w:pPr>
              <w:ind w:firstLine="0" w:firstLineChars="0"/>
              <w:jc w:val="center"/>
              <w:rPr>
                <w:rFonts w:hint="default" w:ascii="宋体" w:hAnsi="宋体"/>
                <w:sz w:val="23"/>
                <w:szCs w:val="23"/>
              </w:rPr>
            </w:pPr>
            <w:r>
              <w:rPr>
                <w:rFonts w:ascii="宋体" w:hAnsi="宋体"/>
                <w:sz w:val="23"/>
                <w:szCs w:val="23"/>
              </w:rPr>
              <w:t>请</w:t>
            </w:r>
          </w:p>
          <w:p>
            <w:pPr>
              <w:ind w:firstLine="0" w:firstLineChars="0"/>
              <w:jc w:val="center"/>
              <w:rPr>
                <w:rFonts w:hint="default" w:ascii="宋体" w:hAnsi="宋体"/>
                <w:sz w:val="23"/>
                <w:szCs w:val="23"/>
              </w:rPr>
            </w:pPr>
            <w:r>
              <w:rPr>
                <w:rFonts w:ascii="宋体" w:hAnsi="宋体"/>
                <w:sz w:val="23"/>
                <w:szCs w:val="23"/>
              </w:rPr>
              <w:t>人</w:t>
            </w:r>
          </w:p>
        </w:tc>
        <w:tc>
          <w:tcPr>
            <w:tcW w:w="1819" w:type="dxa"/>
            <w:vAlign w:val="center"/>
          </w:tcPr>
          <w:p>
            <w:pPr>
              <w:ind w:firstLine="0" w:firstLineChars="0"/>
              <w:jc w:val="center"/>
              <w:rPr>
                <w:rFonts w:hint="default" w:ascii="宋体" w:hAnsi="宋体"/>
                <w:sz w:val="23"/>
                <w:szCs w:val="23"/>
              </w:rPr>
            </w:pPr>
            <w:r>
              <w:rPr>
                <w:rFonts w:ascii="宋体" w:hAnsi="宋体"/>
                <w:sz w:val="23"/>
                <w:szCs w:val="23"/>
              </w:rPr>
              <w:t>申请人名称</w:t>
            </w:r>
          </w:p>
        </w:tc>
        <w:tc>
          <w:tcPr>
            <w:tcW w:w="6288" w:type="dxa"/>
            <w:gridSpan w:val="3"/>
            <w:vAlign w:val="center"/>
          </w:tcPr>
          <w:p>
            <w:pPr>
              <w:ind w:firstLine="0" w:firstLineChars="0"/>
              <w:jc w:val="center"/>
              <w:rPr>
                <w:rFonts w:hint="default" w:ascii="宋体" w:hAnsi="宋体"/>
                <w:sz w:val="23"/>
                <w:szCs w:val="23"/>
              </w:rPr>
            </w:pPr>
            <w:r>
              <w:rPr>
                <w:rFonts w:ascii="宋体" w:hAnsi="宋体"/>
                <w:b/>
                <w:bCs/>
                <w:color w:val="0000FF"/>
                <w:sz w:val="21"/>
              </w:rPr>
              <w:t>XX</w:t>
            </w:r>
            <w:r>
              <w:rPr>
                <w:rFonts w:hint="default" w:ascii="宋体" w:hAnsi="宋体"/>
                <w:b/>
                <w:bCs/>
                <w:color w:val="0000FF"/>
                <w:sz w:val="21"/>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77" w:type="dxa"/>
            <w:vMerge w:val="continue"/>
            <w:vAlign w:val="center"/>
          </w:tcPr>
          <w:p>
            <w:pPr>
              <w:ind w:firstLine="0" w:firstLineChars="0"/>
              <w:jc w:val="center"/>
              <w:rPr>
                <w:rFonts w:hint="default" w:ascii="宋体" w:hAnsi="宋体"/>
                <w:sz w:val="23"/>
                <w:szCs w:val="23"/>
              </w:rPr>
            </w:pPr>
          </w:p>
        </w:tc>
        <w:tc>
          <w:tcPr>
            <w:tcW w:w="1819" w:type="dxa"/>
            <w:vAlign w:val="center"/>
          </w:tcPr>
          <w:p>
            <w:pPr>
              <w:spacing w:line="400" w:lineRule="exact"/>
              <w:ind w:firstLine="0" w:firstLineChars="0"/>
              <w:jc w:val="center"/>
              <w:rPr>
                <w:rFonts w:hint="default" w:ascii="宋体" w:hAnsi="宋体"/>
                <w:sz w:val="23"/>
                <w:szCs w:val="23"/>
              </w:rPr>
            </w:pPr>
            <w:r>
              <w:rPr>
                <w:rFonts w:ascii="宋体" w:hAnsi="宋体"/>
                <w:sz w:val="23"/>
                <w:szCs w:val="23"/>
              </w:rPr>
              <w:t>统一社会信用代码（纳税人识别号）</w:t>
            </w:r>
          </w:p>
        </w:tc>
        <w:tc>
          <w:tcPr>
            <w:tcW w:w="6288" w:type="dxa"/>
            <w:gridSpan w:val="3"/>
            <w:vAlign w:val="center"/>
          </w:tcPr>
          <w:p>
            <w:pPr>
              <w:ind w:firstLine="0" w:firstLineChars="0"/>
              <w:jc w:val="center"/>
              <w:rPr>
                <w:rFonts w:hint="default" w:ascii="宋体" w:hAnsi="宋体"/>
                <w:color w:val="0000FF"/>
                <w:sz w:val="23"/>
                <w:szCs w:val="23"/>
              </w:rPr>
            </w:pPr>
            <w:r>
              <w:rPr>
                <w:rFonts w:ascii="宋体" w:hAnsi="宋体"/>
                <w:b/>
                <w:color w:val="0000FF"/>
                <w:sz w:val="23"/>
                <w:szCs w:val="23"/>
              </w:rPr>
              <w:t>XXXXXXXXXXXXXXXXXX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7" w:type="dxa"/>
            <w:vMerge w:val="continue"/>
            <w:vAlign w:val="center"/>
          </w:tcPr>
          <w:p>
            <w:pPr>
              <w:ind w:firstLine="0" w:firstLineChars="0"/>
              <w:jc w:val="center"/>
              <w:rPr>
                <w:rFonts w:hint="default" w:ascii="宋体" w:hAnsi="宋体"/>
                <w:sz w:val="23"/>
                <w:szCs w:val="23"/>
              </w:rPr>
            </w:pPr>
          </w:p>
        </w:tc>
        <w:tc>
          <w:tcPr>
            <w:tcW w:w="1819" w:type="dxa"/>
            <w:vAlign w:val="center"/>
          </w:tcPr>
          <w:p>
            <w:pPr>
              <w:ind w:firstLine="0" w:firstLineChars="0"/>
              <w:jc w:val="center"/>
              <w:rPr>
                <w:rFonts w:hint="default" w:ascii="宋体" w:hAnsi="宋体"/>
                <w:sz w:val="23"/>
                <w:szCs w:val="23"/>
              </w:rPr>
            </w:pPr>
            <w:r>
              <w:rPr>
                <w:rFonts w:ascii="宋体" w:hAnsi="宋体"/>
                <w:sz w:val="23"/>
                <w:szCs w:val="23"/>
              </w:rPr>
              <w:t>法定代表人</w:t>
            </w:r>
          </w:p>
          <w:p>
            <w:pPr>
              <w:ind w:firstLine="0" w:firstLineChars="0"/>
              <w:jc w:val="center"/>
              <w:rPr>
                <w:rFonts w:hint="default" w:ascii="宋体" w:hAnsi="宋体"/>
                <w:sz w:val="23"/>
                <w:szCs w:val="23"/>
              </w:rPr>
            </w:pPr>
            <w:r>
              <w:rPr>
                <w:rFonts w:ascii="宋体" w:hAnsi="宋体"/>
                <w:sz w:val="23"/>
                <w:szCs w:val="23"/>
              </w:rPr>
              <w:t>（负责人）</w:t>
            </w:r>
          </w:p>
        </w:tc>
        <w:tc>
          <w:tcPr>
            <w:tcW w:w="6288" w:type="dxa"/>
            <w:gridSpan w:val="3"/>
            <w:vAlign w:val="center"/>
          </w:tcPr>
          <w:p>
            <w:pPr>
              <w:ind w:firstLine="0" w:firstLineChars="0"/>
              <w:jc w:val="center"/>
              <w:rPr>
                <w:rFonts w:hint="default" w:ascii="宋体" w:hAnsi="宋体"/>
                <w:b/>
                <w:color w:val="0000FF"/>
                <w:sz w:val="23"/>
                <w:szCs w:val="23"/>
              </w:rPr>
            </w:pPr>
            <w:r>
              <w:rPr>
                <w:rFonts w:ascii="宋体" w:hAnsi="宋体"/>
                <w:b/>
                <w:color w:val="0000FF"/>
                <w:sz w:val="23"/>
                <w:szCs w:val="23"/>
              </w:rPr>
              <w:t>某某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77" w:type="dxa"/>
            <w:vMerge w:val="continue"/>
            <w:vAlign w:val="center"/>
          </w:tcPr>
          <w:p>
            <w:pPr>
              <w:ind w:firstLine="0" w:firstLineChars="0"/>
              <w:jc w:val="center"/>
              <w:rPr>
                <w:rFonts w:hint="default" w:ascii="宋体" w:hAnsi="宋体"/>
                <w:sz w:val="23"/>
                <w:szCs w:val="23"/>
              </w:rPr>
            </w:pPr>
          </w:p>
        </w:tc>
        <w:tc>
          <w:tcPr>
            <w:tcW w:w="1819"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地址及邮政编码</w:t>
            </w:r>
          </w:p>
        </w:tc>
        <w:tc>
          <w:tcPr>
            <w:tcW w:w="6288" w:type="dxa"/>
            <w:gridSpan w:val="3"/>
            <w:vAlign w:val="center"/>
          </w:tcPr>
          <w:p>
            <w:pPr>
              <w:spacing w:line="500" w:lineRule="exact"/>
              <w:ind w:firstLine="0" w:firstLineChars="0"/>
              <w:jc w:val="center"/>
              <w:rPr>
                <w:rFonts w:hint="default" w:ascii="宋体" w:hAnsi="宋体"/>
                <w:b/>
                <w:color w:val="0000FF"/>
                <w:sz w:val="23"/>
                <w:szCs w:val="23"/>
              </w:rPr>
            </w:pPr>
            <w:r>
              <w:rPr>
                <w:rFonts w:ascii="宋体" w:hAnsi="宋体"/>
                <w:b/>
                <w:color w:val="0000FF"/>
                <w:sz w:val="23"/>
                <w:szCs w:val="23"/>
              </w:rPr>
              <w:t>XX省XX市XX区（县）XX路XX号XXXXXX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77" w:type="dxa"/>
            <w:vMerge w:val="continue"/>
            <w:vAlign w:val="center"/>
          </w:tcPr>
          <w:p>
            <w:pPr>
              <w:ind w:firstLine="0" w:firstLineChars="0"/>
              <w:jc w:val="center"/>
              <w:rPr>
                <w:rFonts w:hint="default" w:ascii="宋体" w:hAnsi="宋体"/>
                <w:sz w:val="23"/>
                <w:szCs w:val="23"/>
              </w:rPr>
            </w:pPr>
          </w:p>
        </w:tc>
        <w:tc>
          <w:tcPr>
            <w:tcW w:w="1819"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经办人</w:t>
            </w:r>
          </w:p>
        </w:tc>
        <w:tc>
          <w:tcPr>
            <w:tcW w:w="1655" w:type="dxa"/>
            <w:vAlign w:val="center"/>
          </w:tcPr>
          <w:p>
            <w:pPr>
              <w:spacing w:line="500" w:lineRule="exact"/>
              <w:ind w:firstLine="0" w:firstLineChars="0"/>
              <w:jc w:val="center"/>
              <w:rPr>
                <w:rFonts w:hint="default" w:ascii="宋体" w:hAnsi="宋体"/>
                <w:b/>
                <w:color w:val="0000FF"/>
                <w:sz w:val="23"/>
                <w:szCs w:val="23"/>
              </w:rPr>
            </w:pPr>
            <w:r>
              <w:rPr>
                <w:rFonts w:ascii="宋体" w:hAnsi="宋体"/>
                <w:b/>
                <w:color w:val="0000FF"/>
                <w:sz w:val="23"/>
                <w:szCs w:val="23"/>
              </w:rPr>
              <w:t>XX</w:t>
            </w:r>
          </w:p>
        </w:tc>
        <w:tc>
          <w:tcPr>
            <w:tcW w:w="1655"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身份证件号码</w:t>
            </w:r>
          </w:p>
        </w:tc>
        <w:tc>
          <w:tcPr>
            <w:tcW w:w="2978" w:type="dxa"/>
            <w:vAlign w:val="center"/>
          </w:tcPr>
          <w:p>
            <w:pPr>
              <w:spacing w:line="500" w:lineRule="exact"/>
              <w:ind w:firstLine="0" w:firstLineChars="0"/>
              <w:jc w:val="center"/>
              <w:rPr>
                <w:rFonts w:hint="default" w:ascii="宋体" w:hAnsi="宋体"/>
                <w:b/>
                <w:color w:val="0000FF"/>
                <w:sz w:val="23"/>
                <w:szCs w:val="23"/>
              </w:rPr>
            </w:pPr>
            <w:r>
              <w:rPr>
                <w:rFonts w:ascii="宋体" w:hAnsi="宋体"/>
                <w:b/>
                <w:color w:val="0000FF"/>
                <w:sz w:val="23"/>
                <w:szCs w:val="23"/>
              </w:rPr>
              <w:t>X</w:t>
            </w:r>
            <w:r>
              <w:rPr>
                <w:rFonts w:hint="default" w:ascii="宋体" w:hAnsi="宋体"/>
                <w:b/>
                <w:color w:val="0000FF"/>
                <w:sz w:val="23"/>
                <w:szCs w:val="23"/>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77" w:type="dxa"/>
            <w:vMerge w:val="continue"/>
            <w:vAlign w:val="center"/>
          </w:tcPr>
          <w:p>
            <w:pPr>
              <w:ind w:firstLine="0" w:firstLineChars="0"/>
              <w:jc w:val="center"/>
              <w:rPr>
                <w:rFonts w:hint="default" w:ascii="宋体" w:hAnsi="宋体"/>
                <w:sz w:val="23"/>
                <w:szCs w:val="23"/>
              </w:rPr>
            </w:pPr>
          </w:p>
        </w:tc>
        <w:tc>
          <w:tcPr>
            <w:tcW w:w="1819"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联系电话</w:t>
            </w:r>
          </w:p>
        </w:tc>
        <w:tc>
          <w:tcPr>
            <w:tcW w:w="1655" w:type="dxa"/>
            <w:vAlign w:val="center"/>
          </w:tcPr>
          <w:p>
            <w:pPr>
              <w:spacing w:line="500" w:lineRule="exact"/>
              <w:ind w:firstLine="0" w:firstLineChars="0"/>
              <w:jc w:val="center"/>
              <w:rPr>
                <w:rFonts w:hint="default" w:ascii="宋体" w:hAnsi="宋体"/>
                <w:b/>
                <w:color w:val="0000FF"/>
                <w:sz w:val="21"/>
                <w:szCs w:val="21"/>
              </w:rPr>
            </w:pPr>
            <w:r>
              <w:rPr>
                <w:rFonts w:ascii="宋体" w:hAnsi="宋体"/>
                <w:b/>
                <w:color w:val="0000FF"/>
                <w:sz w:val="21"/>
                <w:szCs w:val="21"/>
              </w:rPr>
              <w:t>XXXX</w:t>
            </w:r>
          </w:p>
        </w:tc>
        <w:tc>
          <w:tcPr>
            <w:tcW w:w="1655"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联系地址</w:t>
            </w:r>
          </w:p>
        </w:tc>
        <w:tc>
          <w:tcPr>
            <w:tcW w:w="2978" w:type="dxa"/>
            <w:vAlign w:val="center"/>
          </w:tcPr>
          <w:p>
            <w:pPr>
              <w:spacing w:line="500" w:lineRule="exact"/>
              <w:ind w:firstLine="0" w:firstLineChars="0"/>
              <w:jc w:val="center"/>
              <w:rPr>
                <w:rFonts w:hint="default" w:ascii="宋体" w:hAnsi="宋体"/>
                <w:color w:val="0000FF"/>
                <w:sz w:val="18"/>
                <w:szCs w:val="18"/>
              </w:rPr>
            </w:pPr>
            <w:r>
              <w:rPr>
                <w:rFonts w:ascii="宋体" w:hAnsi="宋体"/>
                <w:b/>
                <w:color w:val="0000FF"/>
                <w:sz w:val="18"/>
                <w:szCs w:val="18"/>
              </w:rPr>
              <w:t>XX省XX市XX区（县）XX路XX号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77" w:type="dxa"/>
            <w:vMerge w:val="continue"/>
            <w:vAlign w:val="center"/>
          </w:tcPr>
          <w:p>
            <w:pPr>
              <w:ind w:firstLine="0" w:firstLineChars="0"/>
              <w:jc w:val="center"/>
              <w:rPr>
                <w:rFonts w:hint="default" w:ascii="宋体" w:hAnsi="宋体"/>
                <w:sz w:val="23"/>
                <w:szCs w:val="23"/>
              </w:rPr>
            </w:pPr>
          </w:p>
        </w:tc>
        <w:tc>
          <w:tcPr>
            <w:tcW w:w="1819"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委托代理人</w:t>
            </w:r>
          </w:p>
        </w:tc>
        <w:tc>
          <w:tcPr>
            <w:tcW w:w="1655" w:type="dxa"/>
            <w:vAlign w:val="center"/>
          </w:tcPr>
          <w:p>
            <w:pPr>
              <w:spacing w:line="500" w:lineRule="exact"/>
              <w:ind w:firstLine="0" w:firstLineChars="0"/>
              <w:jc w:val="center"/>
              <w:rPr>
                <w:rFonts w:hint="default" w:ascii="宋体" w:hAnsi="宋体"/>
                <w:color w:val="0000FF"/>
                <w:sz w:val="23"/>
                <w:szCs w:val="23"/>
              </w:rPr>
            </w:pPr>
          </w:p>
        </w:tc>
        <w:tc>
          <w:tcPr>
            <w:tcW w:w="1655"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身份证件号码</w:t>
            </w:r>
          </w:p>
        </w:tc>
        <w:tc>
          <w:tcPr>
            <w:tcW w:w="2978" w:type="dxa"/>
            <w:vAlign w:val="center"/>
          </w:tcPr>
          <w:p>
            <w:pPr>
              <w:spacing w:line="500" w:lineRule="exact"/>
              <w:ind w:firstLine="0" w:firstLineChars="0"/>
              <w:jc w:val="center"/>
              <w:rPr>
                <w:rFonts w:hint="default" w:ascii="宋体" w:hAnsi="宋体"/>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77" w:type="dxa"/>
            <w:vMerge w:val="continue"/>
            <w:vAlign w:val="center"/>
          </w:tcPr>
          <w:p>
            <w:pPr>
              <w:ind w:firstLine="0" w:firstLineChars="0"/>
              <w:jc w:val="center"/>
              <w:rPr>
                <w:rFonts w:hint="default" w:ascii="宋体" w:hAnsi="宋体"/>
                <w:sz w:val="23"/>
                <w:szCs w:val="23"/>
              </w:rPr>
            </w:pPr>
          </w:p>
        </w:tc>
        <w:tc>
          <w:tcPr>
            <w:tcW w:w="1819"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联系电话</w:t>
            </w:r>
          </w:p>
        </w:tc>
        <w:tc>
          <w:tcPr>
            <w:tcW w:w="1655" w:type="dxa"/>
            <w:vAlign w:val="center"/>
          </w:tcPr>
          <w:p>
            <w:pPr>
              <w:spacing w:line="500" w:lineRule="exact"/>
              <w:ind w:firstLine="0" w:firstLineChars="0"/>
              <w:jc w:val="center"/>
              <w:rPr>
                <w:rFonts w:hint="default" w:ascii="宋体" w:hAnsi="宋体"/>
                <w:color w:val="0000FF"/>
                <w:sz w:val="23"/>
                <w:szCs w:val="23"/>
              </w:rPr>
            </w:pPr>
          </w:p>
        </w:tc>
        <w:tc>
          <w:tcPr>
            <w:tcW w:w="1655" w:type="dxa"/>
            <w:vAlign w:val="center"/>
          </w:tcPr>
          <w:p>
            <w:pPr>
              <w:spacing w:line="500" w:lineRule="exact"/>
              <w:ind w:firstLine="0" w:firstLineChars="0"/>
              <w:jc w:val="center"/>
              <w:rPr>
                <w:rFonts w:hint="default" w:ascii="宋体" w:hAnsi="宋体"/>
                <w:sz w:val="23"/>
                <w:szCs w:val="23"/>
              </w:rPr>
            </w:pPr>
            <w:r>
              <w:rPr>
                <w:rFonts w:ascii="宋体" w:hAnsi="宋体"/>
                <w:sz w:val="23"/>
                <w:szCs w:val="23"/>
              </w:rPr>
              <w:t>联系地址</w:t>
            </w:r>
          </w:p>
        </w:tc>
        <w:tc>
          <w:tcPr>
            <w:tcW w:w="2978" w:type="dxa"/>
            <w:vAlign w:val="center"/>
          </w:tcPr>
          <w:p>
            <w:pPr>
              <w:spacing w:line="500" w:lineRule="exact"/>
              <w:ind w:firstLine="0" w:firstLineChars="0"/>
              <w:jc w:val="center"/>
              <w:rPr>
                <w:rFonts w:hint="default" w:ascii="宋体" w:hAnsi="宋体"/>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577" w:type="dxa"/>
            <w:vAlign w:val="center"/>
          </w:tcPr>
          <w:p>
            <w:pPr>
              <w:ind w:firstLine="0" w:firstLineChars="0"/>
              <w:jc w:val="center"/>
              <w:rPr>
                <w:rFonts w:hint="default" w:ascii="宋体" w:hAnsi="宋体"/>
                <w:sz w:val="23"/>
                <w:szCs w:val="23"/>
              </w:rPr>
            </w:pPr>
          </w:p>
          <w:p>
            <w:pPr>
              <w:ind w:firstLine="0" w:firstLineChars="0"/>
              <w:jc w:val="center"/>
              <w:rPr>
                <w:rFonts w:hint="default" w:ascii="宋体" w:hAnsi="宋体"/>
                <w:sz w:val="23"/>
                <w:szCs w:val="23"/>
              </w:rPr>
            </w:pPr>
            <w:r>
              <w:rPr>
                <w:rFonts w:ascii="宋体" w:hAnsi="宋体"/>
                <w:sz w:val="23"/>
                <w:szCs w:val="23"/>
              </w:rPr>
              <w:t>申</w:t>
            </w:r>
          </w:p>
          <w:p>
            <w:pPr>
              <w:ind w:firstLine="0" w:firstLineChars="0"/>
              <w:jc w:val="center"/>
              <w:rPr>
                <w:rFonts w:hint="default" w:ascii="宋体" w:hAnsi="宋体"/>
                <w:sz w:val="23"/>
                <w:szCs w:val="23"/>
              </w:rPr>
            </w:pPr>
            <w:r>
              <w:rPr>
                <w:rFonts w:ascii="宋体" w:hAnsi="宋体"/>
                <w:sz w:val="23"/>
                <w:szCs w:val="23"/>
              </w:rPr>
              <w:t>请</w:t>
            </w:r>
          </w:p>
          <w:p>
            <w:pPr>
              <w:ind w:firstLine="0" w:firstLineChars="0"/>
              <w:jc w:val="center"/>
              <w:rPr>
                <w:rFonts w:hint="default" w:ascii="宋体" w:hAnsi="宋体"/>
                <w:sz w:val="23"/>
                <w:szCs w:val="23"/>
              </w:rPr>
            </w:pPr>
            <w:r>
              <w:rPr>
                <w:rFonts w:ascii="宋体" w:hAnsi="宋体"/>
                <w:sz w:val="23"/>
                <w:szCs w:val="23"/>
              </w:rPr>
              <w:t>事</w:t>
            </w:r>
          </w:p>
          <w:p>
            <w:pPr>
              <w:ind w:firstLine="0" w:firstLineChars="0"/>
              <w:jc w:val="center"/>
              <w:rPr>
                <w:rFonts w:hint="default" w:ascii="宋体" w:hAnsi="宋体"/>
                <w:sz w:val="23"/>
                <w:szCs w:val="23"/>
              </w:rPr>
            </w:pPr>
            <w:r>
              <w:rPr>
                <w:rFonts w:ascii="宋体" w:hAnsi="宋体"/>
                <w:sz w:val="23"/>
                <w:szCs w:val="23"/>
              </w:rPr>
              <w:t>项</w:t>
            </w:r>
          </w:p>
        </w:tc>
        <w:tc>
          <w:tcPr>
            <w:tcW w:w="8107" w:type="dxa"/>
            <w:gridSpan w:val="4"/>
            <w:vAlign w:val="center"/>
          </w:tcPr>
          <w:p>
            <w:pPr>
              <w:spacing w:line="400" w:lineRule="exact"/>
              <w:ind w:firstLine="0" w:firstLineChars="0"/>
              <w:rPr>
                <w:rFonts w:hint="default" w:ascii="宋体" w:hAnsi="宋体"/>
                <w:sz w:val="23"/>
                <w:szCs w:val="23"/>
              </w:rPr>
            </w:pPr>
            <w:r>
              <w:rPr>
                <w:rFonts w:ascii="宋体" w:hAnsi="宋体"/>
                <w:sz w:val="23"/>
                <w:szCs w:val="23"/>
              </w:rPr>
              <w:t>□企业印制发票审批</w:t>
            </w:r>
          </w:p>
          <w:p>
            <w:pPr>
              <w:spacing w:line="400" w:lineRule="exact"/>
              <w:ind w:firstLine="0" w:firstLineChars="0"/>
              <w:rPr>
                <w:rFonts w:hint="default" w:ascii="宋体" w:hAnsi="宋体"/>
                <w:sz w:val="23"/>
                <w:szCs w:val="23"/>
              </w:rPr>
            </w:pPr>
            <w:r>
              <w:rPr>
                <w:rFonts w:ascii="宋体" w:hAnsi="宋体"/>
                <w:sz w:val="23"/>
                <w:szCs w:val="23"/>
              </w:rPr>
              <w:t>□对纳税人延期申报的核准</w:t>
            </w:r>
          </w:p>
          <w:p>
            <w:pPr>
              <w:spacing w:line="400" w:lineRule="exact"/>
              <w:ind w:firstLine="0" w:firstLineChars="0"/>
              <w:rPr>
                <w:rFonts w:hint="default" w:ascii="宋体" w:hAnsi="宋体"/>
                <w:sz w:val="23"/>
                <w:szCs w:val="23"/>
              </w:rPr>
            </w:pPr>
            <w:r>
              <w:rPr>
                <w:rFonts w:ascii="宋体" w:hAnsi="宋体"/>
                <w:sz w:val="23"/>
                <w:szCs w:val="23"/>
              </w:rPr>
              <w:t>□对纳税人延期缴纳税款的核准</w:t>
            </w:r>
          </w:p>
          <w:p>
            <w:pPr>
              <w:spacing w:line="400" w:lineRule="exact"/>
              <w:ind w:firstLine="0" w:firstLineChars="0"/>
              <w:rPr>
                <w:rFonts w:hint="default" w:ascii="宋体" w:hAnsi="宋体"/>
                <w:sz w:val="23"/>
                <w:szCs w:val="23"/>
              </w:rPr>
            </w:pPr>
            <w:r>
              <w:rPr>
                <w:rFonts w:ascii="宋体" w:hAnsi="宋体"/>
                <w:sz w:val="23"/>
                <w:szCs w:val="23"/>
              </w:rPr>
              <w:t>□增值税专用发票（增值税税控系统）最高开票限额审批</w:t>
            </w:r>
          </w:p>
          <w:p>
            <w:pPr>
              <w:spacing w:line="400" w:lineRule="exact"/>
              <w:ind w:firstLine="0" w:firstLineChars="0"/>
              <w:rPr>
                <w:rFonts w:hint="default" w:ascii="宋体" w:hAnsi="宋体"/>
                <w:sz w:val="23"/>
                <w:szCs w:val="23"/>
              </w:rPr>
            </w:pPr>
            <w:r>
              <w:rPr>
                <w:rFonts w:ascii="宋体" w:hAnsi="宋体"/>
                <w:sz w:val="23"/>
                <w:szCs w:val="23"/>
              </w:rPr>
              <w:t>□对纳税人变更纳税定额的核准</w:t>
            </w:r>
          </w:p>
          <w:p>
            <w:pPr>
              <w:spacing w:line="400" w:lineRule="exact"/>
              <w:ind w:firstLine="0" w:firstLineChars="0"/>
              <w:rPr>
                <w:rFonts w:hint="default" w:ascii="宋体" w:hAnsi="宋体"/>
                <w:sz w:val="23"/>
                <w:szCs w:val="23"/>
              </w:rPr>
            </w:pPr>
            <w:r>
              <w:rPr>
                <w:rFonts w:ascii="宋体" w:hAnsi="宋体"/>
                <w:b/>
                <w:bCs/>
                <w:color w:val="0000FF"/>
                <w:sz w:val="23"/>
                <w:szCs w:val="23"/>
              </w:rPr>
              <w:sym w:font="Wingdings 2" w:char="0052"/>
            </w:r>
            <w:r>
              <w:rPr>
                <w:rFonts w:ascii="宋体" w:hAnsi="宋体"/>
                <w:sz w:val="23"/>
                <w:szCs w:val="23"/>
              </w:rPr>
              <w:t>对采取实际利润额预缴以外的其他企业所得税预缴方式的核定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577" w:type="dxa"/>
            <w:vAlign w:val="center"/>
          </w:tcPr>
          <w:p>
            <w:pPr>
              <w:ind w:firstLine="0" w:firstLineChars="0"/>
              <w:jc w:val="center"/>
              <w:rPr>
                <w:rFonts w:hint="default" w:ascii="宋体" w:hAnsi="宋体"/>
                <w:sz w:val="23"/>
                <w:szCs w:val="23"/>
              </w:rPr>
            </w:pPr>
            <w:r>
              <w:rPr>
                <w:rFonts w:ascii="宋体" w:hAnsi="宋体"/>
                <w:sz w:val="23"/>
                <w:szCs w:val="23"/>
              </w:rPr>
              <w:t>申请材料</w:t>
            </w:r>
          </w:p>
        </w:tc>
        <w:tc>
          <w:tcPr>
            <w:tcW w:w="8107" w:type="dxa"/>
            <w:gridSpan w:val="4"/>
            <w:vAlign w:val="center"/>
          </w:tcPr>
          <w:p>
            <w:pPr>
              <w:spacing w:line="360" w:lineRule="exact"/>
              <w:ind w:firstLine="0" w:firstLineChars="0"/>
              <w:rPr>
                <w:rFonts w:hint="default" w:ascii="宋体" w:hAnsi="宋体"/>
                <w:b/>
                <w:sz w:val="23"/>
                <w:szCs w:val="23"/>
              </w:rPr>
            </w:pPr>
            <w:r>
              <w:rPr>
                <w:rFonts w:ascii="宋体" w:hAnsi="宋体"/>
                <w:b/>
                <w:sz w:val="23"/>
                <w:szCs w:val="23"/>
              </w:rPr>
              <w:t>除提供经办人身份证件（□）外，应根据申请事项提供以下相应材料：</w:t>
            </w:r>
          </w:p>
          <w:p>
            <w:pPr>
              <w:ind w:firstLine="0" w:firstLineChars="0"/>
              <w:rPr>
                <w:rFonts w:hint="default" w:ascii="宋体" w:hAnsi="宋体"/>
                <w:b/>
                <w:sz w:val="23"/>
                <w:szCs w:val="23"/>
              </w:rPr>
            </w:pPr>
            <w:r>
              <w:rPr>
                <w:rFonts w:ascii="宋体" w:hAnsi="宋体"/>
                <w:b/>
                <w:sz w:val="23"/>
                <w:szCs w:val="23"/>
              </w:rPr>
              <w:t>一、企业印制发票审批</w:t>
            </w:r>
          </w:p>
          <w:p>
            <w:pPr>
              <w:spacing w:line="400" w:lineRule="exact"/>
              <w:ind w:firstLine="0" w:firstLineChars="0"/>
              <w:rPr>
                <w:rFonts w:hint="default" w:ascii="宋体" w:hAnsi="宋体"/>
                <w:sz w:val="23"/>
                <w:szCs w:val="23"/>
              </w:rPr>
            </w:pPr>
            <w:r>
              <w:rPr>
                <w:rFonts w:ascii="宋体" w:hAnsi="宋体"/>
                <w:sz w:val="23"/>
                <w:szCs w:val="23"/>
              </w:rPr>
              <w:t>□1.《印刷经营许可证》或《其他印刷品印制许可证》</w:t>
            </w:r>
          </w:p>
          <w:p>
            <w:pPr>
              <w:spacing w:line="400" w:lineRule="exact"/>
              <w:ind w:firstLine="0" w:firstLineChars="0"/>
              <w:rPr>
                <w:rFonts w:hint="default" w:ascii="宋体" w:hAnsi="宋体"/>
                <w:sz w:val="23"/>
                <w:szCs w:val="23"/>
              </w:rPr>
            </w:pPr>
            <w:r>
              <w:rPr>
                <w:rFonts w:ascii="宋体" w:hAnsi="宋体"/>
                <w:sz w:val="23"/>
                <w:szCs w:val="23"/>
              </w:rPr>
              <w:t>□2.生产设备、生产流程及安全管理制度</w:t>
            </w:r>
          </w:p>
          <w:p>
            <w:pPr>
              <w:spacing w:line="400" w:lineRule="exact"/>
              <w:ind w:firstLine="0" w:firstLineChars="0"/>
              <w:rPr>
                <w:rFonts w:hint="default" w:ascii="宋体" w:hAnsi="宋体"/>
                <w:sz w:val="23"/>
                <w:szCs w:val="23"/>
              </w:rPr>
            </w:pPr>
            <w:r>
              <w:rPr>
                <w:rFonts w:ascii="宋体" w:hAnsi="宋体"/>
                <w:sz w:val="23"/>
                <w:szCs w:val="23"/>
              </w:rPr>
              <w:t>□3.生产工艺及产品检验制度</w:t>
            </w:r>
          </w:p>
          <w:p>
            <w:pPr>
              <w:spacing w:line="400" w:lineRule="exact"/>
              <w:ind w:firstLine="0" w:firstLineChars="0"/>
              <w:rPr>
                <w:rFonts w:hint="default" w:ascii="宋体" w:hAnsi="宋体"/>
                <w:sz w:val="23"/>
                <w:szCs w:val="23"/>
              </w:rPr>
            </w:pPr>
            <w:r>
              <w:rPr>
                <w:rFonts w:ascii="宋体" w:hAnsi="宋体"/>
                <w:sz w:val="23"/>
                <w:szCs w:val="23"/>
              </w:rPr>
              <w:t>□4.保存、运输及交付相关制度</w:t>
            </w:r>
          </w:p>
          <w:p>
            <w:pPr>
              <w:spacing w:line="400" w:lineRule="exact"/>
              <w:ind w:firstLine="0" w:firstLineChars="0"/>
              <w:rPr>
                <w:rFonts w:hint="default" w:ascii="宋体" w:hAnsi="宋体"/>
                <w:b/>
                <w:sz w:val="23"/>
                <w:szCs w:val="23"/>
              </w:rPr>
            </w:pPr>
            <w:r>
              <w:rPr>
                <w:rFonts w:ascii="宋体" w:hAnsi="宋体"/>
                <w:b/>
                <w:sz w:val="23"/>
                <w:szCs w:val="23"/>
              </w:rPr>
              <w:t>二、对纳税人延期缴纳税款的核准</w:t>
            </w:r>
          </w:p>
          <w:p>
            <w:pPr>
              <w:spacing w:line="400" w:lineRule="exact"/>
              <w:ind w:firstLine="0" w:firstLineChars="0"/>
              <w:rPr>
                <w:rFonts w:hint="default" w:ascii="宋体" w:hAnsi="宋体"/>
                <w:sz w:val="23"/>
                <w:szCs w:val="23"/>
              </w:rPr>
            </w:pPr>
            <w:r>
              <w:rPr>
                <w:rFonts w:ascii="宋体" w:hAnsi="宋体"/>
                <w:sz w:val="23"/>
                <w:szCs w:val="23"/>
              </w:rPr>
              <w:t>□1.《延期缴纳税款申请审批表》</w:t>
            </w:r>
          </w:p>
          <w:p>
            <w:pPr>
              <w:spacing w:line="400" w:lineRule="exact"/>
              <w:ind w:firstLine="0" w:firstLineChars="0"/>
              <w:rPr>
                <w:rFonts w:hint="default" w:ascii="宋体" w:hAnsi="宋体"/>
                <w:sz w:val="23"/>
                <w:szCs w:val="23"/>
              </w:rPr>
            </w:pPr>
            <w:r>
              <w:rPr>
                <w:rFonts w:ascii="宋体" w:hAnsi="宋体"/>
                <w:sz w:val="23"/>
                <w:szCs w:val="23"/>
              </w:rPr>
              <w:t>□2.纳税人申请延期缴纳税款报告（详细说明申请延期原因，人员工资、社会保险费支出情况，连续3个月缴纳税款情况。因不可抗力，导致纳税人发生较大损失，正常生产经营活动受到较大影响的，在报告中对不可抗力情况进行说明并承诺：“以上情况属实，特此承诺。”）</w:t>
            </w:r>
          </w:p>
          <w:p>
            <w:pPr>
              <w:spacing w:line="400" w:lineRule="exact"/>
              <w:ind w:firstLine="0" w:firstLineChars="0"/>
              <w:rPr>
                <w:rFonts w:hint="default" w:ascii="宋体" w:hAnsi="宋体"/>
                <w:sz w:val="23"/>
                <w:szCs w:val="23"/>
              </w:rPr>
            </w:pPr>
            <w:r>
              <w:rPr>
                <w:rFonts w:ascii="宋体" w:hAnsi="宋体"/>
                <w:sz w:val="23"/>
                <w:szCs w:val="23"/>
              </w:rPr>
              <w:t>□3.当期货币资金余额情况及所有银行存款账户的对账单</w:t>
            </w:r>
          </w:p>
          <w:p>
            <w:pPr>
              <w:spacing w:line="400" w:lineRule="exact"/>
              <w:ind w:firstLine="0" w:firstLineChars="0"/>
              <w:rPr>
                <w:rFonts w:hint="default" w:ascii="宋体" w:hAnsi="宋体"/>
                <w:sz w:val="23"/>
                <w:szCs w:val="23"/>
              </w:rPr>
            </w:pPr>
            <w:r>
              <w:rPr>
                <w:rFonts w:ascii="宋体" w:hAnsi="宋体"/>
                <w:sz w:val="23"/>
                <w:szCs w:val="23"/>
              </w:rPr>
              <w:t>□4.应付职工工资和社会保险费等省税务机关要求提供的支出预算</w:t>
            </w:r>
          </w:p>
          <w:p>
            <w:pPr>
              <w:spacing w:line="400" w:lineRule="exact"/>
              <w:ind w:firstLine="0" w:firstLineChars="0"/>
              <w:rPr>
                <w:rFonts w:hint="default" w:ascii="宋体" w:hAnsi="宋体"/>
                <w:sz w:val="23"/>
                <w:szCs w:val="23"/>
              </w:rPr>
            </w:pPr>
            <w:r>
              <w:rPr>
                <w:rFonts w:ascii="宋体" w:hAnsi="宋体"/>
                <w:sz w:val="23"/>
                <w:szCs w:val="23"/>
              </w:rPr>
              <w:t>□5.《资产负债表》</w:t>
            </w:r>
          </w:p>
          <w:p>
            <w:pPr>
              <w:ind w:firstLine="0" w:firstLineChars="0"/>
              <w:rPr>
                <w:rFonts w:hint="default" w:ascii="宋体" w:hAnsi="宋体"/>
                <w:b/>
                <w:sz w:val="23"/>
                <w:szCs w:val="23"/>
              </w:rPr>
            </w:pPr>
            <w:r>
              <w:rPr>
                <w:rFonts w:ascii="宋体" w:hAnsi="宋体"/>
                <w:b/>
                <w:sz w:val="23"/>
                <w:szCs w:val="23"/>
              </w:rPr>
              <w:t>三、对纳税人延期申报的核准</w:t>
            </w:r>
          </w:p>
          <w:p>
            <w:pPr>
              <w:spacing w:line="360" w:lineRule="exact"/>
              <w:ind w:firstLine="0" w:firstLineChars="0"/>
              <w:rPr>
                <w:rFonts w:hint="default" w:ascii="宋体" w:hAnsi="宋体"/>
                <w:sz w:val="23"/>
                <w:szCs w:val="23"/>
              </w:rPr>
            </w:pPr>
            <w:r>
              <w:rPr>
                <w:rFonts w:ascii="宋体" w:hAnsi="宋体"/>
                <w:sz w:val="23"/>
                <w:szCs w:val="23"/>
              </w:rPr>
              <w:t>□1.《延期申报申请核准表》</w:t>
            </w:r>
          </w:p>
          <w:p>
            <w:pPr>
              <w:spacing w:line="360" w:lineRule="exact"/>
              <w:ind w:firstLine="0" w:firstLineChars="0"/>
              <w:rPr>
                <w:rFonts w:hint="default" w:ascii="宋体" w:hAnsi="宋体"/>
                <w:sz w:val="23"/>
                <w:szCs w:val="23"/>
              </w:rPr>
            </w:pPr>
            <w:r>
              <w:rPr>
                <w:rFonts w:ascii="宋体" w:hAnsi="宋体"/>
                <w:sz w:val="23"/>
                <w:szCs w:val="23"/>
              </w:rPr>
              <w:t>□2.确有困难不能正常申报的情况说明</w:t>
            </w:r>
          </w:p>
          <w:p>
            <w:pPr>
              <w:ind w:firstLine="0" w:firstLineChars="0"/>
              <w:rPr>
                <w:rFonts w:hint="default" w:ascii="宋体" w:hAnsi="宋体"/>
                <w:b/>
                <w:sz w:val="23"/>
                <w:szCs w:val="23"/>
              </w:rPr>
            </w:pPr>
            <w:r>
              <w:rPr>
                <w:rFonts w:ascii="宋体" w:hAnsi="宋体"/>
                <w:b/>
                <w:sz w:val="23"/>
                <w:szCs w:val="23"/>
              </w:rPr>
              <w:t>四、对纳税人变更纳税定额的核准</w:t>
            </w:r>
          </w:p>
          <w:p>
            <w:pPr>
              <w:spacing w:line="360" w:lineRule="exact"/>
              <w:ind w:firstLine="0" w:firstLineChars="0"/>
              <w:rPr>
                <w:rFonts w:hint="default" w:ascii="宋体" w:hAnsi="宋体"/>
                <w:sz w:val="23"/>
                <w:szCs w:val="23"/>
              </w:rPr>
            </w:pPr>
            <w:r>
              <w:rPr>
                <w:rFonts w:ascii="宋体" w:hAnsi="宋体"/>
                <w:sz w:val="23"/>
                <w:szCs w:val="23"/>
              </w:rPr>
              <w:t>□申请变更纳税定额的相关证明材料</w:t>
            </w:r>
          </w:p>
          <w:p>
            <w:pPr>
              <w:spacing w:line="400" w:lineRule="exact"/>
              <w:ind w:firstLine="0" w:firstLineChars="0"/>
              <w:rPr>
                <w:rFonts w:hint="default" w:ascii="宋体" w:hAnsi="宋体"/>
                <w:b/>
                <w:sz w:val="23"/>
                <w:szCs w:val="23"/>
              </w:rPr>
            </w:pPr>
            <w:r>
              <w:rPr>
                <w:rFonts w:ascii="宋体" w:hAnsi="宋体"/>
                <w:b/>
                <w:sz w:val="23"/>
                <w:szCs w:val="23"/>
              </w:rPr>
              <w:t>五、增值税专用发票（增值税税控系统）最高开票限额审批</w:t>
            </w:r>
          </w:p>
          <w:p>
            <w:pPr>
              <w:spacing w:line="400" w:lineRule="exact"/>
              <w:ind w:firstLine="0" w:firstLineChars="0"/>
              <w:rPr>
                <w:rFonts w:hint="default" w:ascii="宋体" w:hAnsi="宋体"/>
                <w:sz w:val="23"/>
                <w:szCs w:val="23"/>
              </w:rPr>
            </w:pPr>
            <w:r>
              <w:rPr>
                <w:rFonts w:ascii="宋体" w:hAnsi="宋体"/>
                <w:sz w:val="23"/>
                <w:szCs w:val="23"/>
              </w:rPr>
              <w:t>□增值税专用发票最高开票限额申请单</w:t>
            </w:r>
          </w:p>
          <w:p>
            <w:pPr>
              <w:spacing w:line="400" w:lineRule="exact"/>
              <w:ind w:firstLine="0" w:firstLineChars="0"/>
              <w:rPr>
                <w:rFonts w:hint="default" w:ascii="宋体" w:hAnsi="宋体"/>
                <w:b/>
                <w:sz w:val="23"/>
                <w:szCs w:val="23"/>
              </w:rPr>
            </w:pPr>
            <w:r>
              <w:rPr>
                <w:rFonts w:ascii="宋体" w:hAnsi="宋体"/>
                <w:b/>
                <w:sz w:val="23"/>
                <w:szCs w:val="23"/>
              </w:rPr>
              <w:t>六、对采取实际利润额预缴以外的其他企业所得税预缴方式的核定</w:t>
            </w:r>
          </w:p>
          <w:p>
            <w:pPr>
              <w:spacing w:line="400" w:lineRule="exact"/>
              <w:ind w:firstLine="0" w:firstLineChars="0"/>
              <w:rPr>
                <w:rFonts w:hint="default" w:ascii="宋体" w:hAnsi="宋体"/>
                <w:sz w:val="23"/>
                <w:szCs w:val="23"/>
              </w:rPr>
            </w:pPr>
            <w:r>
              <w:rPr>
                <w:rFonts w:ascii="宋体" w:hAnsi="宋体"/>
                <w:b/>
                <w:bCs/>
                <w:color w:val="0000FF"/>
                <w:sz w:val="23"/>
                <w:szCs w:val="23"/>
              </w:rPr>
              <w:sym w:font="Wingdings 2" w:char="0052"/>
            </w:r>
            <w:r>
              <w:rPr>
                <w:rFonts w:ascii="宋体" w:hAnsi="宋体"/>
                <w:sz w:val="23"/>
                <w:szCs w:val="23"/>
              </w:rPr>
              <w:t>按照月度或者季度的实际利润额预缴确有困难的证明材料</w:t>
            </w:r>
          </w:p>
          <w:p>
            <w:pPr>
              <w:spacing w:line="360" w:lineRule="exact"/>
              <w:ind w:firstLine="0" w:firstLineChars="0"/>
              <w:rPr>
                <w:rFonts w:hint="default" w:ascii="宋体" w:hAnsi="宋体"/>
                <w:b/>
                <w:sz w:val="23"/>
                <w:szCs w:val="23"/>
              </w:rPr>
            </w:pPr>
          </w:p>
          <w:p>
            <w:pPr>
              <w:spacing w:line="360" w:lineRule="exact"/>
              <w:ind w:firstLine="0" w:firstLineChars="0"/>
              <w:rPr>
                <w:rFonts w:hint="default" w:ascii="宋体" w:hAnsi="宋体"/>
                <w:b/>
                <w:sz w:val="23"/>
                <w:szCs w:val="23"/>
              </w:rPr>
            </w:pPr>
            <w:r>
              <w:rPr>
                <w:rFonts w:ascii="宋体" w:hAnsi="宋体"/>
                <w:b/>
                <w:sz w:val="23"/>
                <w:szCs w:val="23"/>
              </w:rPr>
              <w:t>委托代理人提出申请的，还应当提供代理委托书（□）、代理人身份证件（□）。</w:t>
            </w:r>
          </w:p>
          <w:p>
            <w:pPr>
              <w:spacing w:line="360" w:lineRule="exact"/>
              <w:ind w:firstLine="0" w:firstLineChars="0"/>
              <w:rPr>
                <w:rFonts w:hint="default" w:ascii="宋体" w:hAnsi="宋体"/>
                <w:sz w:val="23"/>
                <w:szCs w:val="23"/>
              </w:rPr>
            </w:pPr>
          </w:p>
        </w:tc>
      </w:tr>
    </w:tbl>
    <w:p>
      <w:pPr>
        <w:ind w:firstLine="480"/>
        <w:rPr>
          <w:rFonts w:hint="default" w:hAnsi="Calibri"/>
        </w:rPr>
      </w:pPr>
      <w:r>
        <w:t xml:space="preserve">收件人：         收件日期： </w:t>
      </w:r>
      <w:r>
        <w:rPr>
          <w:rFonts w:hint="default"/>
        </w:rPr>
        <w:t xml:space="preserve">   </w:t>
      </w:r>
      <w:r>
        <w:t xml:space="preserve">年 </w:t>
      </w:r>
      <w:r>
        <w:rPr>
          <w:rFonts w:hint="default"/>
        </w:rPr>
        <w:t xml:space="preserve"> </w:t>
      </w:r>
      <w:r>
        <w:t>月</w:t>
      </w:r>
      <w:r>
        <w:rPr>
          <w:rFonts w:hint="default"/>
        </w:rPr>
        <w:t xml:space="preserve">  </w:t>
      </w:r>
      <w:r>
        <w:t>日      编号：</w:t>
      </w:r>
    </w:p>
    <w:p>
      <w:pPr>
        <w:adjustRightInd w:val="0"/>
        <w:snapToGrid w:val="0"/>
        <w:spacing w:line="360" w:lineRule="auto"/>
        <w:ind w:firstLine="480"/>
        <w:rPr>
          <w:rFonts w:hint="default" w:ascii="黑体" w:hAnsi="黑体" w:eastAsia="黑体" w:cs="Times New Roman"/>
          <w:bCs/>
        </w:rPr>
      </w:pPr>
      <w:r>
        <w:rPr>
          <w:rFonts w:ascii="黑体" w:hAnsi="黑体" w:eastAsia="黑体" w:cs="Times New Roman"/>
          <w:bCs/>
        </w:rPr>
        <w:t>【政策依据】</w:t>
      </w:r>
    </w:p>
    <w:tbl>
      <w:tblPr>
        <w:tblStyle w:val="1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414"/>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rPr>
                <w:rFonts w:ascii="黑体" w:hAnsi="黑体" w:eastAsia="黑体"/>
              </w:rPr>
            </w:pPr>
            <w:r>
              <w:rPr>
                <w:rFonts w:ascii="黑体" w:hAnsi="黑体" w:eastAsia="黑体"/>
              </w:rPr>
              <w:t>序号</w:t>
            </w:r>
          </w:p>
        </w:tc>
        <w:tc>
          <w:tcPr>
            <w:tcW w:w="5414" w:type="dxa"/>
            <w:vAlign w:val="center"/>
          </w:tcPr>
          <w:p>
            <w:pPr>
              <w:pStyle w:val="50"/>
              <w:adjustRightInd/>
              <w:snapToGrid/>
              <w:spacing w:line="276" w:lineRule="auto"/>
              <w:rPr>
                <w:rFonts w:ascii="黑体" w:hAnsi="黑体" w:eastAsia="黑体"/>
              </w:rPr>
            </w:pPr>
            <w:r>
              <w:rPr>
                <w:rFonts w:ascii="黑体" w:hAnsi="黑体" w:eastAsia="黑体"/>
              </w:rPr>
              <w:t>文件名称</w:t>
            </w:r>
          </w:p>
        </w:tc>
        <w:tc>
          <w:tcPr>
            <w:tcW w:w="1707" w:type="dxa"/>
            <w:vAlign w:val="center"/>
          </w:tcPr>
          <w:p>
            <w:pPr>
              <w:pStyle w:val="50"/>
              <w:adjustRightInd/>
              <w:snapToGrid/>
              <w:spacing w:line="276" w:lineRule="auto"/>
              <w:rPr>
                <w:rFonts w:ascii="黑体" w:hAnsi="黑体" w:eastAsia="黑体"/>
              </w:rPr>
            </w:pPr>
            <w:r>
              <w:rPr>
                <w:rFonts w:ascii="黑体" w:hAnsi="黑体" w:eastAsia="黑体"/>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1</w:t>
            </w:r>
          </w:p>
        </w:tc>
        <w:tc>
          <w:tcPr>
            <w:tcW w:w="5414" w:type="dxa"/>
            <w:vAlign w:val="center"/>
          </w:tcPr>
          <w:p>
            <w:pPr>
              <w:pStyle w:val="50"/>
              <w:adjustRightInd/>
              <w:snapToGrid/>
              <w:spacing w:line="276" w:lineRule="auto"/>
            </w:pPr>
            <w:r>
              <w:t>《中华人民共和国企业所得税法实施条例》</w:t>
            </w:r>
          </w:p>
        </w:tc>
        <w:tc>
          <w:tcPr>
            <w:tcW w:w="1707" w:type="dxa"/>
            <w:vAlign w:val="center"/>
          </w:tcPr>
          <w:p>
            <w:pPr>
              <w:pStyle w:val="50"/>
              <w:adjustRightInd/>
              <w:snapToGrid/>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2</w:t>
            </w:r>
          </w:p>
        </w:tc>
        <w:tc>
          <w:tcPr>
            <w:tcW w:w="5414" w:type="dxa"/>
            <w:vAlign w:val="center"/>
          </w:tcPr>
          <w:p>
            <w:pPr>
              <w:pStyle w:val="50"/>
              <w:adjustRightInd/>
              <w:snapToGrid/>
              <w:spacing w:line="276" w:lineRule="auto"/>
            </w:pPr>
            <w:r>
              <w:t>《国家税务总局关于税务行政许可若干问题的公告》（国家税务总局公告2016年第11号）</w:t>
            </w:r>
          </w:p>
        </w:tc>
        <w:tc>
          <w:tcPr>
            <w:tcW w:w="1707" w:type="dxa"/>
            <w:vAlign w:val="center"/>
          </w:tcPr>
          <w:p>
            <w:pPr>
              <w:pStyle w:val="50"/>
              <w:adjustRightInd/>
              <w:snapToGrid/>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3</w:t>
            </w:r>
          </w:p>
        </w:tc>
        <w:tc>
          <w:tcPr>
            <w:tcW w:w="5414" w:type="dxa"/>
            <w:vAlign w:val="center"/>
          </w:tcPr>
          <w:p>
            <w:pPr>
              <w:pStyle w:val="50"/>
              <w:adjustRightInd/>
              <w:snapToGrid/>
              <w:spacing w:line="276" w:lineRule="auto"/>
            </w:pPr>
            <w:r>
              <w:t>《国家税务总局关于简化税务行政许可事项办理程序的公告》（国家税务总局公告2017年第21号）</w:t>
            </w:r>
          </w:p>
        </w:tc>
        <w:tc>
          <w:tcPr>
            <w:tcW w:w="1707" w:type="dxa"/>
            <w:vAlign w:val="center"/>
          </w:tcPr>
          <w:p>
            <w:pPr>
              <w:pStyle w:val="50"/>
              <w:adjustRightInd/>
              <w:snapToGrid/>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4</w:t>
            </w:r>
          </w:p>
        </w:tc>
        <w:tc>
          <w:tcPr>
            <w:tcW w:w="5414" w:type="dxa"/>
            <w:vAlign w:val="center"/>
          </w:tcPr>
          <w:p>
            <w:pPr>
              <w:pStyle w:val="50"/>
              <w:adjustRightInd/>
              <w:snapToGrid/>
              <w:spacing w:line="276" w:lineRule="auto"/>
            </w:pPr>
            <w:r>
              <w:t>《国家税务总局关于公布已取消税务行政许可事项的公告》（国家税务总局公告2019年第11号）</w:t>
            </w:r>
          </w:p>
        </w:tc>
        <w:tc>
          <w:tcPr>
            <w:tcW w:w="1707" w:type="dxa"/>
            <w:vAlign w:val="center"/>
          </w:tcPr>
          <w:p>
            <w:pPr>
              <w:pStyle w:val="50"/>
              <w:adjustRightInd/>
              <w:snapToGrid/>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5</w:t>
            </w:r>
          </w:p>
        </w:tc>
        <w:tc>
          <w:tcPr>
            <w:tcW w:w="5414" w:type="dxa"/>
            <w:vAlign w:val="center"/>
          </w:tcPr>
          <w:p>
            <w:pPr>
              <w:pStyle w:val="50"/>
              <w:adjustRightInd/>
              <w:snapToGrid/>
              <w:spacing w:line="276" w:lineRule="auto"/>
            </w:pPr>
            <w:r>
              <w:t>《国家税务局总局关于印发&lt;企业所得税核定征收办法&gt;（试行）的通知》（国税发〔2008〕30号）</w:t>
            </w:r>
          </w:p>
        </w:tc>
        <w:tc>
          <w:tcPr>
            <w:tcW w:w="1707" w:type="dxa"/>
            <w:vAlign w:val="center"/>
          </w:tcPr>
          <w:p>
            <w:pPr>
              <w:pStyle w:val="50"/>
              <w:adjustRightInd/>
              <w:snapToGrid/>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6</w:t>
            </w:r>
          </w:p>
        </w:tc>
        <w:tc>
          <w:tcPr>
            <w:tcW w:w="5414" w:type="dxa"/>
            <w:vAlign w:val="center"/>
          </w:tcPr>
          <w:p>
            <w:pPr>
              <w:pStyle w:val="50"/>
              <w:adjustRightInd/>
              <w:snapToGrid/>
              <w:spacing w:line="276" w:lineRule="auto"/>
            </w:pPr>
            <w:r>
              <w:t>《国家税务总局关于规范行政审批行为改进行政审批有关工作的意见》（税总发〔2015〕142号）</w:t>
            </w:r>
          </w:p>
        </w:tc>
        <w:tc>
          <w:tcPr>
            <w:tcW w:w="1707" w:type="dxa"/>
            <w:vAlign w:val="center"/>
          </w:tcPr>
          <w:p>
            <w:pPr>
              <w:pStyle w:val="50"/>
              <w:adjustRightInd/>
              <w:snapToGrid/>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7</w:t>
            </w:r>
          </w:p>
        </w:tc>
        <w:tc>
          <w:tcPr>
            <w:tcW w:w="5414" w:type="dxa"/>
            <w:vAlign w:val="center"/>
          </w:tcPr>
          <w:p>
            <w:pPr>
              <w:pStyle w:val="50"/>
              <w:adjustRightInd/>
              <w:snapToGrid/>
              <w:spacing w:line="276" w:lineRule="auto"/>
            </w:pPr>
            <w:r>
              <w:t>《国家税务总局关于印发&lt;全国税务系统深化“放管服”改革五年工作方案（2018年—2022年）&gt;的通知》（税总发〔2018〕199号）</w:t>
            </w:r>
          </w:p>
        </w:tc>
        <w:tc>
          <w:tcPr>
            <w:tcW w:w="1707" w:type="dxa"/>
            <w:vAlign w:val="center"/>
          </w:tcPr>
          <w:p>
            <w:pPr>
              <w:pStyle w:val="50"/>
              <w:adjustRightInd/>
              <w:snapToGrid/>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pPr>
              <w:pStyle w:val="50"/>
              <w:adjustRightInd/>
              <w:snapToGrid/>
              <w:spacing w:line="276" w:lineRule="auto"/>
            </w:pPr>
            <w:r>
              <w:t>8</w:t>
            </w:r>
          </w:p>
        </w:tc>
        <w:tc>
          <w:tcPr>
            <w:tcW w:w="5414" w:type="dxa"/>
            <w:vAlign w:val="center"/>
          </w:tcPr>
          <w:p>
            <w:pPr>
              <w:pStyle w:val="50"/>
              <w:adjustRightInd/>
              <w:snapToGrid/>
              <w:spacing w:line="276" w:lineRule="auto"/>
            </w:pPr>
            <w:r>
              <w:t>《国家税务总局关于取消一批涉税事项和报送资料的通知》（税总函〔2017〕403号）</w:t>
            </w:r>
          </w:p>
        </w:tc>
        <w:tc>
          <w:tcPr>
            <w:tcW w:w="1707" w:type="dxa"/>
            <w:vAlign w:val="center"/>
          </w:tcPr>
          <w:p>
            <w:pPr>
              <w:pStyle w:val="50"/>
              <w:adjustRightInd/>
              <w:snapToGrid/>
              <w:spacing w:line="276" w:lineRule="auto"/>
            </w:pPr>
            <w:r>
              <w:t>主动公开</w:t>
            </w:r>
          </w:p>
        </w:tc>
      </w:tr>
      <w:bookmarkEnd w:id="68"/>
      <w:bookmarkEnd w:id="69"/>
      <w:bookmarkEnd w:id="70"/>
    </w:tbl>
    <w:p>
      <w:pPr>
        <w:pStyle w:val="29"/>
        <w:wordWrap w:val="0"/>
        <w:spacing w:before="936" w:after="468"/>
        <w:rPr>
          <w:color w:val="000000" w:themeColor="text1"/>
        </w:rPr>
      </w:pPr>
      <w:bookmarkStart w:id="92" w:name="_Toc18096127"/>
      <w:bookmarkStart w:id="93" w:name="_Toc20707"/>
      <w:bookmarkStart w:id="94" w:name="_Toc32130"/>
      <w:r>
        <w:rPr>
          <w:rFonts w:hint="eastAsia"/>
          <w:color w:val="000000" w:themeColor="text1"/>
        </w:rPr>
        <w:t>3.5　　个人所得税自行申报</w:t>
      </w:r>
      <w:bookmarkEnd w:id="92"/>
    </w:p>
    <w:p>
      <w:pPr>
        <w:wordWrap w:val="0"/>
        <w:spacing w:before="312" w:beforeLines="100" w:after="312" w:afterLines="100" w:line="360" w:lineRule="auto"/>
        <w:outlineLvl w:val="2"/>
        <w:rPr>
          <w:rFonts w:hint="default" w:eastAsia="黑体" w:cs="Times New Roman"/>
          <w:b/>
          <w:bCs/>
          <w:color w:val="000000" w:themeColor="text1"/>
          <w:kern w:val="24"/>
          <w:sz w:val="28"/>
          <w:szCs w:val="28"/>
        </w:rPr>
      </w:pPr>
      <w:bookmarkStart w:id="95" w:name="_Toc459987216"/>
      <w:bookmarkStart w:id="96" w:name="_Toc459387055"/>
      <w:bookmarkStart w:id="97" w:name="_Toc459388235"/>
      <w:bookmarkStart w:id="98" w:name="_Toc11671"/>
      <w:bookmarkStart w:id="99" w:name="_Toc11717"/>
      <w:bookmarkStart w:id="100" w:name="_Toc18096128"/>
      <w:r>
        <w:rPr>
          <w:rFonts w:eastAsia="黑体" w:cs="Times New Roman"/>
          <w:b/>
          <w:bCs/>
          <w:color w:val="000000" w:themeColor="text1"/>
          <w:kern w:val="24"/>
          <w:sz w:val="28"/>
          <w:szCs w:val="28"/>
        </w:rPr>
        <w:t>3.5.1—07</w:t>
      </w:r>
      <w:r>
        <w:rPr>
          <w:rFonts w:hint="default" w:eastAsia="黑体" w:cs="Times New Roman"/>
          <w:b/>
          <w:bCs/>
          <w:color w:val="000000" w:themeColor="text1"/>
          <w:kern w:val="24"/>
          <w:sz w:val="28"/>
          <w:szCs w:val="28"/>
        </w:rPr>
        <w:t>8</w:t>
      </w:r>
      <w:r>
        <w:rPr>
          <w:rFonts w:eastAsia="黑体" w:cs="Times New Roman"/>
          <w:b/>
          <w:bCs/>
          <w:color w:val="000000" w:themeColor="text1"/>
          <w:kern w:val="24"/>
          <w:sz w:val="28"/>
          <w:szCs w:val="28"/>
        </w:rPr>
        <w:t>　</w:t>
      </w:r>
      <w:bookmarkEnd w:id="95"/>
      <w:bookmarkEnd w:id="96"/>
      <w:bookmarkEnd w:id="97"/>
      <w:r>
        <w:rPr>
          <w:rFonts w:eastAsia="黑体" w:cs="Times New Roman"/>
          <w:b/>
          <w:bCs/>
          <w:color w:val="000000" w:themeColor="text1"/>
          <w:kern w:val="24"/>
          <w:sz w:val="28"/>
          <w:szCs w:val="28"/>
        </w:rPr>
        <w:t>　居民综合所得个人所得税年度自行申报</w:t>
      </w:r>
      <w:bookmarkEnd w:id="98"/>
      <w:bookmarkEnd w:id="99"/>
      <w:bookmarkEnd w:id="100"/>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居民综合所得个人所得税年度自行申报</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居民个人取得工资、薪金所得、劳务报酬所得、稿酬所得、特许权使用费所得等综合所得且符合下列情形之一的纳税人，应当在取得所得的次年</w:t>
      </w:r>
      <w:r>
        <w:rPr>
          <w:rFonts w:cs="Times New Roman"/>
          <w:color w:val="000000" w:themeColor="text1"/>
        </w:rPr>
        <w:t>3</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日至</w:t>
      </w:r>
      <w:r>
        <w:rPr>
          <w:rFonts w:cs="Times New Roman"/>
          <w:color w:val="000000" w:themeColor="text1"/>
        </w:rPr>
        <w:t>6</w:t>
      </w:r>
      <w:r>
        <w:rPr>
          <w:rFonts w:ascii="宋体" w:hAnsi="宋体" w:cs="Times New Roman"/>
          <w:color w:val="000000" w:themeColor="text1"/>
        </w:rPr>
        <w:t>月</w:t>
      </w:r>
      <w:r>
        <w:rPr>
          <w:rFonts w:cs="Times New Roman"/>
          <w:color w:val="000000" w:themeColor="text1"/>
        </w:rPr>
        <w:t>30</w:t>
      </w:r>
      <w:r>
        <w:rPr>
          <w:rFonts w:ascii="宋体" w:hAnsi="宋体" w:cs="Times New Roman"/>
          <w:color w:val="000000" w:themeColor="text1"/>
        </w:rPr>
        <w:t>日内填报《个人所得税年度自行纳税申报表》及其他相关资料，办理汇算清缴</w:t>
      </w:r>
      <w:r>
        <w:rPr>
          <w:rFonts w:hint="default" w:ascii="宋体" w:hAnsi="宋体" w:cs="Times New Roman"/>
          <w:color w:val="000000" w:themeColor="text1"/>
        </w:rPr>
        <w:t>或者随汇算清缴一并办理纳税申报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从两处以上取得综合所得，且综合所得年收入额减除专项扣除后的余额超过</w:t>
      </w:r>
      <w:r>
        <w:rPr>
          <w:rFonts w:cs="Times New Roman"/>
          <w:color w:val="000000" w:themeColor="text1"/>
        </w:rPr>
        <w:t>6</w:t>
      </w:r>
      <w:r>
        <w:rPr>
          <w:rFonts w:hint="default" w:ascii="宋体" w:hAnsi="宋体" w:cs="Times New Roman"/>
          <w:color w:val="000000" w:themeColor="text1"/>
        </w:rPr>
        <w:t>万元；</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取得劳务报酬所得、稿酬所得、特许权使用费所得中一项或者多项所得，且综合所得年收入额减除专项扣除的余额超过</w:t>
      </w:r>
      <w:r>
        <w:rPr>
          <w:rFonts w:cs="Times New Roman"/>
          <w:color w:val="000000" w:themeColor="text1"/>
        </w:rPr>
        <w:t>6</w:t>
      </w:r>
      <w:r>
        <w:rPr>
          <w:rFonts w:hint="default" w:ascii="宋体" w:hAnsi="宋体" w:cs="Times New Roman"/>
          <w:color w:val="000000" w:themeColor="text1"/>
        </w:rPr>
        <w:t>万元；</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纳税年度内预缴税额低于应纳税额；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纳税人申请退税；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纳税人取得综合所得，扣缴义务人未扣缴税款的。</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《中华人民共和国个人所得税法》</w:t>
      </w:r>
      <w:r>
        <w:rPr>
          <w:rFonts w:ascii="宋体" w:hAnsi="宋体" w:cs="宋体"/>
          <w:color w:val="000000" w:themeColor="text1"/>
        </w:rPr>
        <w:t>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《中华人民共和国个人所得税法实施条例》第二十五条</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【办理材料】</w:t>
      </w:r>
    </w:p>
    <w:tbl>
      <w:tblPr>
        <w:tblStyle w:val="18"/>
        <w:tblW w:w="8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587"/>
        <w:gridCol w:w="2945"/>
        <w:gridCol w:w="684"/>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2"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4"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2"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《个人所得税年度自行纳税申报表》</w:t>
            </w:r>
          </w:p>
        </w:tc>
        <w:tc>
          <w:tcPr>
            <w:tcW w:w="6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1"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67"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适用情形</w:t>
            </w:r>
          </w:p>
        </w:tc>
        <w:tc>
          <w:tcPr>
            <w:tcW w:w="2945"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材料名称</w:t>
            </w:r>
          </w:p>
        </w:tc>
        <w:tc>
          <w:tcPr>
            <w:tcW w:w="684"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数量</w:t>
            </w:r>
          </w:p>
        </w:tc>
        <w:tc>
          <w:tcPr>
            <w:tcW w:w="2265"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67"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lang w:val="zh-CN"/>
              </w:rPr>
              <w:t>选择在汇算清缴申报时享受专项附加扣除的</w:t>
            </w:r>
          </w:p>
        </w:tc>
        <w:tc>
          <w:tcPr>
            <w:tcW w:w="294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lang w:val="zh-CN"/>
              </w:rPr>
              <w:t>《个人所得税专项附加扣除信息表》</w:t>
            </w:r>
          </w:p>
        </w:tc>
        <w:tc>
          <w:tcPr>
            <w:tcW w:w="6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lang w:val="zh-CN"/>
              </w:rPr>
              <w:t>1</w:t>
            </w:r>
            <w:r>
              <w:rPr>
                <w:rFonts w:hint="eastAsia"/>
                <w:color w:val="000000" w:themeColor="text1"/>
                <w:lang w:val="zh-CN"/>
              </w:rPr>
              <w:t>份</w:t>
            </w:r>
          </w:p>
        </w:tc>
        <w:tc>
          <w:tcPr>
            <w:tcW w:w="226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exact"/>
          <w:jc w:val="center"/>
        </w:trPr>
        <w:tc>
          <w:tcPr>
            <w:tcW w:w="2267"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有依法确定的其他扣除</w:t>
            </w:r>
          </w:p>
        </w:tc>
        <w:tc>
          <w:tcPr>
            <w:tcW w:w="294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《商业健康保险税前扣除情况明细表》《个人税收递延型商业养老保险税前扣除情况明细表》等相关扣除资料</w:t>
            </w:r>
          </w:p>
        </w:tc>
        <w:tc>
          <w:tcPr>
            <w:tcW w:w="6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67"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有对公益慈善事业的捐赠</w:t>
            </w:r>
          </w:p>
        </w:tc>
        <w:tc>
          <w:tcPr>
            <w:tcW w:w="294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捐赠扣除凭证</w:t>
            </w:r>
          </w:p>
        </w:tc>
        <w:tc>
          <w:tcPr>
            <w:tcW w:w="6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67"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纳税人存在减免个人所得税情形</w:t>
            </w:r>
          </w:p>
        </w:tc>
        <w:tc>
          <w:tcPr>
            <w:tcW w:w="294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《个人所得税减免税事项报告表》</w:t>
            </w:r>
          </w:p>
        </w:tc>
        <w:tc>
          <w:tcPr>
            <w:tcW w:w="6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可通过办税服务厅（场所）办理，具体地点可从国家税务总局湖南省税务局网站“纳税服务”栏目查询。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【联系电话】</w:t>
      </w:r>
    </w:p>
    <w:p>
      <w:pPr>
        <w:wordWrap w:val="0"/>
        <w:spacing w:line="360" w:lineRule="auto"/>
        <w:ind w:firstLine="480"/>
        <w:rPr>
          <w:rFonts w:hint="default" w:ascii="宋体" w:hAnsi="宋体" w:cs="Times New Roman"/>
          <w:color w:val="000000" w:themeColor="text1"/>
        </w:rPr>
      </w:pPr>
      <w:bookmarkStart w:id="101" w:name="_Hlk15894389"/>
      <w:r>
        <w:rPr>
          <w:rFonts w:ascii="宋体" w:hAnsi="宋体" w:cs="Times New Roman"/>
          <w:color w:val="000000" w:themeColor="text1"/>
        </w:rPr>
        <w:t>主管税务机关对外公开的联系电话，可从国家税务总局湖南省税务局网站“纳税服务”栏目查询。</w:t>
      </w:r>
    </w:p>
    <w:bookmarkEnd w:id="101"/>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【办理流程】</w:t>
      </w:r>
    </w:p>
    <w:p>
      <w:pPr>
        <w:spacing w:line="360" w:lineRule="auto"/>
        <w:ind w:firstLine="0" w:firstLineChars="0"/>
        <w:jc w:val="center"/>
        <w:rPr>
          <w:rFonts w:hint="default" w:ascii="Calibri" w:hAnsi="Calibri" w:cs="Times New Roman"/>
          <w:color w:val="000000" w:themeColor="text1"/>
          <w:sz w:val="21"/>
          <w:szCs w:val="22"/>
        </w:rPr>
      </w:pPr>
      <w:r>
        <w:rPr>
          <w:rFonts w:hint="default" w:ascii="宋体" w:hAnsi="宋体" w:cs="Times New Roman"/>
          <w:color w:val="000000" w:themeColor="text1"/>
        </w:rPr>
        <w:drawing>
          <wp:inline distT="0" distB="0" distL="114300" distR="114300">
            <wp:extent cx="5045075" cy="1718945"/>
            <wp:effectExtent l="0" t="0" r="3175" b="0"/>
            <wp:docPr id="17"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享受子女教育、继续教育、住房贷款利息或者住房租金、赡养老人专项附加扣除的纳税人，自符合条件开始，可以向支付工资、薪金所得的扣缴义务人提供上述专项附加扣除有关信息办理扣除；也可以向汇缴地主管税务机关办理汇算清缴申报时扣除。纳税人未取得工资、薪金所得，仅取得劳务报酬所得、稿酬所得、特许权使用费所得需要享受专项附加扣除的，应当自行向汇缴地主管税务机关报送《个人所得税专项附加扣除信息表》，并在办理汇算清缴申报时扣除。享受大病医疗专项附加扣除的纳税人，由其自行向汇缴地主管税务机关办理汇算清缴申报时扣除。</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因移居境外注销中国户籍的，且在注销户籍年度取得综合所得的，应当在注销户籍前，办理当年综合所得的汇算清缴，并报送《个人所得税年度自行纳税申报表》。尚未办理上一年度综合所得汇算清缴的，应当在办理注销户籍纳税申报时一并办理。</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纳税人办理注销户籍纳税申报时，需要办理专项附加扣除、依法确定的其他扣除的，应当向税务机关报送《个人所得税专项附加扣除信息表》《商业健康保险税前扣除情况明细表》《个人税收递延型商业养老保险税前扣除情况明细表》等。</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纳税人有未缴或者少缴税款的，应当在注销户籍前，结清欠缴或未缴的税款。纳税人存在分期缴税且未缴纳完毕的，应当在注销户籍前，结清尚未缴纳的税款。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需要办理汇算清缴的纳税人，向任职、受雇单位所在地主管税务机关办理纳税申报。纳税人有两处以上任职、受雇单位的，选择向其中一处任职、受雇单位所在地主管税务机关办理纳税申报；纳税人没有任职、受雇单位的，向户籍所在地或经常居住地主管税务机关办理纳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纳税人办理综合所得汇算清缴，应当准备与收入、专项扣除、专项附加扣除、依法确定的其他扣除、捐赠、享受税收优惠等相关的资料，并按规定留存备查或报送。</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办理结束后，在申报表上加盖印章，一份返还纳税人</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cs="Times New Roman"/>
          <w:b/>
          <w:color w:val="000000" w:themeColor="text1"/>
        </w:rPr>
        <w:t>.</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b/>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进入金三操作系统，通过申报征收岗权限，按照【自然人税收管理系统（ITS）】—【申报】—【自行申报】—【综合所得个人所得税年度自行申报（ITS）】的路径进入功能模块。</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自然人纳税人首次进行个人所得税申报，应先进行自然人登记。进入金三操作系统，通过税务登记岗权限，按照【自然人税收管理系统（ITS）】—【登记】—【自然人信息采集（ITS）】的路径进入功能模块。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自然人纳税人信息变动时，应进行自然人信息变更。进入金三操作系统，通过税务登记岗权限，按照【自然人税收管理系统（ITS）】—【登记】—【自然人信息变更（ITS）】的路径进入功能模块。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rPr>
                <w:color w:val="00B0F0"/>
                <w:kern w:val="0"/>
              </w:rPr>
            </w:pPr>
            <w:r>
              <w:rPr>
                <w:rFonts w:hint="eastAsia"/>
              </w:rPr>
              <w:t>《中华人民共和国个人所得税法》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《中华人民共和国个人所得税法实施条例》</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《国务院关于印发个人所得税专项附加扣除暂行办法的通知》（国发〔2018〕41号）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《财政部 税务总局关于个人取得有关收入适用个人所得税应税所得项目的公告》（财政部税务总局公告2019年第74号）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《国家税务总局关于发布〈个人所得税专项附加扣除操作办法（试行）〉的公告》（国家税务总局公告2018年第60号）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kern w:val="0"/>
              </w:rPr>
            </w:pPr>
            <w:r>
              <w:rPr>
                <w:rFonts w:hint="eastAsia"/>
              </w:rPr>
              <w:t>8</w:t>
            </w:r>
          </w:p>
        </w:tc>
        <w:tc>
          <w:tcPr>
            <w:tcW w:w="5713" w:type="dxa"/>
            <w:vAlign w:val="center"/>
          </w:tcPr>
          <w:p>
            <w:pPr>
              <w:pStyle w:val="50"/>
              <w:adjustRightInd/>
              <w:snapToGrid/>
              <w:spacing w:line="276" w:lineRule="auto"/>
            </w:pPr>
            <w:r>
              <w:rPr>
                <w:rFonts w:hint="eastAsia"/>
              </w:rPr>
              <w:t>《国家税务总局关于发布〈个人所得税扣缴申报管理办法（试行）〉的公告》（国家税务总局公告2018年第61号）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rPr>
                <w:color w:val="000000"/>
                <w:kern w:val="0"/>
              </w:rPr>
            </w:pPr>
            <w:r>
              <w:rPr>
                <w:rFonts w:hint="eastAsia"/>
              </w:rPr>
              <w:t>《国家税务总局关于个人所得税自行纳税申报有关问题的公告》（国家税务总局公告2018年第62号）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713" w:type="dxa"/>
            <w:vAlign w:val="center"/>
          </w:tcPr>
          <w:p>
            <w:pPr>
              <w:pStyle w:val="50"/>
              <w:adjustRightInd/>
              <w:snapToGrid/>
              <w:spacing w:line="276" w:lineRule="auto"/>
            </w:pPr>
            <w:r>
              <w:rPr>
                <w:rFonts w:hint="eastAsia"/>
              </w:rPr>
              <w:t>《国家税务总局关于修订个人所得税申报表的公告》（国家税务总局公告2019年第7号）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713" w:type="dxa"/>
            <w:vAlign w:val="center"/>
          </w:tcPr>
          <w:p>
            <w:pPr>
              <w:pStyle w:val="50"/>
              <w:adjustRightInd/>
              <w:snapToGrid/>
              <w:spacing w:line="276" w:lineRule="auto"/>
            </w:pPr>
            <w:r>
              <w:rPr>
                <w:rFonts w:hint="eastAsia"/>
              </w:rPr>
              <w:t>《国家税务总局关于加快推行办税事项同城通办的通知》（税总发〔2016〕46号）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2</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3</w:t>
            </w:r>
          </w:p>
        </w:tc>
        <w:tc>
          <w:tcPr>
            <w:tcW w:w="571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4</w:t>
            </w:r>
          </w:p>
        </w:tc>
        <w:tc>
          <w:tcPr>
            <w:tcW w:w="5713" w:type="dxa"/>
            <w:vAlign w:val="center"/>
          </w:tcPr>
          <w:p>
            <w:pPr>
              <w:pStyle w:val="50"/>
              <w:adjustRightInd/>
              <w:snapToGrid/>
              <w:spacing w:line="276" w:lineRule="auto"/>
            </w:pPr>
            <w:r>
              <w:rPr>
                <w:rFonts w:hint="eastAsia"/>
              </w:rPr>
              <w:t>《国家税务总局关于印发&lt;全国税务系统深化“放管服”改革五年工作方案（2018年—2022年）&gt;的通知》（税总发〔2018〕199号）</w:t>
            </w:r>
          </w:p>
        </w:tc>
        <w:tc>
          <w:tcPr>
            <w:tcW w:w="1737" w:type="dxa"/>
            <w:vAlign w:val="center"/>
          </w:tcPr>
          <w:p>
            <w:pPr>
              <w:pStyle w:val="50"/>
              <w:adjustRightInd/>
              <w:snapToGrid/>
              <w:spacing w:line="276" w:lineRule="auto"/>
            </w:pPr>
            <w:r>
              <w:rPr>
                <w:rFonts w:hint="eastAsia"/>
              </w:rPr>
              <w:t>依申请公开</w:t>
            </w:r>
          </w:p>
        </w:tc>
      </w:tr>
    </w:tbl>
    <w:p>
      <w:pPr>
        <w:ind w:firstLine="480"/>
        <w:rPr>
          <w:rFonts w:hint="default"/>
        </w:rPr>
      </w:pPr>
    </w:p>
    <w:p>
      <w:pPr>
        <w:wordWrap w:val="0"/>
        <w:spacing w:before="312" w:beforeLines="100" w:after="312" w:afterLines="100" w:line="360" w:lineRule="auto"/>
        <w:outlineLvl w:val="2"/>
        <w:rPr>
          <w:rFonts w:hint="default" w:eastAsia="黑体" w:cs="Times New Roman"/>
          <w:b/>
          <w:bCs/>
          <w:color w:val="000000" w:themeColor="text1"/>
          <w:kern w:val="24"/>
          <w:sz w:val="28"/>
          <w:szCs w:val="28"/>
        </w:rPr>
      </w:pPr>
      <w:bookmarkStart w:id="102" w:name="_Toc23216"/>
      <w:bookmarkStart w:id="103" w:name="_Toc18096129"/>
      <w:r>
        <w:rPr>
          <w:rFonts w:eastAsia="黑体" w:cs="Times New Roman"/>
          <w:b/>
          <w:bCs/>
          <w:color w:val="000000" w:themeColor="text1"/>
          <w:kern w:val="24"/>
          <w:sz w:val="28"/>
          <w:szCs w:val="28"/>
        </w:rPr>
        <w:t>3.5.2—07</w:t>
      </w:r>
      <w:r>
        <w:rPr>
          <w:rFonts w:hint="default" w:eastAsia="黑体" w:cs="Times New Roman"/>
          <w:b/>
          <w:bCs/>
          <w:color w:val="000000" w:themeColor="text1"/>
          <w:kern w:val="24"/>
          <w:sz w:val="28"/>
          <w:szCs w:val="28"/>
        </w:rPr>
        <w:t>9</w:t>
      </w:r>
      <w:r>
        <w:rPr>
          <w:rFonts w:eastAsia="黑体" w:cs="Times New Roman"/>
          <w:b/>
          <w:bCs/>
          <w:color w:val="000000" w:themeColor="text1"/>
          <w:kern w:val="24"/>
          <w:sz w:val="28"/>
          <w:szCs w:val="28"/>
        </w:rPr>
        <w:t>　　经营所得个人所得税月（季）度申报</w:t>
      </w:r>
      <w:bookmarkEnd w:id="102"/>
      <w:bookmarkEnd w:id="103"/>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经营所得个人所得税月（季）度申报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jc w:val="left"/>
        <w:rPr>
          <w:rFonts w:hint="default" w:ascii="宋体" w:hAnsi="宋体" w:cs="宋体"/>
          <w:color w:val="000000" w:themeColor="text1"/>
          <w:kern w:val="0"/>
          <w:sz w:val="19"/>
          <w:szCs w:val="19"/>
        </w:rPr>
      </w:pPr>
      <w:r>
        <w:rPr>
          <w:rFonts w:hint="default" w:ascii="宋体" w:hAnsi="宋体" w:cs="Times New Roman"/>
          <w:color w:val="000000" w:themeColor="text1"/>
        </w:rPr>
        <w:t>纳税人取得经营所得，以每一纳税年度的收入总额减除成本、费用以及损失后的余额，为应纳税所得额，按年计算个人所得税，</w:t>
      </w:r>
      <w:r>
        <w:rPr>
          <w:rFonts w:ascii="宋体" w:hAnsi="宋体" w:cs="Times New Roman"/>
          <w:color w:val="000000" w:themeColor="text1"/>
        </w:rPr>
        <w:t>纳税人应当在月度或季度终了后</w:t>
      </w:r>
      <w:r>
        <w:rPr>
          <w:rFonts w:cs="Times New Roman"/>
          <w:color w:val="000000" w:themeColor="text1"/>
        </w:rPr>
        <w:t>15</w:t>
      </w:r>
      <w:r>
        <w:rPr>
          <w:rFonts w:ascii="宋体" w:hAnsi="宋体" w:cs="Times New Roman"/>
          <w:color w:val="000000" w:themeColor="text1"/>
        </w:rPr>
        <w:t>日内填报《个人所得税经营所得纳税申报表（</w:t>
      </w:r>
      <w:r>
        <w:rPr>
          <w:rFonts w:hint="default" w:ascii="宋体" w:hAnsi="宋体" w:cs="Times New Roman"/>
          <w:color w:val="000000" w:themeColor="text1"/>
        </w:rPr>
        <w:t>A</w:t>
      </w:r>
      <w:r>
        <w:rPr>
          <w:rFonts w:ascii="宋体" w:hAnsi="宋体" w:cs="Times New Roman"/>
          <w:color w:val="000000" w:themeColor="text1"/>
        </w:rPr>
        <w:t>表）》及其他相关资料，向经营管理所在地主管税务机关办理预缴纳税申报，并预缴税款。</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《中华人民共和国个人所得税法》</w:t>
      </w:r>
      <w:r>
        <w:rPr>
          <w:rFonts w:ascii="宋体" w:hAnsi="宋体" w:cs="宋体"/>
          <w:color w:val="000000" w:themeColor="text1"/>
        </w:rPr>
        <w:t>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《中华人民共和国个人所得税法实施条例》第十五条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098"/>
        <w:gridCol w:w="3192"/>
        <w:gridCol w:w="840"/>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529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84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135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529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《个人所得税经营所得纳税申报表（</w:t>
            </w:r>
            <w:r>
              <w:rPr>
                <w:color w:val="000000" w:themeColor="text1"/>
              </w:rPr>
              <w:t>A</w:t>
            </w:r>
            <w:r>
              <w:rPr>
                <w:rFonts w:hint="eastAsia"/>
                <w:color w:val="000000" w:themeColor="text1"/>
              </w:rPr>
              <w:t>表）》</w:t>
            </w:r>
          </w:p>
        </w:tc>
        <w:tc>
          <w:tcPr>
            <w:tcW w:w="84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135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78"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适用情形</w:t>
            </w:r>
          </w:p>
        </w:tc>
        <w:tc>
          <w:tcPr>
            <w:tcW w:w="3192"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材料名称</w:t>
            </w:r>
          </w:p>
        </w:tc>
        <w:tc>
          <w:tcPr>
            <w:tcW w:w="840"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数量</w:t>
            </w:r>
          </w:p>
        </w:tc>
        <w:tc>
          <w:tcPr>
            <w:tcW w:w="1353"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hint="default" w:ascii="黑体" w:hAnsi="黑体" w:eastAsia="黑体" w:cs="Times New Roman"/>
                <w:color w:val="000000" w:themeColor="text1"/>
                <w:sz w:val="21"/>
                <w:szCs w:val="21"/>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78"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纳税人存在减免个人所得税情形</w:t>
            </w:r>
          </w:p>
        </w:tc>
        <w:tc>
          <w:tcPr>
            <w:tcW w:w="319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《个人所得税减免税事项报告表》</w:t>
            </w:r>
          </w:p>
        </w:tc>
        <w:tc>
          <w:tcPr>
            <w:tcW w:w="84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exact"/>
          <w:jc w:val="center"/>
        </w:trPr>
        <w:tc>
          <w:tcPr>
            <w:tcW w:w="2778"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有依法确定的其他扣除</w:t>
            </w:r>
          </w:p>
        </w:tc>
        <w:tc>
          <w:tcPr>
            <w:tcW w:w="319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《商业健康保险税前扣除情况明细表》《个人税收递延型商业养老保险税前扣除情况明细表》等相关扣除资料</w:t>
            </w:r>
          </w:p>
        </w:tc>
        <w:tc>
          <w:tcPr>
            <w:tcW w:w="84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可通过办税服务厅（场所）、自然人税收管理系统（WEB端、扣缴客户端）办理，办税服务厅（场所）的具体地点可从国家税务总局湖南省税务局网站“纳税服务”栏目查询。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3175" b="0"/>
            <wp:docPr id="19"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个体工商户业主、个人独资企业投资者、合伙企业个人合伙人、承包承租经营者个人以及其他从事生产、经营活动的个人取得经营所得的，应当办理预缴纳税申报和汇算清缴。经营所得包括以下情形：</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）个体工商户从事生产、经营活动取得的所得，个人独资企业投资人、合伙企业的个人合伙人来源于境内注册的个人独资企业、合伙企业生产、经营的所得；</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）个人依法从事办学、医疗、咨询以及其他有偿服务活动取得的所得；</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）个人对企业、事业单位承包经营、承租经营以及转包、转租取得的所得；</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）个人从事其他生产、经营活动取得的所得。</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从事生产、经营活动，未提供完整、准确的纳税资料，不能正确计算应纳税所得额的，由主管税务机关核定应纳税所得额或者应纳税额。</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纳税人取得经营所得，按年计算个人所得税，由纳税人在月度或者季度终了后十五日内向税务机关报送纳税申报表，并预缴税款。遇最后一日是法定休假日的，以休假日期满的次日为期限的最后一日；在期限内有连续</w:t>
      </w:r>
      <w:r>
        <w:rPr>
          <w:rFonts w:cs="Times New Roman"/>
          <w:color w:val="000000" w:themeColor="text1"/>
        </w:rPr>
        <w:t>3</w:t>
      </w:r>
      <w:r>
        <w:rPr>
          <w:rFonts w:hint="default" w:ascii="宋体" w:hAnsi="宋体" w:cs="Times New Roman"/>
          <w:color w:val="000000" w:themeColor="text1"/>
        </w:rPr>
        <w:t>日以上法定休假日的，按休假日天数顺延。</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预缴申报时，合伙企业有多个自然人合伙人的，应分别填报《个人所得税经营所得纳税申报表（A表）</w:t>
      </w:r>
      <w:r>
        <w:rPr>
          <w:rFonts w:ascii="宋体" w:hAnsi="宋体" w:cs="Times New Roman"/>
          <w:color w:val="000000" w:themeColor="text1"/>
        </w:rPr>
        <w:t>》</w:t>
      </w:r>
      <w:r>
        <w:rPr>
          <w:rFonts w:hint="default" w:ascii="宋体" w:hAnsi="宋体" w:cs="Times New Roman"/>
          <w:color w:val="000000" w:themeColor="text1"/>
        </w:rPr>
        <w:t>。</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纳税人因移居境外注销中国户籍，且在当年取得经营所得的，应当在申请注销中国户籍前，向户籍所在地主管税务机关办理汇算清缴，进行税款清算。</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11.</w:t>
      </w:r>
      <w:r>
        <w:rPr>
          <w:rFonts w:hint="default" w:ascii="宋体" w:hAnsi="宋体" w:cs="Times New Roman"/>
          <w:color w:val="000000" w:themeColor="text1"/>
        </w:rPr>
        <w:t>纳税人有未缴或者少缴税款的，应当在注销户籍前，结清欠缴或未缴的税款。纳税人存在分期缴税且未缴纳完毕的，应当在注销户籍前，结清尚未缴纳的税款。</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12.</w:t>
      </w:r>
      <w:r>
        <w:rPr>
          <w:rFonts w:hint="default" w:ascii="宋体" w:hAnsi="宋体" w:cs="Times New Roman"/>
          <w:color w:val="000000" w:themeColor="text1"/>
        </w:rPr>
        <w:t>依法享受纳税人税收优惠等相关的资料，按规定留存备查或报送。</w:t>
      </w:r>
    </w:p>
    <w:p>
      <w:pPr>
        <w:wordWrap w:val="0"/>
        <w:spacing w:line="360" w:lineRule="auto"/>
        <w:ind w:firstLine="480"/>
        <w:jc w:val="left"/>
        <w:rPr>
          <w:rFonts w:hint="default" w:cs="Times New Roman"/>
          <w:color w:val="000000" w:themeColor="text1"/>
        </w:rPr>
      </w:pPr>
      <w:r>
        <w:rPr>
          <w:rFonts w:cs="Times New Roman"/>
          <w:color w:val="000000" w:themeColor="text1"/>
        </w:rPr>
        <w:t>13.</w:t>
      </w:r>
      <w:r>
        <w:rPr>
          <w:rFonts w:hint="default" w:ascii="宋体" w:hAnsi="宋体" w:cs="Times New Roman"/>
          <w:color w:val="000000" w:themeColor="text1"/>
        </w:rPr>
        <w:t>纳税人在纳税期内没有应纳税款的，也应当按照规定办理申报纳税。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自然人税收管理系统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办理结束后，在申报表上加盖印章，一份返还纳税人；自然人税收管理系统办理的，将办理结果通过自然人税收管理系统反馈给纳税人。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进入金三操作系统，通过申报征收岗权限，按照【自然人税收管理系统（ITS）】—【申报】—【生产经营申报】—【经营所得个人所得税月（季）度申报（ITS）】的路径进入功能模块。</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自然人纳税人首次进行个人所得税申报，应先进行自然人登记。进入金三操作系统，通过税务登记岗权限，按照【自然人税收管理系统（ITS）】—【登记】—【自然人信息采集（ITS）】的路径进入功能模块。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自然人纳税人信息变动时，应进行自然人信息变更。进入金三操作系统，通过税务登记岗权限，按照【自然人税收管理系统（ITS）】—【登记】—【自然人信息变更（ITS）】的路径进入功能模块。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rPr>
                <w:color w:val="00B0F0"/>
                <w:kern w:val="0"/>
              </w:rPr>
            </w:pPr>
            <w:r>
              <w:rPr>
                <w:rFonts w:hint="eastAsia"/>
              </w:rPr>
              <w:t>《中华人民共和国个人所得税法》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pPr>
            <w:r>
              <w:rPr>
                <w:rFonts w:hint="eastAsia"/>
              </w:rPr>
              <w:t>《中华人民共和国个人所得税法实施条例》</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pPr>
            <w:r>
              <w:rPr>
                <w:rFonts w:hint="eastAsia"/>
              </w:rPr>
              <w:t>《国家税务总局关于发布生产经营所得及减免税事项有关个人所得税申报表的公告》（国家税务总局公告2015年第28号）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kern w:val="0"/>
              </w:rPr>
            </w:pPr>
            <w:r>
              <w:rPr>
                <w:rFonts w:hint="eastAsia"/>
              </w:rPr>
              <w:t>6</w:t>
            </w:r>
          </w:p>
        </w:tc>
        <w:tc>
          <w:tcPr>
            <w:tcW w:w="5670" w:type="dxa"/>
            <w:vAlign w:val="center"/>
          </w:tcPr>
          <w:p>
            <w:pPr>
              <w:pStyle w:val="50"/>
              <w:adjustRightInd/>
              <w:snapToGrid/>
              <w:spacing w:line="276" w:lineRule="auto"/>
              <w:rPr>
                <w:color w:val="000000"/>
                <w:kern w:val="0"/>
              </w:rPr>
            </w:pPr>
            <w:r>
              <w:rPr>
                <w:rFonts w:hint="eastAsia"/>
              </w:rPr>
              <w:t>《国家税务总局关于个人所得税自行纳税申报有关问题的公告》（国家税务总局公告2018年第62号）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pPr>
            <w:r>
              <w:rPr>
                <w:rFonts w:hint="eastAsia"/>
              </w:rPr>
              <w:t>《国家税务总局关于修订个人所得税申报表的公告》（国家税务总局公告2019年第7号）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670" w:type="dxa"/>
            <w:vAlign w:val="center"/>
          </w:tcPr>
          <w:p>
            <w:pPr>
              <w:pStyle w:val="50"/>
              <w:adjustRightInd/>
              <w:snapToGrid/>
              <w:spacing w:line="276" w:lineRule="auto"/>
            </w:pPr>
            <w:r>
              <w:rPr>
                <w:rFonts w:hint="eastAsia"/>
              </w:rPr>
              <w:t>《国家税务总局关于印发&lt;全国税务系统深化“放管服”改革五年工作方案（2018年—2022年）&gt;的通知》（税总发〔2018〕199号）</w:t>
            </w:r>
          </w:p>
        </w:tc>
        <w:tc>
          <w:tcPr>
            <w:tcW w:w="1780" w:type="dxa"/>
            <w:vAlign w:val="center"/>
          </w:tcPr>
          <w:p>
            <w:pPr>
              <w:pStyle w:val="50"/>
              <w:adjustRightInd/>
              <w:snapToGrid/>
              <w:spacing w:line="276" w:lineRule="auto"/>
            </w:pPr>
            <w:r>
              <w:rPr>
                <w:rFonts w:hint="eastAsia"/>
              </w:rPr>
              <w:t>依申请公开</w:t>
            </w:r>
          </w:p>
        </w:tc>
      </w:tr>
    </w:tbl>
    <w:p>
      <w:pPr>
        <w:ind w:firstLine="480"/>
        <w:rPr>
          <w:rFonts w:hint="default"/>
        </w:rPr>
      </w:pPr>
    </w:p>
    <w:p>
      <w:pPr>
        <w:wordWrap w:val="0"/>
        <w:spacing w:before="312" w:beforeLines="100" w:after="312" w:afterLines="100" w:line="360" w:lineRule="auto"/>
        <w:outlineLvl w:val="2"/>
        <w:rPr>
          <w:rFonts w:hint="default" w:eastAsia="黑体" w:cs="Times New Roman"/>
          <w:b/>
          <w:bCs/>
          <w:color w:val="000000" w:themeColor="text1"/>
          <w:kern w:val="24"/>
          <w:sz w:val="28"/>
          <w:szCs w:val="28"/>
        </w:rPr>
      </w:pPr>
      <w:bookmarkStart w:id="104" w:name="_Toc17391"/>
      <w:bookmarkStart w:id="105" w:name="_Toc27885"/>
      <w:bookmarkStart w:id="106" w:name="_Toc18096130"/>
      <w:r>
        <w:rPr>
          <w:rFonts w:eastAsia="黑体" w:cs="Times New Roman"/>
          <w:b/>
          <w:bCs/>
          <w:color w:val="000000" w:themeColor="text1"/>
          <w:kern w:val="24"/>
          <w:sz w:val="28"/>
          <w:szCs w:val="28"/>
        </w:rPr>
        <w:t>3.5.3—0</w:t>
      </w:r>
      <w:r>
        <w:rPr>
          <w:rFonts w:hint="default" w:eastAsia="黑体" w:cs="Times New Roman"/>
          <w:b/>
          <w:bCs/>
          <w:color w:val="000000" w:themeColor="text1"/>
          <w:kern w:val="24"/>
          <w:sz w:val="28"/>
          <w:szCs w:val="28"/>
        </w:rPr>
        <w:t>80</w:t>
      </w:r>
      <w:r>
        <w:rPr>
          <w:rFonts w:eastAsia="黑体" w:cs="Times New Roman"/>
          <w:b/>
          <w:bCs/>
          <w:color w:val="000000" w:themeColor="text1"/>
          <w:kern w:val="24"/>
          <w:sz w:val="28"/>
          <w:szCs w:val="28"/>
        </w:rPr>
        <w:t>　　经营所得个人所得税年度申报</w:t>
      </w:r>
      <w:bookmarkEnd w:id="104"/>
      <w:bookmarkEnd w:id="105"/>
      <w:bookmarkEnd w:id="106"/>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经营所得个人所得税年度申报</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【业务描述】</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纳税人取得经营所得，以每一纳税年度的收入总额减除成本、费用以及损失后的余额，为应纳税所得额，按年计算个人所得税。纳税人应当在取得所得的次年</w:t>
      </w:r>
      <w:r>
        <w:rPr>
          <w:rFonts w:cs="Times New Roman"/>
          <w:color w:val="000000" w:themeColor="text1"/>
        </w:rPr>
        <w:t>3</w:t>
      </w:r>
      <w:r>
        <w:rPr>
          <w:rFonts w:hint="default" w:ascii="宋体" w:hAnsi="宋体" w:cs="Times New Roman"/>
          <w:color w:val="000000" w:themeColor="text1"/>
        </w:rPr>
        <w:t>月</w:t>
      </w:r>
      <w:r>
        <w:rPr>
          <w:rFonts w:cs="Times New Roman"/>
          <w:color w:val="000000" w:themeColor="text1"/>
        </w:rPr>
        <w:t>31</w:t>
      </w:r>
      <w:r>
        <w:rPr>
          <w:rFonts w:hint="default" w:ascii="宋体" w:hAnsi="宋体" w:cs="Times New Roman"/>
          <w:color w:val="000000" w:themeColor="text1"/>
        </w:rPr>
        <w:t>日前填报《个人所得税经营所得纳税申报表（B表）》及其他相关资料，向经营管理所在地主管税务机关办理汇算清缴。</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企业在年度中间合并、分立、终止时，个人独资企业投资者、合伙企业个人合伙人、承包承租经营应当在停止生产经营之日起</w:t>
      </w:r>
      <w:r>
        <w:rPr>
          <w:rFonts w:cs="Times New Roman"/>
          <w:color w:val="000000" w:themeColor="text1"/>
        </w:rPr>
        <w:t>60</w:t>
      </w:r>
      <w:r>
        <w:rPr>
          <w:rFonts w:hint="default" w:ascii="宋体" w:hAnsi="宋体" w:cs="Times New Roman"/>
          <w:color w:val="000000" w:themeColor="text1"/>
        </w:rPr>
        <w:t>日内，向主管税务机关办理当期个人所得税汇算清缴。</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《中华人民共和国个人所得税法》</w:t>
      </w:r>
      <w:r>
        <w:rPr>
          <w:rFonts w:ascii="宋体" w:hAnsi="宋体" w:cs="宋体"/>
          <w:color w:val="000000" w:themeColor="text1"/>
        </w:rPr>
        <w:t>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《中华人民共和国个人所得税法实施条例》第十五条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36"/>
        <w:gridCol w:w="3299"/>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《个人所得税经营所得纳税申报表（</w:t>
            </w:r>
            <w:r>
              <w:rPr>
                <w:color w:val="000000" w:themeColor="text1"/>
              </w:rPr>
              <w:t>B</w:t>
            </w:r>
            <w:r>
              <w:rPr>
                <w:rFonts w:hint="eastAsia"/>
                <w:color w:val="000000" w:themeColor="text1"/>
              </w:rPr>
              <w:t>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1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ascii="黑体" w:hAnsi="黑体" w:eastAsia="黑体" w:cs="Times New Roman"/>
                <w:color w:val="000000" w:themeColor="text1"/>
                <w:sz w:val="21"/>
                <w:szCs w:val="21"/>
                <w:lang w:val="zh-CN"/>
              </w:rPr>
              <w:t>适用情形</w:t>
            </w:r>
          </w:p>
        </w:tc>
        <w:tc>
          <w:tcPr>
            <w:tcW w:w="3299"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ascii="黑体" w:hAnsi="黑体" w:eastAsia="黑体" w:cs="Times New Roman"/>
                <w:color w:val="000000" w:themeColor="text1"/>
                <w:sz w:val="21"/>
                <w:szCs w:val="21"/>
                <w:lang w:val="zh-CN"/>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ascii="黑体" w:hAnsi="黑体" w:eastAsia="黑体" w:cs="Times New Roman"/>
                <w:color w:val="000000" w:themeColor="text1"/>
                <w:sz w:val="21"/>
                <w:szCs w:val="21"/>
                <w:lang w:val="zh-CN"/>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lang w:val="zh-CN"/>
              </w:rPr>
            </w:pPr>
            <w:r>
              <w:rPr>
                <w:rFonts w:ascii="黑体" w:hAnsi="黑体" w:eastAsia="黑体" w:cs="Times New Roman"/>
                <w:color w:val="000000" w:themeColor="text1"/>
                <w:sz w:val="21"/>
                <w:szCs w:val="21"/>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1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lang w:val="zh-CN"/>
              </w:rPr>
              <w:t>无综合所得，且需要享受专项附加扣除</w:t>
            </w:r>
          </w:p>
        </w:tc>
        <w:tc>
          <w:tcPr>
            <w:tcW w:w="329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lang w:val="zh-CN"/>
              </w:rPr>
              <w:t>《个人所得税专项附加扣除信息表》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lang w:val="zh-CN"/>
              </w:rPr>
              <w:t>1</w:t>
            </w:r>
            <w:r>
              <w:rPr>
                <w:rFonts w:hint="eastAsia"/>
                <w:color w:val="000000" w:themeColor="text1"/>
                <w:lang w:val="zh-CN"/>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1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纳税人存在减免个人所得税情形</w:t>
            </w:r>
          </w:p>
        </w:tc>
        <w:tc>
          <w:tcPr>
            <w:tcW w:w="329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《个人所得税减免税事项报告表》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exact"/>
          <w:jc w:val="center"/>
        </w:trPr>
        <w:tc>
          <w:tcPr>
            <w:tcW w:w="191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有依法确定的其他扣除</w:t>
            </w:r>
          </w:p>
        </w:tc>
        <w:tc>
          <w:tcPr>
            <w:tcW w:w="329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《商业健康保险税前扣除情况明细表》《个人税收递延型商业养老保险税前扣除情况明细表》等相关扣除资料</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可通过办税服务厅（场所）、自然人税收管理系统（WEB端）办理，办税服务厅（场所）的具体地点可从国家税务总局湖南省税务局网站“纳税服务”栏目查询。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3175" b="0"/>
            <wp:docPr id="20"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个体工商户业主、个人独资企业投资者、合伙企业个人合伙人、承包承租经营者个人以及其他从事生产、经营活动的个人取得经营所得的，应当办理预缴纳税申报和汇算清缴。经营所得包括以下情形：</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）个体工商户从事生产、经营活动取得的所得，个人独资企业投资人、合伙企业的个人合伙人来源于境内注册的个人独资企业、合伙企业生产、经营的所得；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）个人依法从事办学、医疗、咨询以及其他有偿服务活动取得的所得；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）个人对企业、事业单位承包经营、承租经营以及转包、转租取得的所得；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）个人从事其他生产、经营活动取得的所得。</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从事生产、经营活动，未提供完整、准确的纳税资料，不能正确计算应纳税所得额的，由主管税务机关核定应纳税所得额或者应纳税额。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汇算清缴时，合伙企业有多个自然人合伙人的，应分别填报《个人所得税经营所得纳税申报表（B表）》。</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取得经营所得的个人，没有综合所得的，计算其每一纳税年度的应纳税所得额时，应当减除费用</w:t>
      </w:r>
      <w:r>
        <w:rPr>
          <w:rFonts w:cs="Times New Roman"/>
          <w:color w:val="000000" w:themeColor="text1"/>
        </w:rPr>
        <w:t>6</w:t>
      </w:r>
      <w:r>
        <w:rPr>
          <w:rFonts w:hint="default" w:ascii="宋体" w:hAnsi="宋体" w:cs="Times New Roman"/>
          <w:color w:val="000000" w:themeColor="text1"/>
        </w:rPr>
        <w:t>万元、专项扣除、专项附加扣除以及依法确定的其他扣除。专项附加扣除在办理汇算清缴时减除。</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纳税人在注销户籍年度取得经营所得的，应当在注销户籍前，向户籍所在地主管税务机关办理当年经营所得的汇算清缴，并报送《个人所得税经营所得纳税申报表（B表）》。从两处以上取得经营所得的，还应当一并报送《个人所得税经营所得纳税申报表（C表）》。尚未办理上一年度经营所得汇算清缴的，应当在办理注销户籍纳税申报时一并办理。</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hint="default" w:ascii="宋体" w:hAnsi="宋体" w:cs="Times New Roman"/>
          <w:color w:val="000000" w:themeColor="text1"/>
        </w:rPr>
        <w:t>纳税人有未缴或者少缴税款的，应当在注销户籍前，结清欠缴或未缴的税款。纳税人存在分期缴税且未缴纳完毕的，应当在注销户籍前，结清尚未缴纳的税款。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12.</w:t>
      </w:r>
      <w:r>
        <w:rPr>
          <w:rFonts w:hint="default" w:ascii="宋体" w:hAnsi="宋体" w:cs="Times New Roman"/>
          <w:color w:val="000000" w:themeColor="text1"/>
        </w:rPr>
        <w:t>纳税人依法享受税收优惠等相关的资料，按规定留存备查或报送。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13.</w:t>
      </w:r>
      <w:r>
        <w:rPr>
          <w:rFonts w:hint="default" w:ascii="宋体" w:hAnsi="宋体" w:cs="Times New Roman"/>
          <w:color w:val="000000" w:themeColor="text1"/>
        </w:rPr>
        <w:t>纳税人在纳税期内没有应纳税款的，也应当按照规定办理申报纳税。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w:t>
      </w:r>
      <w:r>
        <w:rPr>
          <w:rFonts w:hint="default" w:ascii="宋体" w:hAnsi="宋体" w:cs="Times New Roman"/>
          <w:color w:val="000000" w:themeColor="text1"/>
        </w:rPr>
        <w:t>或自然人税收管理系统接收资料信息，核对资料信息是否齐全</w:t>
      </w:r>
      <w:r>
        <w:rPr>
          <w:rFonts w:ascii="宋体" w:hAnsi="宋体" w:cs="Times New Roman"/>
          <w:color w:val="000000" w:themeColor="text1"/>
        </w:rPr>
        <w:t>、是否符合法定形式、填写内容是否完整，符合的即时受理；对资料不齐全、不符合法定形式或填写内容不完整的，一次性告知应补正资料或不予受理原因</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办理结束后，在申报表上加盖印章，一份返还纳税人；自然人税收管理系统</w:t>
      </w:r>
      <w:r>
        <w:rPr>
          <w:rFonts w:ascii="宋体" w:hAnsi="宋体" w:cs="Times New Roman"/>
          <w:color w:val="000000" w:themeColor="text1"/>
        </w:rPr>
        <w:t>办理的，将办理结果通过</w:t>
      </w:r>
      <w:r>
        <w:rPr>
          <w:rFonts w:hint="default" w:ascii="宋体" w:hAnsi="宋体" w:cs="Times New Roman"/>
          <w:color w:val="000000" w:themeColor="text1"/>
        </w:rPr>
        <w:t>自然人税收管理系统</w:t>
      </w:r>
      <w:r>
        <w:rPr>
          <w:rFonts w:ascii="宋体" w:hAnsi="宋体" w:cs="Times New Roman"/>
          <w:color w:val="000000" w:themeColor="text1"/>
        </w:rPr>
        <w:t>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进入金三操作系统，通过申报征收岗权限，按照【自然人税收管理系统（ITS）】—【申报】—【生产经营申报】—【经营所得个人所得税年度申报（ITS）】的路径进入功能模块。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2.提示事项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自然人纳税人首次进行个人所得税申报，应先进行自然人登记。进入金三操作系统，通过税务登记岗权限，按照【自然人税收管理系统（ITS）】—【登记】—【自然人信息采集（ITS）】的路径进入功能模块。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自然人纳税人信息变动时，应进行自然人信息变更。进入金三操作系统，通过税务登记岗权限，按照【自然人税收管理系统（ITS）】—【登记】—【自然人信息变更（ITS）】的路径进入功能模块。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rPr>
                <w:color w:val="00B0F0"/>
                <w:kern w:val="0"/>
              </w:rPr>
            </w:pPr>
            <w:r>
              <w:rPr>
                <w:rFonts w:hint="eastAsia"/>
              </w:rPr>
              <w:t>《中华人民共和国个人所得税法》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pPr>
            <w:r>
              <w:rPr>
                <w:rFonts w:hint="eastAsia"/>
              </w:rPr>
              <w:t>《中华人民共和国个人所得税法实施条例》</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rPr>
                <w:color w:val="000000"/>
                <w:kern w:val="0"/>
              </w:rPr>
            </w:pPr>
            <w:r>
              <w:rPr>
                <w:rFonts w:hint="eastAsia"/>
              </w:rPr>
              <w:t>《国务院关于印发个人所得税专项附加扣除暂行办法的通知》（国发〔2018〕41号）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pPr>
            <w:r>
              <w:rPr>
                <w:rFonts w:hint="eastAsia"/>
              </w:rPr>
              <w:t>《国家税务总局关于发布生产经营所得及减免税事项有关个人所得税申报表的公告》（国家税务总局公告2015年第28号）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rPr>
                <w:bCs/>
              </w:rPr>
            </w:pPr>
            <w:r>
              <w:rPr>
                <w:rFonts w:hint="eastAsia"/>
              </w:rPr>
              <w:t>《国家税务总局关于发布〈个人所得税专项附加扣除操作办法（试行）〉的公告》（国家税务总局公告2018年第60号）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kern w:val="0"/>
              </w:rPr>
            </w:pPr>
            <w:r>
              <w:rPr>
                <w:rFonts w:hint="eastAsia"/>
              </w:rPr>
              <w:t>8</w:t>
            </w:r>
          </w:p>
        </w:tc>
        <w:tc>
          <w:tcPr>
            <w:tcW w:w="5670" w:type="dxa"/>
            <w:vAlign w:val="center"/>
          </w:tcPr>
          <w:p>
            <w:pPr>
              <w:pStyle w:val="50"/>
              <w:adjustRightInd/>
              <w:snapToGrid/>
              <w:spacing w:line="276" w:lineRule="auto"/>
              <w:rPr>
                <w:color w:val="000000"/>
                <w:kern w:val="0"/>
              </w:rPr>
            </w:pPr>
            <w:r>
              <w:rPr>
                <w:rFonts w:hint="eastAsia"/>
              </w:rPr>
              <w:t>《国家税务总局关于个人所得税自行纳税申报有关问题的公告》（国家税务总局公告2018年第62号）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pPr>
            <w:r>
              <w:rPr>
                <w:rFonts w:hint="eastAsia"/>
              </w:rPr>
              <w:t>《国家税务总局关于修订个人所得税申报表的公告》（国家税务总局公告2019年第7号）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1</w:t>
            </w:r>
          </w:p>
        </w:tc>
        <w:tc>
          <w:tcPr>
            <w:tcW w:w="5670"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2</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3</w:t>
            </w:r>
          </w:p>
        </w:tc>
        <w:tc>
          <w:tcPr>
            <w:tcW w:w="5670" w:type="dxa"/>
            <w:vAlign w:val="center"/>
          </w:tcPr>
          <w:p>
            <w:pPr>
              <w:pStyle w:val="50"/>
              <w:adjustRightInd/>
              <w:snapToGrid/>
              <w:spacing w:line="276" w:lineRule="auto"/>
            </w:pPr>
            <w:r>
              <w:rPr>
                <w:rFonts w:hint="eastAsia"/>
              </w:rPr>
              <w:t>《国家税务总局关于印发&lt;全国税务系统深化“放管服”改革五年工作方案（2018年—2022年）&gt;的通知》（税总发〔2018〕199号）</w:t>
            </w:r>
          </w:p>
        </w:tc>
        <w:tc>
          <w:tcPr>
            <w:tcW w:w="1780" w:type="dxa"/>
            <w:vAlign w:val="center"/>
          </w:tcPr>
          <w:p>
            <w:pPr>
              <w:pStyle w:val="50"/>
              <w:adjustRightInd/>
              <w:snapToGrid/>
              <w:spacing w:line="276" w:lineRule="auto"/>
            </w:pPr>
            <w:r>
              <w:rPr>
                <w:rFonts w:hint="eastAsia"/>
              </w:rPr>
              <w:t>依申请公开</w:t>
            </w:r>
          </w:p>
        </w:tc>
      </w:tr>
    </w:tbl>
    <w:p>
      <w:pPr>
        <w:pStyle w:val="30"/>
        <w:wordWrap w:val="0"/>
        <w:topLinePunct w:val="0"/>
        <w:spacing w:before="312" w:after="312"/>
        <w:rPr>
          <w:color w:val="000000" w:themeColor="text1"/>
        </w:rPr>
      </w:pPr>
      <w:bookmarkStart w:id="107" w:name="_Toc28077"/>
      <w:bookmarkStart w:id="108" w:name="_Toc18096131"/>
      <w:r>
        <w:rPr>
          <w:rFonts w:hint="eastAsia"/>
          <w:color w:val="000000" w:themeColor="text1"/>
        </w:rPr>
        <w:t>3.5.4—0</w:t>
      </w:r>
      <w:r>
        <w:rPr>
          <w:color w:val="000000" w:themeColor="text1"/>
        </w:rPr>
        <w:t>81</w:t>
      </w:r>
      <w:r>
        <w:rPr>
          <w:rFonts w:hint="eastAsia"/>
          <w:color w:val="000000" w:themeColor="text1"/>
        </w:rPr>
        <w:t>　</w:t>
      </w:r>
      <w:r>
        <w:rPr>
          <w:color w:val="000000" w:themeColor="text1"/>
        </w:rPr>
        <w:t>　</w:t>
      </w:r>
      <w:r>
        <w:rPr>
          <w:rFonts w:hint="eastAsia"/>
          <w:color w:val="000000" w:themeColor="text1"/>
        </w:rPr>
        <w:t>多处经营所得个人所得税汇总年度申报</w:t>
      </w:r>
      <w:bookmarkEnd w:id="107"/>
      <w:bookmarkEnd w:id="108"/>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多处经营所得个人所得税汇总年度申报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个体工商户业主、个人独资企业投资人、合伙企业个人合伙人、承包承租经营者个人以及其他从事生产、经营活动的个人在中国境内两处以上取得经营所得的，应当在分别办理年度汇算清缴后，于取得所得的次年</w:t>
      </w:r>
      <w:r>
        <w:rPr>
          <w:rFonts w:cs="Times New Roman"/>
          <w:color w:val="000000" w:themeColor="text1"/>
        </w:rPr>
        <w:t>3</w:t>
      </w:r>
      <w:r>
        <w:rPr>
          <w:rFonts w:hint="default" w:ascii="宋体" w:hAnsi="宋体" w:cs="Times New Roman"/>
          <w:color w:val="000000" w:themeColor="text1"/>
        </w:rPr>
        <w:t>月</w:t>
      </w:r>
      <w:r>
        <w:rPr>
          <w:rFonts w:cs="Times New Roman"/>
          <w:color w:val="000000" w:themeColor="text1"/>
        </w:rPr>
        <w:t>31</w:t>
      </w:r>
      <w:r>
        <w:rPr>
          <w:rFonts w:hint="default" w:ascii="宋体" w:hAnsi="宋体" w:cs="Times New Roman"/>
          <w:color w:val="000000" w:themeColor="text1"/>
        </w:rPr>
        <w:t>日前</w:t>
      </w:r>
      <w:r>
        <w:rPr>
          <w:rFonts w:ascii="宋体" w:hAnsi="宋体" w:cs="Times New Roman"/>
          <w:color w:val="000000" w:themeColor="text1"/>
        </w:rPr>
        <w:t>填报《个人所得税经营所得纳税申报表（C表）》及其他相关资料</w:t>
      </w:r>
      <w:r>
        <w:rPr>
          <w:rFonts w:hint="default" w:ascii="宋体" w:hAnsi="宋体" w:cs="Times New Roman"/>
          <w:color w:val="000000" w:themeColor="text1"/>
        </w:rPr>
        <w:t>，选择向其中一处经营管理所在地主管税务机关办理年度汇总纳税申报。</w:t>
      </w:r>
    </w:p>
    <w:p>
      <w:pPr>
        <w:wordWrap w:val="0"/>
        <w:spacing w:line="360" w:lineRule="auto"/>
        <w:ind w:firstLine="480"/>
        <w:jc w:val="left"/>
        <w:rPr>
          <w:rFonts w:hint="default" w:ascii="宋体" w:hAnsi="宋体" w:cs="Times New Roman"/>
          <w:color w:val="000000" w:themeColor="text1"/>
        </w:rPr>
      </w:pPr>
      <w:r>
        <w:rPr>
          <w:rFonts w:ascii="宋体" w:hAnsi="宋体" w:cs="Times New Roman"/>
          <w:color w:val="000000" w:themeColor="text1"/>
        </w:rPr>
        <w:t>【</w:t>
      </w:r>
      <w:r>
        <w:rPr>
          <w:rFonts w:ascii="黑体" w:hAnsi="黑体" w:eastAsia="黑体" w:cs="Times New Roman"/>
          <w:bCs/>
          <w:color w:val="000000" w:themeColor="text1"/>
        </w:rPr>
        <w:t>设定依据</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《中华人民共和国个人所得税法》</w:t>
      </w:r>
      <w:r>
        <w:rPr>
          <w:rFonts w:ascii="宋体" w:hAnsi="宋体" w:cs="宋体"/>
          <w:color w:val="000000" w:themeColor="text1"/>
        </w:rPr>
        <w:t>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《中华人民共和国个人所得税法实施条例》第十五条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42"/>
        <w:gridCol w:w="3093"/>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《个人所得税经营所得纳税申报表（C表）》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22"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rFonts w:ascii="仿宋" w:hAnsi="仿宋" w:eastAsia="仿宋"/>
                <w:color w:val="000000" w:themeColor="text1"/>
              </w:rPr>
            </w:pPr>
            <w:r>
              <w:rPr>
                <w:rFonts w:hint="eastAsia"/>
                <w:color w:val="000000" w:themeColor="text1"/>
              </w:rPr>
              <w:t>适用情形</w:t>
            </w:r>
          </w:p>
        </w:tc>
        <w:tc>
          <w:tcPr>
            <w:tcW w:w="309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纳税人存在减免个人所得税情形</w:t>
            </w:r>
          </w:p>
        </w:tc>
        <w:tc>
          <w:tcPr>
            <w:tcW w:w="309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《个人所得税减免税事项报告表》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可通过办税服务厅（场所）、自然人税收管理系统（WEB端）办理，办税服务厅（场所）的具体地点可从国家税务总局湖南省税务局网站“纳税服务”栏目查询。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3175" b="0"/>
            <wp:docPr id="21"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6.</w:t>
      </w:r>
      <w:r>
        <w:rPr>
          <w:rFonts w:ascii="宋体" w:hAnsi="宋体" w:eastAsia="宋体"/>
          <w:color w:val="000000" w:themeColor="text1"/>
        </w:rPr>
        <w:t>从事生产、经营活动，未提供完整、准确的纳税资料，不能正确计算应纳税所得额的，由主管税务机关核定应纳税所得额或者应纳税额。</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7.</w:t>
      </w:r>
      <w:r>
        <w:rPr>
          <w:rFonts w:ascii="宋体" w:hAnsi="宋体" w:eastAsia="宋体"/>
          <w:color w:val="000000" w:themeColor="text1"/>
        </w:rPr>
        <w:t>纳税人依法享受税收优惠等相关的资料，按规定留存备查或报送。</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8.</w:t>
      </w:r>
      <w:r>
        <w:rPr>
          <w:rFonts w:ascii="宋体" w:hAnsi="宋体" w:eastAsia="宋体"/>
          <w:color w:val="000000" w:themeColor="text1"/>
        </w:rPr>
        <w:t>纳税人在纳税期内没有应纳税款的，也应当按照规定办理申报纳税。</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9.</w:t>
      </w:r>
      <w:r>
        <w:rPr>
          <w:rFonts w:ascii="宋体" w:hAnsi="宋体" w:eastAsia="宋体"/>
          <w:color w:val="000000" w:themeColor="text1"/>
        </w:rPr>
        <w:t>纳税人在注销户籍年度取得经营所得的，应当在注销户籍前，办理当年经营所得的汇算清缴，并报送《个人所得税经营所得纳税申报表（B表）》。从两处以上取得经营所得的，还应当一并报送《个人所得税经营所得纳税申报表（C表）》。尚未办理上一年度经营所得汇算清缴的，应当在办理注销户籍纳税申报时一并办理。</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10.</w:t>
      </w:r>
      <w:r>
        <w:rPr>
          <w:rFonts w:ascii="宋体" w:hAnsi="宋体" w:eastAsia="宋体"/>
          <w:color w:val="000000" w:themeColor="text1"/>
        </w:rPr>
        <w:t>纳税人有未缴或者少缴税款的，应当在注销户籍前，结清欠缴或未缴的税款。纳税人存在分期缴税且未缴纳完毕的，应当在注销户籍前，结清尚未缴纳的税款。</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w:t>
      </w:r>
      <w:r>
        <w:rPr>
          <w:rFonts w:hint="default" w:ascii="宋体" w:hAnsi="宋体" w:cs="Times New Roman"/>
          <w:color w:val="000000" w:themeColor="text1"/>
        </w:rPr>
        <w:t>或自然人税收管理系统接收资料信息，核对资料信息是否齐全</w:t>
      </w:r>
      <w:r>
        <w:rPr>
          <w:rFonts w:ascii="宋体" w:hAnsi="宋体" w:cs="Times New Roman"/>
          <w:color w:val="000000" w:themeColor="text1"/>
        </w:rPr>
        <w:t>、是否符合法定形式、填写内容是否完整，符合的即时受理；对资料不齐全、不符合法定形式或填写内容不完整的，一次性告知应补正资料或不予受理原因</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办理结束后，在申报表上加盖印章，一份返还纳税人；自然人税收管理系统</w:t>
      </w:r>
      <w:r>
        <w:rPr>
          <w:rFonts w:ascii="宋体" w:hAnsi="宋体" w:cs="Times New Roman"/>
          <w:color w:val="000000" w:themeColor="text1"/>
        </w:rPr>
        <w:t>办理的，将办理结果通过</w:t>
      </w:r>
      <w:r>
        <w:rPr>
          <w:rFonts w:hint="default" w:ascii="宋体" w:hAnsi="宋体" w:cs="Times New Roman"/>
          <w:color w:val="000000" w:themeColor="text1"/>
        </w:rPr>
        <w:t>自然人税收管理系统</w:t>
      </w:r>
      <w:r>
        <w:rPr>
          <w:rFonts w:ascii="宋体" w:hAnsi="宋体" w:cs="Times New Roman"/>
          <w:color w:val="000000" w:themeColor="text1"/>
        </w:rPr>
        <w:t>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jc w:val="left"/>
        <w:rPr>
          <w:rFonts w:hint="default" w:cs="Times New Roman"/>
          <w:color w:val="000000" w:themeColor="text1"/>
        </w:rPr>
      </w:pPr>
      <w:r>
        <w:rPr>
          <w:rFonts w:cs="Times New Roman"/>
          <w:color w:val="000000" w:themeColor="text1"/>
        </w:rPr>
        <w:t>1.受理环节</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分别办理年度汇算清缴</w:t>
      </w:r>
    </w:p>
    <w:p>
      <w:pPr>
        <w:wordWrap w:val="0"/>
        <w:spacing w:line="360" w:lineRule="auto"/>
        <w:ind w:firstLine="480"/>
        <w:jc w:val="left"/>
        <w:rPr>
          <w:rFonts w:hint="default" w:ascii="宋体" w:hAnsi="宋体" w:cs="Times New Roman"/>
          <w:color w:val="000000" w:themeColor="text1"/>
        </w:rPr>
      </w:pPr>
      <w:r>
        <w:t>进入金三操作系统，通过申报征收岗权限，按照【自然人税收管理系统（ITS）】—【申报】—【生产经营申报】—【经营所得个人所得税年度申报（ITS）】的路径进入功能模块。</w:t>
      </w:r>
    </w:p>
    <w:p>
      <w:pPr>
        <w:wordWrap w:val="0"/>
        <w:spacing w:line="360" w:lineRule="auto"/>
        <w:ind w:firstLine="480"/>
        <w:jc w:val="left"/>
        <w:rPr>
          <w:rFonts w:hint="default"/>
        </w:rPr>
      </w:pPr>
      <w:r>
        <w:t>（2）</w:t>
      </w:r>
      <w:r>
        <w:rPr>
          <w:rFonts w:hint="default"/>
        </w:rPr>
        <w:t>办理年度汇总纳税申报</w:t>
      </w:r>
    </w:p>
    <w:p>
      <w:pPr>
        <w:wordWrap w:val="0"/>
        <w:spacing w:line="360" w:lineRule="auto"/>
        <w:ind w:firstLine="480"/>
        <w:jc w:val="left"/>
        <w:rPr>
          <w:rFonts w:hint="default"/>
        </w:rPr>
      </w:pPr>
      <w:r>
        <w:t>进入金三操作系统，通过申报征收岗权限，按照【自然人税收管理系统（ITS）】—【申报】—【生产经营申报】—【多处经营所得个人所得税汇总年度申报（ITS）】的路径进入功能模块。</w:t>
      </w:r>
    </w:p>
    <w:p>
      <w:pPr>
        <w:wordWrap w:val="0"/>
        <w:spacing w:line="360" w:lineRule="auto"/>
        <w:ind w:firstLine="480"/>
        <w:jc w:val="left"/>
        <w:rPr>
          <w:rFonts w:hint="default"/>
        </w:rPr>
      </w:pPr>
      <w:r>
        <w:t>2.提示事项</w:t>
      </w:r>
    </w:p>
    <w:p>
      <w:pPr>
        <w:wordWrap w:val="0"/>
        <w:spacing w:line="360" w:lineRule="auto"/>
        <w:ind w:firstLine="480"/>
        <w:jc w:val="left"/>
        <w:rPr>
          <w:rFonts w:hint="default"/>
        </w:rPr>
      </w:pPr>
      <w:r>
        <w:t>（1）自然人纳税人首次进行个人所得税申报，应先进行自然人登记。进入金三操作系统，通过税务登记岗权限，按照【自然人税收管理系统（ITS）】—【登记】—【自然人信息采集（ITS）】的路径进入功能模块。</w:t>
      </w:r>
    </w:p>
    <w:p>
      <w:pPr>
        <w:wordWrap w:val="0"/>
        <w:spacing w:line="360" w:lineRule="auto"/>
        <w:ind w:firstLine="480"/>
        <w:jc w:val="left"/>
        <w:rPr>
          <w:rFonts w:hint="default"/>
        </w:rPr>
      </w:pPr>
      <w:r>
        <w:t>（2）自然人纳税人信息变动时，应进行自然人信息变更。进入金三操作系统，通过税务登记岗权限，按照【自然人税收管理系统（ITS）】—【登记】—【自然人信息变更（ITS）】的路径进入功能模块。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rPr>
                <w:color w:val="00B0F0"/>
                <w:kern w:val="0"/>
              </w:rPr>
            </w:pPr>
            <w:r>
              <w:rPr>
                <w:rFonts w:hint="eastAsia"/>
              </w:rPr>
              <w:t>《中华人民共和国个人所得税法》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pPr>
            <w:r>
              <w:rPr>
                <w:rFonts w:hint="eastAsia"/>
              </w:rPr>
              <w:t>《中华人民共和国个人所得税法实施条例》</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rPr>
                <w:color w:val="000000"/>
                <w:kern w:val="0"/>
              </w:rPr>
            </w:pPr>
            <w:r>
              <w:rPr>
                <w:rFonts w:hint="eastAsia"/>
              </w:rPr>
              <w:t>《国务院关于印发个人所得税专项附加扣除暂行办法的通知》（国发〔2018〕41号）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pPr>
            <w:r>
              <w:rPr>
                <w:rFonts w:hint="eastAsia"/>
              </w:rPr>
              <w:t>《国家税务总局关于发布生产经营所得及减免税事项有关个人所得税申报表的公告》（国家税务总局公告2015年第28号）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rPr>
                <w:bCs/>
              </w:rPr>
            </w:pPr>
            <w:r>
              <w:rPr>
                <w:rFonts w:hint="eastAsia"/>
              </w:rPr>
              <w:t>《国家税务总局关于发布〈个人所得税专项附加扣除操作办法（试行）〉的公告》（国家税务总局公告2018年第60号）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kern w:val="0"/>
              </w:rPr>
            </w:pPr>
            <w:r>
              <w:rPr>
                <w:rFonts w:hint="eastAsia"/>
              </w:rPr>
              <w:t>8</w:t>
            </w:r>
          </w:p>
        </w:tc>
        <w:tc>
          <w:tcPr>
            <w:tcW w:w="5670" w:type="dxa"/>
            <w:vAlign w:val="center"/>
          </w:tcPr>
          <w:p>
            <w:pPr>
              <w:pStyle w:val="50"/>
              <w:adjustRightInd/>
              <w:snapToGrid/>
              <w:spacing w:line="276" w:lineRule="auto"/>
              <w:rPr>
                <w:color w:val="000000"/>
                <w:kern w:val="0"/>
              </w:rPr>
            </w:pPr>
            <w:r>
              <w:rPr>
                <w:rFonts w:hint="eastAsia"/>
              </w:rPr>
              <w:t>《国家税务总局关于个人所得税自行纳税申报有关问题的公告》（国家税务总局公告2018年第62号）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pPr>
            <w:r>
              <w:rPr>
                <w:rFonts w:hint="eastAsia"/>
              </w:rPr>
              <w:t>《国家税务总局关于修订个人所得税申报表的公告》（国家税务总局公告2019年第7号）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1</w:t>
            </w:r>
          </w:p>
        </w:tc>
        <w:tc>
          <w:tcPr>
            <w:tcW w:w="5670"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2</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3</w:t>
            </w:r>
          </w:p>
        </w:tc>
        <w:tc>
          <w:tcPr>
            <w:tcW w:w="5670" w:type="dxa"/>
            <w:vAlign w:val="center"/>
          </w:tcPr>
          <w:p>
            <w:pPr>
              <w:pStyle w:val="50"/>
              <w:adjustRightInd/>
              <w:snapToGrid/>
              <w:spacing w:line="276" w:lineRule="auto"/>
            </w:pPr>
            <w:r>
              <w:rPr>
                <w:rFonts w:hint="eastAsia"/>
              </w:rPr>
              <w:t>《国家税务总局关于印发&lt;全国税务系统深化“放管服”改革五年工作方案（2018年—2022年）&gt;的通知》（税总发〔2018〕199号）</w:t>
            </w:r>
          </w:p>
        </w:tc>
        <w:tc>
          <w:tcPr>
            <w:tcW w:w="1780" w:type="dxa"/>
            <w:vAlign w:val="center"/>
          </w:tcPr>
          <w:p>
            <w:pPr>
              <w:pStyle w:val="50"/>
              <w:adjustRightInd/>
              <w:snapToGrid/>
              <w:spacing w:line="276" w:lineRule="auto"/>
            </w:pPr>
            <w:r>
              <w:rPr>
                <w:rFonts w:hint="eastAsia"/>
              </w:rPr>
              <w:t>依申请公开</w:t>
            </w:r>
          </w:p>
        </w:tc>
      </w:tr>
    </w:tbl>
    <w:p>
      <w:pPr>
        <w:pStyle w:val="30"/>
        <w:wordWrap w:val="0"/>
        <w:topLinePunct w:val="0"/>
        <w:spacing w:before="312" w:after="312"/>
        <w:rPr>
          <w:color w:val="000000" w:themeColor="text1"/>
        </w:rPr>
      </w:pPr>
      <w:bookmarkStart w:id="109" w:name="_Toc18569"/>
      <w:bookmarkStart w:id="110" w:name="_Toc32185"/>
      <w:bookmarkStart w:id="111" w:name="_Toc18096132"/>
      <w:r>
        <w:rPr>
          <w:rFonts w:hint="eastAsia"/>
          <w:color w:val="000000" w:themeColor="text1"/>
        </w:rPr>
        <w:t>3.5.5—08</w:t>
      </w:r>
      <w:r>
        <w:rPr>
          <w:color w:val="000000" w:themeColor="text1"/>
        </w:rPr>
        <w:t>2</w:t>
      </w:r>
      <w:r>
        <w:rPr>
          <w:rFonts w:hint="eastAsia"/>
          <w:color w:val="000000" w:themeColor="text1"/>
        </w:rPr>
        <w:t>　</w:t>
      </w:r>
      <w:r>
        <w:rPr>
          <w:color w:val="000000" w:themeColor="text1"/>
        </w:rPr>
        <w:t>　</w:t>
      </w:r>
      <w:r>
        <w:rPr>
          <w:rFonts w:hint="eastAsia"/>
          <w:color w:val="000000" w:themeColor="text1"/>
        </w:rPr>
        <w:t>居民其他分类所得个人所得税自行申报</w:t>
      </w:r>
      <w:bookmarkEnd w:id="109"/>
      <w:bookmarkEnd w:id="110"/>
      <w:bookmarkEnd w:id="111"/>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居民</w:t>
      </w:r>
      <w:r>
        <w:rPr>
          <w:rFonts w:ascii="宋体" w:hAnsi="宋体" w:cs="Times New Roman"/>
          <w:color w:val="000000" w:themeColor="text1"/>
        </w:rPr>
        <w:t>其他</w:t>
      </w:r>
      <w:r>
        <w:rPr>
          <w:rFonts w:hint="default" w:ascii="宋体" w:hAnsi="宋体" w:cs="Times New Roman"/>
          <w:color w:val="000000" w:themeColor="text1"/>
        </w:rPr>
        <w:t>分类所得个人所得税自行申报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居民个人</w:t>
      </w:r>
      <w:r>
        <w:rPr>
          <w:rFonts w:hint="default" w:ascii="宋体" w:hAnsi="宋体" w:cs="Times New Roman"/>
          <w:color w:val="000000" w:themeColor="text1"/>
        </w:rPr>
        <w:t>取得利息、股息、红利所得，财产租赁所得，财产转让所得，偶然所得但没有扣缴义务人的，或者有扣缴义务人但未扣缴税款的，以及国务院规定的其他情形，应依照税收法律、法规、规章及其他有关规定，在在取得所得的次年</w:t>
      </w:r>
      <w:r>
        <w:rPr>
          <w:rFonts w:cs="Times New Roman"/>
          <w:color w:val="000000" w:themeColor="text1"/>
        </w:rPr>
        <w:t>6</w:t>
      </w:r>
      <w:r>
        <w:rPr>
          <w:rFonts w:hint="default" w:ascii="宋体" w:hAnsi="宋体" w:cs="Times New Roman"/>
          <w:color w:val="000000" w:themeColor="text1"/>
        </w:rPr>
        <w:t>月</w:t>
      </w:r>
      <w:r>
        <w:rPr>
          <w:rFonts w:cs="Times New Roman"/>
          <w:color w:val="000000" w:themeColor="text1"/>
        </w:rPr>
        <w:t>30</w:t>
      </w:r>
      <w:r>
        <w:rPr>
          <w:rFonts w:hint="default" w:ascii="宋体" w:hAnsi="宋体" w:cs="Times New Roman"/>
          <w:color w:val="000000" w:themeColor="text1"/>
        </w:rPr>
        <w:t>日前就其个人所得向主管税务机关申报并缴纳税款。税务机关通知限期缴纳的，纳税人应当按照期限缴纳税款。</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《中华人民共和国个人所得税法》</w:t>
      </w:r>
      <w:r>
        <w:rPr>
          <w:rFonts w:ascii="宋体" w:hAnsi="宋体" w:cs="宋体"/>
          <w:color w:val="000000" w:themeColor="text1"/>
        </w:rPr>
        <w:t>第二条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334"/>
        <w:gridCol w:w="3881"/>
        <w:gridCol w:w="912"/>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521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912"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135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521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《个人所得税自行纳税申报表（A表）》</w:t>
            </w:r>
          </w:p>
        </w:tc>
        <w:tc>
          <w:tcPr>
            <w:tcW w:w="9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135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521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个人身份证件</w:t>
            </w:r>
          </w:p>
        </w:tc>
        <w:tc>
          <w:tcPr>
            <w:tcW w:w="9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14"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适用情形</w:t>
            </w:r>
          </w:p>
        </w:tc>
        <w:tc>
          <w:tcPr>
            <w:tcW w:w="3881"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912"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135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14"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纳税人存在减免个人所得税情形</w:t>
            </w:r>
          </w:p>
        </w:tc>
        <w:tc>
          <w:tcPr>
            <w:tcW w:w="388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《个人所得税减免税事项报告表》</w:t>
            </w:r>
          </w:p>
        </w:tc>
        <w:tc>
          <w:tcPr>
            <w:tcW w:w="9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14" w:type="dxa"/>
            <w:gridSpan w:val="2"/>
            <w:vMerge w:val="restart"/>
            <w:tcBorders>
              <w:top w:val="single" w:color="auto" w:sz="4" w:space="0"/>
              <w:left w:val="single" w:color="auto" w:sz="4" w:space="0"/>
              <w:right w:val="single" w:color="auto" w:sz="4" w:space="0"/>
            </w:tcBorders>
            <w:vAlign w:val="center"/>
          </w:tcPr>
          <w:p>
            <w:pPr>
              <w:wordWrap w:val="0"/>
              <w:spacing w:line="240" w:lineRule="auto"/>
              <w:ind w:firstLine="0" w:firstLineChars="0"/>
              <w:jc w:val="center"/>
              <w:rPr>
                <w:rFonts w:hint="default"/>
                <w:color w:val="000000" w:themeColor="text1"/>
              </w:rPr>
            </w:pPr>
            <w:r>
              <w:rPr>
                <w:rFonts w:ascii="黑体" w:hAnsi="黑体" w:eastAsia="黑体" w:cs="Times New Roman"/>
                <w:color w:val="000000" w:themeColor="text1"/>
                <w:sz w:val="18"/>
                <w:szCs w:val="18"/>
              </w:rPr>
              <w:t>办理股权转让纳税申报</w:t>
            </w:r>
          </w:p>
        </w:tc>
        <w:tc>
          <w:tcPr>
            <w:tcW w:w="3881"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股权转让双方身份证件</w:t>
            </w:r>
          </w:p>
        </w:tc>
        <w:tc>
          <w:tcPr>
            <w:tcW w:w="9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14"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881"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计税依据明显偏低但有正当理由的证明资料</w:t>
            </w:r>
          </w:p>
        </w:tc>
        <w:tc>
          <w:tcPr>
            <w:tcW w:w="9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14"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881"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宋体" w:hAnsi="宋体" w:cs="Times New Roman"/>
                <w:color w:val="000000" w:themeColor="text1"/>
              </w:rPr>
            </w:pPr>
            <w:r>
              <w:rPr>
                <w:rFonts w:ascii="黑体" w:hAnsi="黑体" w:eastAsia="黑体" w:cs="Times New Roman"/>
                <w:color w:val="000000" w:themeColor="text1"/>
                <w:sz w:val="18"/>
                <w:szCs w:val="18"/>
              </w:rPr>
              <w:t>股权转让合同（协议）</w:t>
            </w:r>
          </w:p>
        </w:tc>
        <w:tc>
          <w:tcPr>
            <w:tcW w:w="9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14"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881"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具有法定资质的中介机构出具的净资产或土地房产等资产价值评估报告</w:t>
            </w:r>
          </w:p>
        </w:tc>
        <w:tc>
          <w:tcPr>
            <w:tcW w:w="9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5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可通过办税服务厅（场所）办理，具体地点可从国家税务总局湖南省税务局网站“纳税服务”栏目查询。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14605" b="0"/>
            <wp:docPr id="22"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经过实名信息验证的办税人员，不再提供登记证件和身份证件复印件等资料。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纳税人有未缴或者少缴税款的，应当在注销户籍前，结清欠缴或未缴的税款。纳税人存在分期缴税且未缴纳完毕的，应当在注销户籍前，结清尚未缴纳的税款。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纳税人在注销户籍当年取得利息、股息、红利所得，财产租赁所得，财产转让所得和偶然所得的，应当在注销户籍前，申报当年上述所得的完税情况，并报送《个人所得税自行纳税申报表（A表）》。</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个人股权转让所得个人所得税以被投资企业所在地税务机关为主管税务机关。具有下列情形之一的，纳税人应当依法在次月</w:t>
      </w:r>
      <w:r>
        <w:rPr>
          <w:rFonts w:cs="Times New Roman"/>
          <w:color w:val="000000" w:themeColor="text1"/>
        </w:rPr>
        <w:t>15</w:t>
      </w:r>
      <w:r>
        <w:rPr>
          <w:rFonts w:hint="default" w:ascii="宋体" w:hAnsi="宋体" w:cs="Times New Roman"/>
          <w:color w:val="000000" w:themeColor="text1"/>
        </w:rPr>
        <w:t>日内向主管税务机关申报纳税：</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）受让方已支付或部分支付股权转让价款的；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）股权转让协议已签订生效的；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）受让方已经实际履行股东职责或者享受股东权益的；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）国家有关部门判决、登记或公告生效的；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5</w:t>
      </w:r>
      <w:r>
        <w:rPr>
          <w:rFonts w:hint="default" w:ascii="宋体" w:hAnsi="宋体" w:cs="Times New Roman"/>
          <w:color w:val="000000" w:themeColor="text1"/>
        </w:rPr>
        <w:t>）股权被司法或行政机关强制过、以股权对外投资或进行其他非货币性交易的、以股权抵偿债务或其他股权转移行为已完成的；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6</w:t>
      </w:r>
      <w:r>
        <w:rPr>
          <w:rFonts w:hint="default" w:ascii="宋体" w:hAnsi="宋体" w:cs="Times New Roman"/>
          <w:color w:val="000000" w:themeColor="text1"/>
        </w:rPr>
        <w:t>）税务机关认定的其他有证据表明股权已发生转移的情形。</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个人转让不动产的，税务机关应当根据不动产登记等相关信息核验应缴的个人所得税，登记机构办理转移登记时，应当查验与该不动产转让相关的个人所得税的完税凭证。个人转让股权办理变更登记的，市场主体登记机关应当查验与该股权交易相关的个人所得税的完税凭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当纳税人既存有优惠减免，又存在非居民享受税收协定待遇减免时，纳税人可以选择优惠度最高的享受减免进行申报。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符合税收优惠条件的纳税人，在减税、免税期间，应按规定办理纳税申报，填写申报表及其附表上的优惠栏目</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）办税服务厅接收资料，核对资料是否齐全、是否符合法定形式、填写内容是否完整，符合的即时受理；对资料不齐全、不符合法定形式或填写内容不完整的，当场一次性告知应补正资料或不予受理原因</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进入金三操作系统，通过申报征收岗权限，按照【自然人税收管理系统（ITS）】—【申报】—【自行申报】—【分类所得个人所得税自行申报（ITS）】的路径进入功能模块。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2.提示事项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自然人纳税人首次进行个人所得税申报，应先进行自然人登记。进入金三操作系统，通过税务登记岗权限，按照【自然人税收管理系统（ITS）】—【登记】—【自然人信息采集（ITS）】的路径进入功能模块。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自然人纳税人信息变动时，应进行自然人信息变更。进入金三操作系统，通过税务登记岗权限，按照【自然人税收管理系统（ITS）】—【登记】—【自然人信息变更（ITS）】的路径进入功能模块。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855" w:type="dxa"/>
            <w:vAlign w:val="center"/>
          </w:tcPr>
          <w:p>
            <w:pPr>
              <w:pStyle w:val="50"/>
              <w:adjustRightInd/>
              <w:snapToGrid/>
              <w:spacing w:line="276" w:lineRule="auto"/>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rPr>
                <w:color w:val="00B0F0"/>
                <w:kern w:val="0"/>
              </w:rPr>
            </w:pPr>
            <w:r>
              <w:rPr>
                <w:rFonts w:hint="eastAsia"/>
              </w:rPr>
              <w:t>《中华人民共和国个人所得税法》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pPr>
            <w:r>
              <w:rPr>
                <w:rFonts w:hint="eastAsia"/>
              </w:rPr>
              <w:t>《中华人民共和国个人所得税法实施条例》</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855" w:type="dxa"/>
            <w:vAlign w:val="center"/>
          </w:tcPr>
          <w:p>
            <w:pPr>
              <w:pStyle w:val="50"/>
              <w:adjustRightInd/>
              <w:snapToGrid/>
              <w:spacing w:line="276" w:lineRule="auto"/>
            </w:pPr>
            <w:r>
              <w:rPr>
                <w:rFonts w:hint="eastAsia"/>
              </w:rPr>
              <w:t>《财政部 税务总局关于个人取得有关收入适用个人所得税应税所得项目的公告》（财政部税务总局公告2019年第74号）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55"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kern w:val="0"/>
              </w:rPr>
            </w:pPr>
            <w:r>
              <w:rPr>
                <w:rFonts w:hint="eastAsia"/>
              </w:rPr>
              <w:t>6</w:t>
            </w:r>
          </w:p>
        </w:tc>
        <w:tc>
          <w:tcPr>
            <w:tcW w:w="5855" w:type="dxa"/>
            <w:vAlign w:val="center"/>
          </w:tcPr>
          <w:p>
            <w:pPr>
              <w:pStyle w:val="50"/>
              <w:adjustRightInd/>
              <w:snapToGrid/>
              <w:spacing w:line="276" w:lineRule="auto"/>
              <w:rPr>
                <w:color w:val="000000"/>
                <w:kern w:val="0"/>
              </w:rPr>
            </w:pPr>
            <w:r>
              <w:rPr>
                <w:rFonts w:hint="eastAsia"/>
              </w:rPr>
              <w:t>《国家税务总局关于个人所得税自行纳税申报有关问题的公告》（国家税务总局公告2018年第62号）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855" w:type="dxa"/>
            <w:vAlign w:val="center"/>
          </w:tcPr>
          <w:p>
            <w:pPr>
              <w:pStyle w:val="50"/>
              <w:adjustRightInd/>
              <w:snapToGrid/>
              <w:spacing w:line="276" w:lineRule="auto"/>
            </w:pPr>
            <w:r>
              <w:rPr>
                <w:rFonts w:hint="eastAsia"/>
              </w:rPr>
              <w:t>《国家税务总局关于修订个人所得税申报表的公告》（国家税务总局公告2019年第7号）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855" w:type="dxa"/>
            <w:vAlign w:val="center"/>
          </w:tcPr>
          <w:p>
            <w:pPr>
              <w:pStyle w:val="50"/>
              <w:adjustRightInd/>
              <w:snapToGrid/>
              <w:spacing w:line="276" w:lineRule="auto"/>
            </w:pPr>
            <w:r>
              <w:rPr>
                <w:rFonts w:hint="eastAsia"/>
              </w:rPr>
              <w:t>《国家税务总局关于加快推行办税事项同城通办的通知》（税总发〔2016〕46号）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855"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595"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855"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95"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855" w:type="dxa"/>
            <w:vAlign w:val="center"/>
          </w:tcPr>
          <w:p>
            <w:pPr>
              <w:pStyle w:val="50"/>
              <w:adjustRightInd/>
              <w:snapToGrid/>
              <w:spacing w:line="276" w:lineRule="auto"/>
            </w:pPr>
            <w:r>
              <w:rPr>
                <w:rFonts w:hint="eastAsia"/>
              </w:rPr>
              <w:t>《国家税务总局关于印发&lt;全国税务系统深化“放管服”改革五年工作方案（2018年—2022年）&gt;的通知》（税总发〔2018〕199号）</w:t>
            </w:r>
          </w:p>
        </w:tc>
        <w:tc>
          <w:tcPr>
            <w:tcW w:w="1595" w:type="dxa"/>
            <w:vAlign w:val="center"/>
          </w:tcPr>
          <w:p>
            <w:pPr>
              <w:pStyle w:val="50"/>
              <w:adjustRightInd/>
              <w:snapToGrid/>
              <w:spacing w:line="276" w:lineRule="auto"/>
            </w:pPr>
            <w:r>
              <w:rPr>
                <w:rFonts w:hint="eastAsia"/>
              </w:rPr>
              <w:t>依申请公开</w:t>
            </w:r>
          </w:p>
        </w:tc>
      </w:tr>
    </w:tbl>
    <w:p>
      <w:pPr>
        <w:pStyle w:val="30"/>
        <w:wordWrap w:val="0"/>
        <w:topLinePunct w:val="0"/>
        <w:spacing w:before="312" w:after="312"/>
        <w:rPr>
          <w:color w:val="000000" w:themeColor="text1"/>
        </w:rPr>
      </w:pPr>
      <w:bookmarkStart w:id="112" w:name="_Toc11423"/>
      <w:bookmarkStart w:id="113" w:name="_Toc28889"/>
      <w:bookmarkStart w:id="114" w:name="_Toc18096133"/>
      <w:r>
        <w:rPr>
          <w:rFonts w:hint="eastAsia"/>
          <w:color w:val="000000" w:themeColor="text1"/>
        </w:rPr>
        <w:t>3.5.6—08</w:t>
      </w:r>
      <w:r>
        <w:rPr>
          <w:color w:val="000000" w:themeColor="text1"/>
        </w:rPr>
        <w:t>3</w:t>
      </w:r>
      <w:r>
        <w:rPr>
          <w:rFonts w:hint="eastAsia"/>
          <w:color w:val="000000" w:themeColor="text1"/>
        </w:rPr>
        <w:t>　</w:t>
      </w:r>
      <w:r>
        <w:rPr>
          <w:color w:val="000000" w:themeColor="text1"/>
        </w:rPr>
        <w:t>　</w:t>
      </w:r>
      <w:r>
        <w:rPr>
          <w:rFonts w:hint="eastAsia"/>
          <w:color w:val="000000" w:themeColor="text1"/>
        </w:rPr>
        <w:t>非居民个人所得税自行申报</w:t>
      </w:r>
      <w:bookmarkEnd w:id="112"/>
      <w:bookmarkEnd w:id="113"/>
      <w:bookmarkEnd w:id="114"/>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非居民个人所得税自行申报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非居民纳税人按照税收法律法规和税收协定的有关规定，就其取得的境内个人所得向主管税务机关书面报送相关申报表。</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宋体"/>
          <w:color w:val="000000" w:themeColor="text1"/>
        </w:rPr>
      </w:pPr>
      <w:r>
        <w:rPr>
          <w:rFonts w:cs="Times New Roman"/>
          <w:color w:val="000000" w:themeColor="text1"/>
        </w:rPr>
        <w:t>2.</w:t>
      </w:r>
      <w:r>
        <w:rPr>
          <w:rFonts w:ascii="宋体" w:hAnsi="宋体" w:cs="Times New Roman"/>
          <w:color w:val="000000" w:themeColor="text1"/>
        </w:rPr>
        <w:t>《中华人民共和国个人所得税法》</w:t>
      </w:r>
      <w:r>
        <w:rPr>
          <w:rFonts w:ascii="宋体" w:hAnsi="宋体" w:cs="宋体"/>
          <w:color w:val="000000" w:themeColor="text1"/>
        </w:rPr>
        <w:t>第二条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544"/>
        <w:gridCol w:w="2991"/>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《个人所得税自行纳税申报表（A表）》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24"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适用情形</w:t>
            </w:r>
          </w:p>
        </w:tc>
        <w:tc>
          <w:tcPr>
            <w:tcW w:w="2991"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24"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纳税人存在减免个人所得税情形</w:t>
            </w:r>
          </w:p>
        </w:tc>
        <w:tc>
          <w:tcPr>
            <w:tcW w:w="299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《个人所得税减免税事项报告表》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w:t>
      </w:r>
      <w:r>
        <w:rPr>
          <w:rFonts w:hint="default" w:ascii="宋体" w:hAnsi="宋体" w:cs="Times New Roman"/>
          <w:color w:val="000000" w:themeColor="text1"/>
        </w:rPr>
        <w:t>办理</w:t>
      </w:r>
      <w:r>
        <w:rPr>
          <w:rFonts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3175" b="0"/>
            <wp:docPr id="23"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非居民个人指在中国境内无住所又不居住，或者无住所而一个纳税年度内在中国境内居住累计不满</w:t>
      </w:r>
      <w:r>
        <w:rPr>
          <w:rFonts w:cs="Times New Roman"/>
          <w:color w:val="000000" w:themeColor="text1"/>
        </w:rPr>
        <w:t>183</w:t>
      </w:r>
      <w:r>
        <w:rPr>
          <w:rFonts w:hint="default" w:ascii="宋体" w:hAnsi="宋体" w:cs="Times New Roman"/>
          <w:color w:val="000000" w:themeColor="text1"/>
        </w:rPr>
        <w:t>天的个人。无住所个人一个纳税年度内在中国境内累计居住天数，按照个人在中国境内累计停留的天数计算。在中国境内停留的当天满</w:t>
      </w:r>
      <w:r>
        <w:rPr>
          <w:rFonts w:cs="Times New Roman"/>
          <w:color w:val="000000" w:themeColor="text1"/>
        </w:rPr>
        <w:t>24</w:t>
      </w:r>
      <w:r>
        <w:rPr>
          <w:rFonts w:hint="default" w:ascii="宋体" w:hAnsi="宋体" w:cs="Times New Roman"/>
          <w:color w:val="000000" w:themeColor="text1"/>
        </w:rPr>
        <w:t>小时的，计入中国境内居住天数，在中国境内停留的当天不足</w:t>
      </w:r>
      <w:r>
        <w:rPr>
          <w:rFonts w:cs="Times New Roman"/>
          <w:color w:val="000000" w:themeColor="text1"/>
        </w:rPr>
        <w:t>24</w:t>
      </w:r>
      <w:r>
        <w:rPr>
          <w:rFonts w:hint="default" w:ascii="宋体" w:hAnsi="宋体" w:cs="Times New Roman"/>
          <w:color w:val="000000" w:themeColor="text1"/>
        </w:rPr>
        <w:t>小时的，不计入中国境内居住天数。</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非居民个人所得税自行申报的情形包括：</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）从中国境内取得应税所得没有扣缴义务人的；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）从中国境内取得应税所得，扣缴义务人未扣缴税款的；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）从中国境内两处或两处以上取得工资、薪金所得的；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）国务院规定的其他情形。</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非居民个人取得工资、薪金所得，劳务报酬所得，稿酬所得，特许权使用费所得，扣缴义务人未扣缴税款的，应当在取得所得的次年</w:t>
      </w:r>
      <w:r>
        <w:rPr>
          <w:rFonts w:cs="Times New Roman"/>
          <w:color w:val="000000" w:themeColor="text1"/>
        </w:rPr>
        <w:t>6</w:t>
      </w:r>
      <w:r>
        <w:rPr>
          <w:rFonts w:hint="default" w:ascii="宋体" w:hAnsi="宋体" w:cs="Times New Roman"/>
          <w:color w:val="000000" w:themeColor="text1"/>
        </w:rPr>
        <w:t>月</w:t>
      </w:r>
      <w:r>
        <w:rPr>
          <w:rFonts w:cs="Times New Roman"/>
          <w:color w:val="000000" w:themeColor="text1"/>
        </w:rPr>
        <w:t>30</w:t>
      </w:r>
      <w:r>
        <w:rPr>
          <w:rFonts w:hint="default" w:ascii="宋体" w:hAnsi="宋体" w:cs="Times New Roman"/>
          <w:color w:val="000000" w:themeColor="text1"/>
        </w:rPr>
        <w:t>日前，向扣缴义务人所在地主管税务机关办理纳税申报。有两个以上扣缴义务人均未扣缴税款的，选择向其中一处扣缴义务人所在地主管税务机关办理纳税申报。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非居民个人在中国境内从两处以上取得工资、薪金所得的，应当在取得所得的次月</w:t>
      </w:r>
      <w:r>
        <w:rPr>
          <w:rFonts w:cs="Times New Roman"/>
          <w:color w:val="000000" w:themeColor="text1"/>
        </w:rPr>
        <w:t>15</w:t>
      </w:r>
      <w:r>
        <w:rPr>
          <w:rFonts w:hint="default" w:ascii="宋体" w:hAnsi="宋体" w:cs="Times New Roman"/>
          <w:color w:val="000000" w:themeColor="text1"/>
        </w:rPr>
        <w:t>日内，向其中一处任职、受雇单位所在地主管税务机关办理纳税申报。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非居民个人取得利息、股息、红利所得，财产租赁所得，财产转让所得和偶然所得的，扣缴义务人未扣缴税款的，应当在取得所得的次年</w:t>
      </w:r>
      <w:r>
        <w:rPr>
          <w:rFonts w:cs="Times New Roman"/>
          <w:color w:val="000000" w:themeColor="text1"/>
        </w:rPr>
        <w:t>6</w:t>
      </w:r>
      <w:r>
        <w:rPr>
          <w:rFonts w:hint="default" w:ascii="宋体" w:hAnsi="宋体" w:cs="Times New Roman"/>
          <w:color w:val="000000" w:themeColor="text1"/>
        </w:rPr>
        <w:t>月</w:t>
      </w:r>
      <w:r>
        <w:rPr>
          <w:rFonts w:cs="Times New Roman"/>
          <w:color w:val="000000" w:themeColor="text1"/>
        </w:rPr>
        <w:t>30</w:t>
      </w:r>
      <w:r>
        <w:rPr>
          <w:rFonts w:hint="default" w:ascii="宋体" w:hAnsi="宋体" w:cs="Times New Roman"/>
          <w:color w:val="000000" w:themeColor="text1"/>
        </w:rPr>
        <w:t>日前，按相关规定向主管税务机关办理纳税申报。税务机关通知限期缴纳的，纳税人应当按照期限缴纳税款。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非居民个人在次年</w:t>
      </w:r>
      <w:r>
        <w:rPr>
          <w:rFonts w:cs="Times New Roman"/>
          <w:color w:val="000000" w:themeColor="text1"/>
        </w:rPr>
        <w:t>6</w:t>
      </w:r>
      <w:r>
        <w:rPr>
          <w:rFonts w:hint="default" w:ascii="宋体" w:hAnsi="宋体" w:cs="Times New Roman"/>
          <w:color w:val="000000" w:themeColor="text1"/>
        </w:rPr>
        <w:t>月</w:t>
      </w:r>
      <w:r>
        <w:rPr>
          <w:rFonts w:cs="Times New Roman"/>
          <w:color w:val="000000" w:themeColor="text1"/>
        </w:rPr>
        <w:t>30</w:t>
      </w:r>
      <w:r>
        <w:rPr>
          <w:rFonts w:hint="default" w:ascii="宋体" w:hAnsi="宋体" w:cs="Times New Roman"/>
          <w:color w:val="000000" w:themeColor="text1"/>
        </w:rPr>
        <w:t>日前离境（临时离境除外）的，应当在离境前办理纳税申报。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符合税收优惠条件的纳税人，在减税、免税期间，应按规定办理纳税申报，填写申报表及其附表上的优惠栏目</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办税服务厅接收资料信息，核对资料信息是否齐全、是否符合法定形式、填写内容是否完整，符合的即时受理；对资料不齐全、不符合法定形式或填写内容不完整的，</w:t>
      </w:r>
      <w:r>
        <w:rPr>
          <w:rFonts w:ascii="宋体" w:hAnsi="宋体" w:cs="Times New Roman"/>
          <w:color w:val="000000" w:themeColor="text1"/>
        </w:rPr>
        <w:t>当场</w:t>
      </w:r>
      <w:r>
        <w:rPr>
          <w:rFonts w:hint="default" w:ascii="宋体" w:hAnsi="宋体" w:cs="Times New Roman"/>
          <w:color w:val="000000" w:themeColor="text1"/>
        </w:rPr>
        <w:t>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rPr>
      </w:pPr>
      <w:r>
        <w:rPr>
          <w:rFonts w:ascii="黑体" w:hAnsi="黑体" w:eastAsia="黑体" w:cs="Times New Roman"/>
          <w:bCs/>
        </w:rPr>
        <w:t>【操作规范】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进入金三操作系统，通过申报征收岗权限，按照【自然人税收管理系统（ITS）】—【申报】—【自行申报】—【非居民个人所得税自行申报（ITS）】的路径进入功能模块。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2.提示事项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自然人纳税人首次进行个人所得税申报，应先进行自然人登记。进入金三操作系统，通过税务登记岗权限，按照【自然人税收管理系统（ITS）】—【登记】—【自然人信息采集（ITS）】的路径进入功能模块。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自然人纳税人信息变动时，应进行自然人信息变更。进入金三操作系统，通过税务登记岗权限，按照【自然人税收管理系统（ITS）】—【登记】—【自然人信息变更（ITS）】的路径进入功能模块。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rPr>
                <w:color w:val="00B0F0"/>
                <w:kern w:val="0"/>
              </w:rPr>
            </w:pPr>
            <w:r>
              <w:rPr>
                <w:rFonts w:hint="eastAsia"/>
              </w:rPr>
              <w:t>《中华人民共和国个人所得税法》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pPr>
            <w:r>
              <w:rPr>
                <w:rFonts w:hint="eastAsia"/>
              </w:rPr>
              <w:t>《中华人民共和国个人所得税法实施条例》</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4</w:t>
            </w:r>
          </w:p>
        </w:tc>
        <w:tc>
          <w:tcPr>
            <w:tcW w:w="5670" w:type="dxa"/>
            <w:vAlign w:val="center"/>
          </w:tcPr>
          <w:p>
            <w:pPr>
              <w:pStyle w:val="50"/>
              <w:adjustRightInd/>
              <w:snapToGrid/>
              <w:spacing w:line="276" w:lineRule="auto"/>
            </w:pPr>
            <w:r>
              <w:t>《财政部 税务总局关于在中国境内无住所的个人居住时间判定标准的公告》</w:t>
            </w:r>
            <w:r>
              <w:rPr>
                <w:rFonts w:hint="eastAsia"/>
              </w:rPr>
              <w:t>（</w:t>
            </w:r>
            <w:r>
              <w:t>财政部 税务总局公告2019年第34号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5</w:t>
            </w:r>
          </w:p>
        </w:tc>
        <w:tc>
          <w:tcPr>
            <w:tcW w:w="5670" w:type="dxa"/>
            <w:vAlign w:val="center"/>
          </w:tcPr>
          <w:p>
            <w:pPr>
              <w:pStyle w:val="50"/>
              <w:adjustRightInd/>
              <w:snapToGrid/>
              <w:spacing w:line="276" w:lineRule="auto"/>
            </w:pPr>
            <w:r>
              <w:t>《财政部 税务总局关于非居民个人和无住所居民个人有关个人所得税政策的公告》</w:t>
            </w:r>
            <w:r>
              <w:rPr>
                <w:rFonts w:hint="eastAsia"/>
              </w:rPr>
              <w:t>（</w:t>
            </w:r>
            <w:r>
              <w:t>财政部 税务总局公告2019年第35号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6</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7</w:t>
            </w:r>
          </w:p>
        </w:tc>
        <w:tc>
          <w:tcPr>
            <w:tcW w:w="5670" w:type="dxa"/>
            <w:vAlign w:val="center"/>
          </w:tcPr>
          <w:p>
            <w:pPr>
              <w:pStyle w:val="50"/>
              <w:adjustRightInd/>
              <w:snapToGrid/>
              <w:spacing w:line="276" w:lineRule="auto"/>
            </w:pPr>
            <w:r>
              <w:rPr>
                <w:rFonts w:hint="eastAsia"/>
              </w:rPr>
              <w:t>《国家税务总局关于发布〈个人所得税专项附加扣除操作办法（试行）〉的公告》（国家税务总局公告2018年第60号）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8</w:t>
            </w:r>
          </w:p>
        </w:tc>
        <w:tc>
          <w:tcPr>
            <w:tcW w:w="5670" w:type="dxa"/>
            <w:vAlign w:val="center"/>
          </w:tcPr>
          <w:p>
            <w:pPr>
              <w:pStyle w:val="50"/>
              <w:adjustRightInd/>
              <w:snapToGrid/>
              <w:spacing w:line="276" w:lineRule="auto"/>
              <w:rPr>
                <w:color w:val="000000"/>
                <w:kern w:val="0"/>
              </w:rPr>
            </w:pPr>
            <w:r>
              <w:rPr>
                <w:rFonts w:hint="eastAsia"/>
              </w:rPr>
              <w:t>《国家税务总局关于个人所得税自行纳税申报有关问题的公告》（国家税务总局公告2018年第62号）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kern w:val="0"/>
              </w:rPr>
            </w:pPr>
            <w:r>
              <w:t>9</w:t>
            </w:r>
          </w:p>
        </w:tc>
        <w:tc>
          <w:tcPr>
            <w:tcW w:w="5670" w:type="dxa"/>
            <w:vAlign w:val="center"/>
          </w:tcPr>
          <w:p>
            <w:pPr>
              <w:pStyle w:val="50"/>
              <w:adjustRightInd/>
              <w:snapToGrid/>
              <w:spacing w:line="276" w:lineRule="auto"/>
            </w:pPr>
            <w:r>
              <w:rPr>
                <w:rFonts w:hint="eastAsia"/>
              </w:rPr>
              <w:t>《国家税务总局关于修订个人所得税申报表的公告》（国家税务总局公告2019年第7号）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10</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11</w:t>
            </w:r>
          </w:p>
        </w:tc>
        <w:tc>
          <w:tcPr>
            <w:tcW w:w="5670"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2</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3</w:t>
            </w:r>
          </w:p>
        </w:tc>
        <w:tc>
          <w:tcPr>
            <w:tcW w:w="5670" w:type="dxa"/>
            <w:vAlign w:val="center"/>
          </w:tcPr>
          <w:p>
            <w:pPr>
              <w:pStyle w:val="50"/>
              <w:adjustRightInd/>
              <w:snapToGrid/>
              <w:spacing w:line="276" w:lineRule="auto"/>
            </w:pPr>
            <w:r>
              <w:rPr>
                <w:rFonts w:hint="eastAsia"/>
              </w:rPr>
              <w:t>《国家税务总局关于印发&lt;全国税务系统深化“放管服”改革五年工作方案（2018年—2022年）&gt;的通知》（税总发〔2018〕199号）</w:t>
            </w:r>
          </w:p>
        </w:tc>
        <w:tc>
          <w:tcPr>
            <w:tcW w:w="1780" w:type="dxa"/>
            <w:vAlign w:val="center"/>
          </w:tcPr>
          <w:p>
            <w:pPr>
              <w:pStyle w:val="50"/>
              <w:adjustRightInd/>
              <w:snapToGrid/>
              <w:spacing w:line="276" w:lineRule="auto"/>
            </w:pPr>
            <w:r>
              <w:rPr>
                <w:rFonts w:hint="eastAsia"/>
              </w:rPr>
              <w:t>依申请公开</w:t>
            </w:r>
          </w:p>
        </w:tc>
      </w:tr>
    </w:tbl>
    <w:p>
      <w:pPr>
        <w:pStyle w:val="30"/>
        <w:wordWrap w:val="0"/>
        <w:topLinePunct w:val="0"/>
        <w:spacing w:before="312" w:after="312"/>
        <w:rPr>
          <w:color w:val="000000" w:themeColor="text1"/>
        </w:rPr>
      </w:pPr>
      <w:bookmarkStart w:id="115" w:name="_Toc18897"/>
      <w:bookmarkStart w:id="116" w:name="_Toc18096134"/>
      <w:bookmarkStart w:id="117" w:name="_Toc254"/>
      <w:r>
        <w:rPr>
          <w:rFonts w:hint="eastAsia"/>
          <w:color w:val="000000" w:themeColor="text1"/>
        </w:rPr>
        <w:t>3.5.7—08</w:t>
      </w:r>
      <w:r>
        <w:rPr>
          <w:color w:val="000000" w:themeColor="text1"/>
        </w:rPr>
        <w:t>4</w:t>
      </w:r>
      <w:r>
        <w:rPr>
          <w:rFonts w:hint="eastAsia"/>
          <w:color w:val="000000" w:themeColor="text1"/>
        </w:rPr>
        <w:t>　</w:t>
      </w:r>
      <w:r>
        <w:rPr>
          <w:color w:val="000000" w:themeColor="text1"/>
        </w:rPr>
        <w:t>　</w:t>
      </w:r>
      <w:r>
        <w:rPr>
          <w:rFonts w:hint="eastAsia"/>
          <w:color w:val="000000" w:themeColor="text1"/>
        </w:rPr>
        <w:t>限售股转让所得个人所得税清算申报</w:t>
      </w:r>
      <w:bookmarkEnd w:id="115"/>
      <w:bookmarkEnd w:id="116"/>
      <w:bookmarkEnd w:id="117"/>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限售股转让所得个人所得税清算申报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pStyle w:val="16"/>
        <w:spacing w:beforeLines="0" w:afterLines="0"/>
        <w:rPr>
          <w:color w:val="000000" w:themeColor="text1"/>
        </w:rPr>
      </w:pPr>
      <w:r>
        <w:rPr>
          <w:color w:val="000000" w:themeColor="text1"/>
        </w:rPr>
        <w:t>限售股转让所得个人所得税，采取证券机构预扣预缴、纳税人自行申报清算和证券机构直接扣缴相结合的方式征收。纳税人按照实际转让收入与实际成本计算出的应纳税额，与证券机构预扣预缴税额有差异的，纳税人应自证券机构代扣并解缴税款的次月</w:t>
      </w:r>
      <w:r>
        <w:rPr>
          <w:rFonts w:hint="eastAsia" w:ascii="Times New Roman" w:hAnsi="Times New Roman" w:cs="Times New Roman"/>
          <w:color w:val="000000" w:themeColor="text1"/>
        </w:rPr>
        <w:t>1</w:t>
      </w:r>
      <w:r>
        <w:rPr>
          <w:color w:val="000000" w:themeColor="text1"/>
        </w:rPr>
        <w:t>日起</w:t>
      </w:r>
      <w:r>
        <w:rPr>
          <w:rFonts w:hint="eastAsia" w:ascii="Times New Roman" w:hAnsi="Times New Roman" w:cs="Times New Roman"/>
          <w:color w:val="000000" w:themeColor="text1"/>
        </w:rPr>
        <w:t>3</w:t>
      </w:r>
      <w:r>
        <w:rPr>
          <w:color w:val="000000" w:themeColor="text1"/>
        </w:rPr>
        <w:t>个月内，到证券机构所在地主管税务机关提出清算申请，办理清算申报事宜。</w:t>
      </w:r>
    </w:p>
    <w:p>
      <w:pPr>
        <w:pStyle w:val="31"/>
        <w:wordWrap w:val="0"/>
        <w:adjustRightInd/>
        <w:snapToGrid/>
        <w:rPr>
          <w:color w:val="000000" w:themeColor="text1"/>
        </w:rPr>
      </w:pPr>
      <w:r>
        <w:rPr>
          <w:rFonts w:hint="eastAsia"/>
          <w:color w:val="000000" w:themeColor="text1"/>
        </w:rPr>
        <w:t>【设定依据】</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1.</w:t>
      </w:r>
      <w:r>
        <w:rPr>
          <w:rFonts w:hint="eastAsia" w:ascii="宋体" w:hAnsi="宋体" w:eastAsia="宋体"/>
          <w:color w:val="000000" w:themeColor="text1"/>
        </w:rPr>
        <w:t>《中华人民共和国税收征收管理法》第二十五条第一款</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2.</w:t>
      </w:r>
      <w:r>
        <w:rPr>
          <w:rFonts w:hint="eastAsia" w:ascii="宋体" w:hAnsi="宋体" w:eastAsia="宋体"/>
          <w:color w:val="000000" w:themeColor="text1"/>
        </w:rPr>
        <w:t>《中华人民共和国个人所得税法》第二条</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3.</w:t>
      </w:r>
      <w:r>
        <w:rPr>
          <w:rFonts w:hint="eastAsia" w:ascii="宋体" w:hAnsi="宋体" w:eastAsia="宋体"/>
          <w:color w:val="000000" w:themeColor="text1"/>
        </w:rPr>
        <w:t>《财政部 国家税务总局 证监会关于个人转让上市公司限售股所得征收个人所得税有关问题的通知》（财税〔</w:t>
      </w:r>
      <w:r>
        <w:rPr>
          <w:rFonts w:hint="eastAsia" w:ascii="Times New Roman" w:hAnsi="Times New Roman" w:eastAsia="宋体"/>
          <w:color w:val="000000" w:themeColor="text1"/>
        </w:rPr>
        <w:t>2009</w:t>
      </w:r>
      <w:r>
        <w:rPr>
          <w:rFonts w:hint="eastAsia" w:ascii="宋体" w:hAnsi="宋体" w:eastAsia="宋体"/>
          <w:color w:val="000000" w:themeColor="text1"/>
        </w:rPr>
        <w:t>〕</w:t>
      </w:r>
      <w:r>
        <w:rPr>
          <w:rFonts w:hint="eastAsia" w:ascii="Times New Roman" w:hAnsi="Times New Roman" w:eastAsia="宋体"/>
          <w:color w:val="000000" w:themeColor="text1"/>
        </w:rPr>
        <w:t>167</w:t>
      </w:r>
      <w:r>
        <w:rPr>
          <w:rFonts w:hint="eastAsia" w:ascii="宋体" w:hAnsi="宋体" w:eastAsia="宋体"/>
          <w:color w:val="000000" w:themeColor="text1"/>
        </w:rPr>
        <w:t>号）</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4.</w:t>
      </w:r>
      <w:r>
        <w:rPr>
          <w:rFonts w:hint="eastAsia" w:ascii="宋体" w:hAnsi="宋体" w:eastAsia="宋体"/>
          <w:color w:val="000000" w:themeColor="text1"/>
        </w:rPr>
        <w:t>《财政部 国家税务总局 证监会关于个人转让上市公司限售股所得征收个人所得税有关问题的补充通知》（财税〔</w:t>
      </w:r>
      <w:r>
        <w:rPr>
          <w:rFonts w:hint="eastAsia" w:ascii="Times New Roman" w:hAnsi="Times New Roman" w:eastAsia="宋体"/>
          <w:color w:val="000000" w:themeColor="text1"/>
        </w:rPr>
        <w:t>2010</w:t>
      </w:r>
      <w:r>
        <w:rPr>
          <w:rFonts w:hint="eastAsia" w:ascii="宋体" w:hAnsi="宋体" w:eastAsia="宋体"/>
          <w:color w:val="000000" w:themeColor="text1"/>
        </w:rPr>
        <w:t>〕</w:t>
      </w:r>
      <w:r>
        <w:rPr>
          <w:rFonts w:hint="eastAsia" w:ascii="Times New Roman" w:hAnsi="Times New Roman" w:eastAsia="宋体"/>
          <w:color w:val="000000" w:themeColor="text1"/>
        </w:rPr>
        <w:t>70</w:t>
      </w:r>
      <w:r>
        <w:rPr>
          <w:rFonts w:hint="eastAsia" w:ascii="宋体" w:hAnsi="宋体" w:eastAsia="宋体"/>
          <w:color w:val="000000" w:themeColor="text1"/>
        </w:rPr>
        <w:t>号）</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951"/>
        <w:gridCol w:w="2584"/>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《限售股转让所得个人所得税清算申报表》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个人身份证件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限售股交易明细记录（加盖开户证券机构印章）</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财产原值凭证</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31"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适用情形</w:t>
            </w:r>
          </w:p>
        </w:tc>
        <w:tc>
          <w:tcPr>
            <w:tcW w:w="2584"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exact"/>
          <w:jc w:val="center"/>
        </w:trPr>
        <w:tc>
          <w:tcPr>
            <w:tcW w:w="2631" w:type="dxa"/>
            <w:gridSpan w:val="2"/>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天使投资个人投资的初创科技型企业上市且满足投资抵扣税收优惠条件，在办理限售股转让税款清算，抵扣尚未抵扣完毕的投资额</w:t>
            </w:r>
          </w:p>
        </w:tc>
        <w:tc>
          <w:tcPr>
            <w:tcW w:w="25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《天使投资个人所得税投资抵扣情况表》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应于股权转让次月</w:t>
            </w:r>
            <w:r>
              <w:rPr>
                <w:rFonts w:hint="eastAsia" w:ascii="Times New Roman" w:hAnsi="Times New Roman"/>
                <w:color w:val="000000" w:themeColor="text1"/>
              </w:rPr>
              <w:t>15</w:t>
            </w:r>
            <w:r>
              <w:rPr>
                <w:rFonts w:hint="eastAsia"/>
                <w:color w:val="000000" w:themeColor="text1"/>
              </w:rPr>
              <w:t>日内或在限售股转让清算时，向主管税务机关报送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exact"/>
          <w:jc w:val="center"/>
        </w:trPr>
        <w:tc>
          <w:tcPr>
            <w:tcW w:w="2631"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5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《天使投资个人所得税投资抵扣备案表》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次月</w:t>
            </w:r>
            <w:r>
              <w:rPr>
                <w:rFonts w:hint="eastAsia" w:ascii="Times New Roman" w:hAnsi="Times New Roman"/>
                <w:color w:val="000000" w:themeColor="text1"/>
              </w:rPr>
              <w:t>15</w:t>
            </w:r>
            <w:r>
              <w:rPr>
                <w:color w:val="000000" w:themeColor="text1"/>
              </w:rPr>
              <w:t>日内，向其主管税务机关报送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31" w:type="dxa"/>
            <w:gridSpan w:val="2"/>
            <w:vMerge w:val="restart"/>
            <w:tcBorders>
              <w:left w:val="single" w:color="auto" w:sz="4" w:space="0"/>
              <w:right w:val="single" w:color="auto" w:sz="4" w:space="0"/>
            </w:tcBorders>
            <w:vAlign w:val="center"/>
          </w:tcPr>
          <w:p>
            <w:pPr>
              <w:wordWrap w:val="0"/>
              <w:spacing w:line="240" w:lineRule="auto"/>
              <w:ind w:firstLine="0" w:firstLineChars="0"/>
              <w:jc w:val="center"/>
              <w:rPr>
                <w:rFonts w:hint="default" w:ascii="宋体" w:hAnsi="宋体" w:cs="Times New Roman"/>
                <w:color w:val="000000" w:themeColor="text1"/>
                <w:sz w:val="18"/>
                <w:szCs w:val="18"/>
              </w:rPr>
            </w:pPr>
            <w:r>
              <w:rPr>
                <w:rFonts w:ascii="黑体" w:hAnsi="黑体" w:eastAsia="黑体" w:cs="Times New Roman"/>
                <w:color w:val="000000" w:themeColor="text1"/>
                <w:sz w:val="18"/>
                <w:szCs w:val="18"/>
              </w:rPr>
              <w:t>委托代理人进行申报的报送</w:t>
            </w:r>
          </w:p>
        </w:tc>
        <w:tc>
          <w:tcPr>
            <w:tcW w:w="2584"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宋体" w:hAnsi="宋体" w:cs="Times New Roman"/>
                <w:color w:val="000000" w:themeColor="text1"/>
                <w:sz w:val="18"/>
                <w:szCs w:val="18"/>
              </w:rPr>
            </w:pPr>
            <w:r>
              <w:rPr>
                <w:rFonts w:ascii="黑体" w:hAnsi="黑体" w:eastAsia="黑体" w:cs="Times New Roman"/>
                <w:color w:val="000000" w:themeColor="text1"/>
                <w:sz w:val="18"/>
                <w:szCs w:val="18"/>
              </w:rPr>
              <w:t>代理人身份证件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631" w:type="dxa"/>
            <w:gridSpan w:val="2"/>
            <w:vMerge w:val="continue"/>
            <w:tcBorders>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c>
          <w:tcPr>
            <w:tcW w:w="258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纳税人委托代理申报的授权书</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1.可通过办税服务厅（场所）办理，具体地点可从国家税务总局湖南省税务局网站“纳税服务”栏目查询。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3175" b="0"/>
            <wp:docPr id="24"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经过实名信息验证的办税人员，不再提供登记证件和身份证件复印件等资料。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限售股包括：</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）上市公司股权分置改革完成后股票复牌日之前股东所持原非流通股股份，以及股票复牌日至解禁日期间由上述股份孳生的送、转股（以下统称股改限售股）；</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w:t>
      </w:r>
      <w:r>
        <w:rPr>
          <w:rFonts w:cs="Times New Roman"/>
          <w:color w:val="000000" w:themeColor="text1"/>
        </w:rPr>
        <w:t>2006</w:t>
      </w:r>
      <w:r>
        <w:rPr>
          <w:rFonts w:hint="default" w:ascii="宋体" w:hAnsi="宋体" w:cs="Times New Roman"/>
          <w:color w:val="000000" w:themeColor="text1"/>
        </w:rPr>
        <w:t>年股权分置改革新老划断后，首次公开发行股票并上市的公司形成的限售股，以及上市首日至解禁日期间由上述股份孳生的送、转股（以下统称新股限售股）；</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）个人从机构或其他个人受让的未解禁限售股；</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）个人因依法继承或家庭财产依法分割取得的限售股；</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5</w:t>
      </w:r>
      <w:r>
        <w:rPr>
          <w:rFonts w:hint="default" w:ascii="宋体" w:hAnsi="宋体" w:cs="Times New Roman"/>
          <w:color w:val="000000" w:themeColor="text1"/>
        </w:rPr>
        <w:t>）个人持有的从代办股份转让系统转到主板市场（或中小板、创业板市场）的限售股；</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6</w:t>
      </w:r>
      <w:r>
        <w:rPr>
          <w:rFonts w:hint="default" w:ascii="宋体" w:hAnsi="宋体" w:cs="Times New Roman"/>
          <w:color w:val="000000" w:themeColor="text1"/>
        </w:rPr>
        <w:t>）上市公司吸收合并中，个人持有的原被合并方公司限售股所转换的合并方公司股份；</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7</w:t>
      </w:r>
      <w:r>
        <w:rPr>
          <w:rFonts w:hint="default" w:ascii="宋体" w:hAnsi="宋体" w:cs="Times New Roman"/>
          <w:color w:val="000000" w:themeColor="text1"/>
        </w:rPr>
        <w:t>）上市公司分立中，个人持有的被分立方公司限售股所转换的分立后公司股份；</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8</w:t>
      </w:r>
      <w:r>
        <w:rPr>
          <w:rFonts w:hint="default" w:ascii="宋体" w:hAnsi="宋体" w:cs="Times New Roman"/>
          <w:color w:val="000000" w:themeColor="text1"/>
        </w:rPr>
        <w:t>）其他限售股。</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个人转让限售股或发生具有转让限售股实质的其他交易，取得现金、实物、有价证券和其他形式的经济利益均应缴纳个人所得税。限售股在解禁前被多次转让的，转让方对每一次转让所得均应按规定缴纳个人所得税。对具有下列情形的，应按规定征收个人所得税：</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）个人通过证券交易所集中交易系统或大宗交易系统转让限售股；</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）个人用限售股认购或申购交易型开放式指数基金（ETF）份额；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）个人用限售股接受要约收购；</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）个人行使现金选择权将限售股转让给提供现金选择权的第三方；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5</w:t>
      </w:r>
      <w:r>
        <w:rPr>
          <w:rFonts w:hint="default" w:ascii="宋体" w:hAnsi="宋体" w:cs="Times New Roman"/>
          <w:color w:val="000000" w:themeColor="text1"/>
        </w:rPr>
        <w:t>）个人协议转让限售股；</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6</w:t>
      </w:r>
      <w:r>
        <w:rPr>
          <w:rFonts w:hint="default" w:ascii="宋体" w:hAnsi="宋体" w:cs="Times New Roman"/>
          <w:color w:val="000000" w:themeColor="text1"/>
        </w:rPr>
        <w:t>）个人持有的限售股被司法扣划；</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7</w:t>
      </w:r>
      <w:r>
        <w:rPr>
          <w:rFonts w:hint="default" w:ascii="宋体" w:hAnsi="宋体" w:cs="Times New Roman"/>
          <w:color w:val="000000" w:themeColor="text1"/>
        </w:rPr>
        <w:t>）个人因依法继承或家庭财产分割让渡限售股所有权；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8</w:t>
      </w:r>
      <w:r>
        <w:rPr>
          <w:rFonts w:hint="default" w:ascii="宋体" w:hAnsi="宋体" w:cs="Times New Roman"/>
          <w:color w:val="000000" w:themeColor="text1"/>
        </w:rPr>
        <w:t>）个人用限售股偿还上市公司股权分置改革中由大股东代其向流通股股东支付的对价；</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9</w:t>
      </w:r>
      <w:r>
        <w:rPr>
          <w:rFonts w:hint="default" w:ascii="宋体" w:hAnsi="宋体" w:cs="Times New Roman"/>
          <w:color w:val="000000" w:themeColor="text1"/>
        </w:rPr>
        <w:t>）其他具有转让实质的情形。</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纳税人发生第（</w:t>
      </w:r>
      <w:r>
        <w:rPr>
          <w:rFonts w:cs="Times New Roman"/>
          <w:color w:val="000000" w:themeColor="text1"/>
        </w:rPr>
        <w:t>1</w:t>
      </w:r>
      <w:r>
        <w:rPr>
          <w:rFonts w:hint="default"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）项情形的，对其应纳个人所得税按照财税[</w:t>
      </w:r>
      <w:r>
        <w:rPr>
          <w:rFonts w:cs="Times New Roman"/>
          <w:color w:val="000000" w:themeColor="text1"/>
        </w:rPr>
        <w:t>2009</w:t>
      </w:r>
      <w:r>
        <w:rPr>
          <w:rFonts w:hint="default" w:ascii="宋体" w:hAnsi="宋体" w:cs="Times New Roman"/>
          <w:color w:val="000000" w:themeColor="text1"/>
        </w:rPr>
        <w:t>]</w:t>
      </w:r>
      <w:r>
        <w:rPr>
          <w:rFonts w:cs="Times New Roman"/>
          <w:color w:val="000000" w:themeColor="text1"/>
        </w:rPr>
        <w:t>167</w:t>
      </w:r>
      <w:r>
        <w:rPr>
          <w:rFonts w:hint="default" w:ascii="宋体" w:hAnsi="宋体" w:cs="Times New Roman"/>
          <w:color w:val="000000" w:themeColor="text1"/>
        </w:rPr>
        <w:t>号文件规定，采取证券机构预扣预缴、纳税人自行申报清算和证券机构直接扣缴相结合的方式征收。纳税人按照实际转让收入与实际成本计算出的应纳税额，与证券机构预扣预缴税额有差异的，纳税人应自证券机构代扣并解缴税款的次月</w:t>
      </w:r>
      <w:r>
        <w:rPr>
          <w:rFonts w:cs="Times New Roman"/>
          <w:color w:val="000000" w:themeColor="text1"/>
        </w:rPr>
        <w:t>1</w:t>
      </w:r>
      <w:r>
        <w:rPr>
          <w:rFonts w:hint="default" w:ascii="宋体" w:hAnsi="宋体" w:cs="Times New Roman"/>
          <w:color w:val="000000" w:themeColor="text1"/>
        </w:rPr>
        <w:t>日起</w:t>
      </w:r>
      <w:r>
        <w:rPr>
          <w:rFonts w:cs="Times New Roman"/>
          <w:color w:val="000000" w:themeColor="text1"/>
        </w:rPr>
        <w:t>3</w:t>
      </w:r>
      <w:r>
        <w:rPr>
          <w:rFonts w:hint="default" w:ascii="宋体" w:hAnsi="宋体" w:cs="Times New Roman"/>
          <w:color w:val="000000" w:themeColor="text1"/>
        </w:rPr>
        <w:t>个月内，到证券机构所在地主管税务机关提出清算申请，办理清算申报事宜。</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纳税人发生第（</w:t>
      </w:r>
      <w:r>
        <w:rPr>
          <w:rFonts w:cs="Times New Roman"/>
          <w:color w:val="000000" w:themeColor="text1"/>
        </w:rPr>
        <w:t>5</w:t>
      </w:r>
      <w:r>
        <w:rPr>
          <w:rFonts w:hint="default" w:ascii="宋体" w:hAnsi="宋体" w:cs="Times New Roman"/>
          <w:color w:val="000000" w:themeColor="text1"/>
        </w:rPr>
        <w:t>）（</w:t>
      </w:r>
      <w:r>
        <w:rPr>
          <w:rFonts w:cs="Times New Roman"/>
          <w:color w:val="000000" w:themeColor="text1"/>
        </w:rPr>
        <w:t>6</w:t>
      </w:r>
      <w:r>
        <w:rPr>
          <w:rFonts w:hint="default" w:ascii="宋体" w:hAnsi="宋体" w:cs="Times New Roman"/>
          <w:color w:val="000000" w:themeColor="text1"/>
        </w:rPr>
        <w:t>）（</w:t>
      </w:r>
      <w:r>
        <w:rPr>
          <w:rFonts w:cs="Times New Roman"/>
          <w:color w:val="000000" w:themeColor="text1"/>
        </w:rPr>
        <w:t>7</w:t>
      </w:r>
      <w:r>
        <w:rPr>
          <w:rFonts w:hint="default" w:ascii="宋体" w:hAnsi="宋体" w:cs="Times New Roman"/>
          <w:color w:val="000000" w:themeColor="text1"/>
        </w:rPr>
        <w:t>）（</w:t>
      </w:r>
      <w:r>
        <w:rPr>
          <w:rFonts w:cs="Times New Roman"/>
          <w:color w:val="000000" w:themeColor="text1"/>
        </w:rPr>
        <w:t>8</w:t>
      </w:r>
      <w:r>
        <w:rPr>
          <w:rFonts w:hint="default" w:ascii="宋体" w:hAnsi="宋体" w:cs="Times New Roman"/>
          <w:color w:val="000000" w:themeColor="text1"/>
        </w:rPr>
        <w:t>）项情形的，采取纳税人自行申报纳税的方式。纳税人转让限售股后，应在次月</w:t>
      </w:r>
      <w:r>
        <w:rPr>
          <w:rFonts w:cs="Times New Roman"/>
          <w:color w:val="000000" w:themeColor="text1"/>
        </w:rPr>
        <w:t>15</w:t>
      </w:r>
      <w:r>
        <w:rPr>
          <w:rFonts w:hint="default" w:ascii="宋体" w:hAnsi="宋体" w:cs="Times New Roman"/>
          <w:color w:val="000000" w:themeColor="text1"/>
        </w:rPr>
        <w:t>日内到主管税务机关填报《限售股转让所得个人所得税清算申报表》，自行申报纳税。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个人转让股权办理变更登记的，市场主体登记机关应当查验与该股权交易相关的个人所得税的完税凭证。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纳税人依法享受税收优惠等相关的资料，按规定留存备查或报送。</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）办税服务厅接收资料信息，核对资料信息是否齐全</w:t>
      </w:r>
      <w:r>
        <w:rPr>
          <w:rFonts w:ascii="宋体" w:hAnsi="宋体" w:cs="Times New Roman"/>
          <w:color w:val="000000" w:themeColor="text1"/>
        </w:rPr>
        <w:t>、是否符合法定形式、填写内容是否完整，符合的即时受理；对资料不齐全、不符合法定形式或填写内容不完整的，当场一次性告知应补正资料或不予受理原因</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hint="default"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办理结束后，在申报表上</w:t>
      </w:r>
      <w:r>
        <w:rPr>
          <w:rFonts w:hint="default" w:ascii="宋体" w:hAnsi="宋体" w:cs="Times New Roman"/>
          <w:color w:val="000000" w:themeColor="text1"/>
        </w:rPr>
        <w:t>加盖印章</w:t>
      </w:r>
      <w:r>
        <w:rPr>
          <w:rFonts w:ascii="宋体" w:hAnsi="宋体" w:cs="Times New Roman"/>
          <w:color w:val="000000" w:themeColor="text1"/>
        </w:rPr>
        <w:t>，</w:t>
      </w:r>
      <w:r>
        <w:rPr>
          <w:rFonts w:hint="default" w:ascii="宋体" w:hAnsi="宋体" w:cs="Times New Roman"/>
          <w:color w:val="000000" w:themeColor="text1"/>
        </w:rPr>
        <w:t>一份返还纳税人。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取得限售股转让所得已预扣预缴个人所得税款及对个人转让限售股取得的所得纳税人自行申报纳税的：进入金三操作系统，通过申报征收岗权限，按照【自然人税收管理系统（ITS）】—【申报】—【自行申报】—【限售股转让所得个人所得税清算申报（ITS）】的路径进入功能模块。</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2.提示事项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自然人纳税人首次进行个人所得税申报，应先进行自然人登记。进入金三操作系统，通过税务登记岗权限，按照【自然人税收管理系统（ITS）】—【登记】—【自然人信息采集（ITS）】的路径进入功能模块。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自然人纳税人信息变动时，应进行自然人信息变更。进入金三操作系统，通过税务登记岗权限，按照【自然人税收管理系统（ITS）】—【登记】—【自然人信息变更（ITS）】的路径进入功能模块。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pPr>
            <w:r>
              <w:rPr>
                <w:rFonts w:hint="eastAsia"/>
              </w:rPr>
              <w:t>《中华人民共和国个人所得税法》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pPr>
            <w:r>
              <w:rPr>
                <w:rFonts w:hint="eastAsia"/>
              </w:rPr>
              <w:t>《中华人民共和国个人所得税法实施条例》</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pPr>
            <w:r>
              <w:rPr>
                <w:rFonts w:hint="eastAsia"/>
              </w:rPr>
              <w:t>《财政部 国家税务总局 证监会关于个人转让上市公司限售股所得征收个人所得税有关问题的通知》（</w:t>
            </w:r>
            <w:r>
              <w:t>财税〔2009〕167号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pPr>
            <w:r>
              <w:rPr>
                <w:rFonts w:hint="eastAsia"/>
              </w:rPr>
              <w:t>《财政部</w:t>
            </w:r>
            <w:r>
              <w:t xml:space="preserve"> </w:t>
            </w:r>
            <w:r>
              <w:rPr>
                <w:rFonts w:hint="eastAsia"/>
              </w:rPr>
              <w:t>国家税务总局</w:t>
            </w:r>
            <w:r>
              <w:t xml:space="preserve"> </w:t>
            </w:r>
            <w:r>
              <w:rPr>
                <w:rFonts w:hint="eastAsia"/>
              </w:rPr>
              <w:t>证监会关于个人转让上市公司限售股所得征收个人所得税有关问题的补充通知》（财税〔</w:t>
            </w:r>
            <w:r>
              <w:t>2010〕70号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rPr>
                <w:rFonts w:hint="eastAsia"/>
              </w:rPr>
              <w:t>《财政部 国家税务总局关于证券机构技术和制度准备完成后个人转让上市公司限售股有关个人所得税问题的通知》（财税〔2011〕108号）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670" w:type="dxa"/>
            <w:vAlign w:val="center"/>
          </w:tcPr>
          <w:p>
            <w:pPr>
              <w:pStyle w:val="50"/>
              <w:adjustRightInd/>
              <w:snapToGrid/>
              <w:spacing w:line="276" w:lineRule="auto"/>
            </w:pPr>
            <w:r>
              <w:rPr>
                <w:rFonts w:hint="eastAsia"/>
              </w:rPr>
              <w:t>《</w:t>
            </w:r>
            <w:r>
              <w:t>国家税务总局关于创业投资企业和天使投资个人税收政策有关问题的公告</w:t>
            </w:r>
            <w:r>
              <w:rPr>
                <w:rFonts w:hint="eastAsia"/>
              </w:rPr>
              <w:t>》（国家税务总局公告</w:t>
            </w:r>
            <w:r>
              <w:t>2018年第43号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pPr>
            <w:r>
              <w:rPr>
                <w:rFonts w:hint="eastAsia"/>
              </w:rPr>
              <w:t>《国家税务总局关于做好限售股转让所得个人所得税征收管理工作的通知》（国税发〔2010〕8号）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670" w:type="dxa"/>
            <w:vAlign w:val="center"/>
          </w:tcPr>
          <w:p>
            <w:pPr>
              <w:pStyle w:val="50"/>
              <w:adjustRightInd/>
              <w:snapToGrid/>
              <w:spacing w:line="276" w:lineRule="auto"/>
            </w:pPr>
            <w:r>
              <w:rPr>
                <w:rFonts w:hint="eastAsia"/>
              </w:rPr>
              <w:t xml:space="preserve">《国家税务总局关于印发&lt;全国税务系统进一步优化税收营商环境行动方案（2018年—2022年）&gt;的通知》（税总发〔2018〕145号） </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670" w:type="dxa"/>
            <w:vAlign w:val="center"/>
          </w:tcPr>
          <w:p>
            <w:pPr>
              <w:pStyle w:val="50"/>
              <w:adjustRightInd/>
              <w:snapToGrid/>
              <w:spacing w:line="276" w:lineRule="auto"/>
            </w:pPr>
            <w:r>
              <w:rPr>
                <w:rFonts w:hint="eastAsia"/>
              </w:rPr>
              <w:t>《国家税务总局关于印发&lt;全国税务系统深化“放管服”改革五年工作方案（2018年—2022年）&gt;的通知》（税总发〔2018〕199号）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670" w:type="dxa"/>
            <w:vAlign w:val="center"/>
          </w:tcPr>
          <w:p>
            <w:pPr>
              <w:pStyle w:val="50"/>
              <w:spacing w:line="276" w:lineRule="auto"/>
            </w:pPr>
            <w:r>
              <w:rPr>
                <w:rFonts w:hint="eastAsia"/>
              </w:rPr>
              <w:t>《国家税务总局关于限售股转让所得个人所得税征缴有关问题的通知》（国税函〔</w:t>
            </w:r>
            <w:r>
              <w:t>2010〕23号）</w:t>
            </w:r>
          </w:p>
        </w:tc>
        <w:tc>
          <w:tcPr>
            <w:tcW w:w="1780"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18" w:name="_Toc18096135"/>
      <w:r>
        <w:rPr>
          <w:rFonts w:hint="eastAsia"/>
          <w:color w:val="000000" w:themeColor="text1"/>
        </w:rPr>
        <w:t>3.6　　房产税申报</w:t>
      </w:r>
      <w:bookmarkEnd w:id="118"/>
    </w:p>
    <w:p>
      <w:pPr>
        <w:pStyle w:val="30"/>
        <w:wordWrap w:val="0"/>
        <w:topLinePunct w:val="0"/>
        <w:spacing w:before="312" w:after="312"/>
        <w:rPr>
          <w:color w:val="000000" w:themeColor="text1"/>
        </w:rPr>
      </w:pPr>
      <w:bookmarkStart w:id="119" w:name="_Toc16335"/>
      <w:bookmarkStart w:id="120" w:name="_Toc18096136"/>
      <w:bookmarkStart w:id="121" w:name="_Hlk17928420"/>
      <w:r>
        <w:rPr>
          <w:rFonts w:hint="eastAsia"/>
          <w:color w:val="000000" w:themeColor="text1"/>
        </w:rPr>
        <w:t>3.6.1—08</w:t>
      </w:r>
      <w:r>
        <w:rPr>
          <w:color w:val="000000" w:themeColor="text1"/>
        </w:rPr>
        <w:t>5</w:t>
      </w:r>
      <w:r>
        <w:rPr>
          <w:rFonts w:hint="eastAsia"/>
          <w:color w:val="000000" w:themeColor="text1"/>
        </w:rPr>
        <w:t>　</w:t>
      </w:r>
      <w:r>
        <w:rPr>
          <w:color w:val="000000" w:themeColor="text1"/>
        </w:rPr>
        <w:t>　</w:t>
      </w:r>
      <w:r>
        <w:rPr>
          <w:rFonts w:hint="eastAsia"/>
          <w:color w:val="000000" w:themeColor="text1"/>
        </w:rPr>
        <w:t>房产税申报</w:t>
      </w:r>
      <w:bookmarkEnd w:id="119"/>
      <w:bookmarkEnd w:id="120"/>
    </w:p>
    <w:bookmarkEnd w:id="121"/>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房产税申报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产权所有人、经营管理单位、承典人、房产代管人或者使用人，应依照税收法律、法规、规章及其他有关规定，在规定的纳税期限内，填报《房产税纳税申报表》等相关资料向税务机关进行纳税申报。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《中华人民共和国房产税暂行条例》第一条、</w:t>
      </w:r>
      <w:r>
        <w:rPr>
          <w:rFonts w:ascii="宋体" w:hAnsi="宋体" w:cs="宋体"/>
          <w:color w:val="000000" w:themeColor="text1"/>
        </w:rPr>
        <w:t>第二条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539"/>
        <w:gridCol w:w="2996"/>
        <w:gridCol w:w="673"/>
        <w:gridCol w:w="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《房产税纳税申报表》</w:t>
            </w:r>
          </w:p>
        </w:tc>
        <w:tc>
          <w:tcPr>
            <w:tcW w:w="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6"/>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19" w:type="dxa"/>
            <w:gridSpan w:val="2"/>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996" w:type="dxa"/>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73"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75" w:type="dxa"/>
            <w:gridSpan w:val="2"/>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19"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color w:val="000000" w:themeColor="text1"/>
              </w:rPr>
              <w:t>首次申报或税源信息发生变化</w:t>
            </w:r>
          </w:p>
        </w:tc>
        <w:tc>
          <w:tcPr>
            <w:tcW w:w="299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color w:val="000000" w:themeColor="text1"/>
              </w:rPr>
              <w:t>《从价计征房产税税源明细表》</w:t>
            </w:r>
          </w:p>
        </w:tc>
        <w:tc>
          <w:tcPr>
            <w:tcW w:w="67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ascii="Times New Roman" w:hAnsi="Times New Roman"/>
                <w:color w:val="000000" w:themeColor="text1"/>
              </w:rPr>
              <w:t>2</w:t>
            </w:r>
            <w:r>
              <w:rPr>
                <w:rFonts w:hint="eastAsia"/>
                <w:color w:val="000000" w:themeColor="text1"/>
              </w:rPr>
              <w:t>份</w:t>
            </w:r>
          </w:p>
        </w:tc>
        <w:tc>
          <w:tcPr>
            <w:tcW w:w="227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219" w:type="dxa"/>
            <w:gridSpan w:val="2"/>
            <w:vMerge w:val="continue"/>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99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《从租计征房产税税源明细表》</w:t>
            </w:r>
          </w:p>
        </w:tc>
        <w:tc>
          <w:tcPr>
            <w:tcW w:w="67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7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exact"/>
          <w:jc w:val="center"/>
        </w:trPr>
        <w:tc>
          <w:tcPr>
            <w:tcW w:w="2219"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不支持免填服务的税务机关所辖的房产税纳税人享受税收减免</w:t>
            </w:r>
          </w:p>
        </w:tc>
        <w:tc>
          <w:tcPr>
            <w:tcW w:w="299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《房产税减免税明细申报表》</w:t>
            </w:r>
          </w:p>
        </w:tc>
        <w:tc>
          <w:tcPr>
            <w:tcW w:w="673"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75" w:type="dxa"/>
            <w:gridSpan w:val="2"/>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主管税务机关对外公开的联系电话，可从</w:t>
      </w:r>
      <w:r>
        <w:rPr>
          <w:rFonts w:ascii="宋体" w:hAnsi="宋体" w:eastAsia="宋体" w:cs="宋体"/>
          <w:color w:val="000000" w:themeColor="text1"/>
        </w:rPr>
        <w:t>国家税务总局湖南省税务局网站</w:t>
      </w:r>
      <w:r>
        <w:rPr>
          <w:rFonts w:hint="eastAsia" w:ascii="宋体" w:hAnsi="宋体" w:eastAsia="宋体" w:cs="宋体"/>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9525" b="0"/>
            <wp:docPr id="46"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房产税按年征收、分期缴纳。纳税期限由省、自治区、直辖市人民政府规定。遇最后一日是法定休假日的，以休假日期满的次日为期限的最后一日；在期限内有连续</w:t>
      </w:r>
      <w:r>
        <w:rPr>
          <w:rFonts w:cs="Times New Roman"/>
          <w:color w:val="000000" w:themeColor="text1"/>
        </w:rPr>
        <w:t>3</w:t>
      </w:r>
      <w:r>
        <w:rPr>
          <w:rFonts w:hint="default"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房产税由产权所有人缴纳。房屋产权属于全民所有的，由经营管理的单位缴纳。产权出典的，由承典人缴纳。产权所有人、承典人不在房产所在地的，或者产权未确定及租典纠纷未解决的，由房产代管人或者使用人缴纳。</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纳税人在纳税期内没有应纳税款的，也应当按照规定办理申报纳税。纳税人享受减税、免税待遇的，在减税、免税期间应当按照规定办理申报纳税。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房产税纳税义务人在首次申报或税源信息变更时，应办理“</w:t>
      </w:r>
      <w:r>
        <w:rPr>
          <w:rFonts w:hint="default" w:ascii="宋体" w:hAnsi="宋体" w:cs="Times New Roman"/>
          <w:color w:val="000000" w:themeColor="text1"/>
        </w:rPr>
        <w:t>综合税源信息报告”。</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推行城镇土地使用税和房产税合并申报。税务总局合并城镇土地使用税和房产税纳税申报表，统一城镇土地使用税和房产税纳税期限，减少纳税人申报次数。</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rPr>
      </w:pPr>
      <w:r>
        <w:t>1.受理环节</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进入金三操作系统，通过申报征收岗权限，按照【申报征收】—【申报】—【财产行为税申报】—【房产税申报（优化版）】的路径进入功能模块。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房源信息发生新增、作废、变更或纳税义务终止的情况，应先进行房产税税源信息采集的修改：进入金三操作系统，通过申报征收岗权限，按照【管理服务】—【税源信息维护管理】—【房产税税源信息采集（优化版）】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《中华人民共和国房产税暂行条例》（国发〔</w:t>
            </w:r>
            <w:r>
              <w:t>198</w:t>
            </w:r>
            <w:r>
              <w:rPr>
                <w:rFonts w:hint="eastAsia"/>
              </w:rPr>
              <w:t>6〕90号）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《国家税务总局关于加快推行办税事项同城通办的通知》（税总发〔2016〕46号）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《国家税务总局关于实施便民办税缴费十条新举措的通知》</w:t>
            </w:r>
          </w:p>
          <w:p>
            <w:pPr>
              <w:pStyle w:val="50"/>
              <w:adjustRightInd/>
              <w:snapToGrid/>
              <w:spacing w:line="276" w:lineRule="auto"/>
            </w:pPr>
            <w:r>
              <w:rPr>
                <w:rFonts w:hint="eastAsia"/>
              </w:rPr>
              <w:t>（税总函〔2019〕223号）</w:t>
            </w:r>
          </w:p>
        </w:tc>
        <w:tc>
          <w:tcPr>
            <w:tcW w:w="1737"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22" w:name="_Toc18568"/>
      <w:bookmarkStart w:id="123" w:name="_Toc18096137"/>
      <w:r>
        <w:rPr>
          <w:rFonts w:hint="eastAsia"/>
          <w:color w:val="000000" w:themeColor="text1"/>
        </w:rPr>
        <w:t>3.7　　城镇土地使用税申报</w:t>
      </w:r>
      <w:bookmarkEnd w:id="122"/>
      <w:bookmarkEnd w:id="123"/>
    </w:p>
    <w:p>
      <w:pPr>
        <w:pStyle w:val="30"/>
        <w:wordWrap w:val="0"/>
        <w:topLinePunct w:val="0"/>
        <w:spacing w:before="312" w:after="312"/>
        <w:rPr>
          <w:color w:val="000000" w:themeColor="text1"/>
        </w:rPr>
      </w:pPr>
      <w:bookmarkStart w:id="124" w:name="_Toc6658"/>
      <w:bookmarkStart w:id="125" w:name="_Toc18096138"/>
      <w:bookmarkStart w:id="126" w:name="_Hlk17928458"/>
      <w:r>
        <w:rPr>
          <w:rFonts w:hint="eastAsia"/>
          <w:color w:val="000000" w:themeColor="text1"/>
        </w:rPr>
        <w:t>3.7.1—08</w:t>
      </w:r>
      <w:r>
        <w:rPr>
          <w:color w:val="000000" w:themeColor="text1"/>
        </w:rPr>
        <w:t>6</w:t>
      </w:r>
      <w:r>
        <w:rPr>
          <w:rFonts w:hint="eastAsia"/>
          <w:color w:val="000000" w:themeColor="text1"/>
        </w:rPr>
        <w:t>　</w:t>
      </w:r>
      <w:r>
        <w:rPr>
          <w:color w:val="000000" w:themeColor="text1"/>
        </w:rPr>
        <w:t>　</w:t>
      </w:r>
      <w:r>
        <w:rPr>
          <w:rFonts w:hint="eastAsia"/>
          <w:color w:val="000000" w:themeColor="text1"/>
        </w:rPr>
        <w:t>城镇土地使用税申报</w:t>
      </w:r>
      <w:bookmarkEnd w:id="124"/>
      <w:bookmarkEnd w:id="125"/>
    </w:p>
    <w:bookmarkEnd w:id="126"/>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城镇土地使用税申报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城市、县城、建制镇、工矿区范围内使用土地的单位和个人应当应依照税收法律、法规、规章及其他有关规定，在规定的纳税期限内，填报《城镇土地使用税纳税申报表》及相关资料，向税务机关进行纳税申报缴纳城镇土地使用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《中华人民共和国城镇土地使用税暂行条例》第一条、</w:t>
      </w:r>
      <w:r>
        <w:rPr>
          <w:rFonts w:ascii="宋体" w:hAnsi="宋体" w:cs="宋体"/>
          <w:color w:val="000000" w:themeColor="text1"/>
        </w:rPr>
        <w:t>第二条、第八条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034"/>
        <w:gridCol w:w="2736"/>
        <w:gridCol w:w="708"/>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77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70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00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77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《城镇土地使用税纳税申报表》</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00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14" w:type="dxa"/>
            <w:gridSpan w:val="2"/>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736" w:type="dxa"/>
            <w:tcBorders>
              <w:left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708"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005" w:type="dxa"/>
            <w:tcBorders>
              <w:top w:val="single" w:color="auto" w:sz="4" w:space="0"/>
              <w:left w:val="single" w:color="auto" w:sz="4" w:space="0"/>
              <w:bottom w:val="single" w:color="auto" w:sz="4" w:space="0"/>
              <w:right w:val="single" w:color="auto" w:sz="4" w:space="0"/>
            </w:tcBorders>
            <w:shd w:val="clear" w:color="auto" w:fill="D8D8D8"/>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14"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color w:val="000000" w:themeColor="text1"/>
              </w:rPr>
              <w:t>不支持免填单服务的税务机关所辖的城镇土地使用税纳税人</w:t>
            </w:r>
          </w:p>
        </w:tc>
        <w:tc>
          <w:tcPr>
            <w:tcW w:w="273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color w:val="000000" w:themeColor="text1"/>
              </w:rPr>
              <w:t>《城镇土地使用税纳税申报表》</w:t>
            </w:r>
          </w:p>
        </w:tc>
        <w:tc>
          <w:tcPr>
            <w:tcW w:w="70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r>
              <w:rPr>
                <w:rFonts w:hint="eastAsia" w:ascii="Times New Roman" w:hAnsi="Times New Roman"/>
                <w:color w:val="000000" w:themeColor="text1"/>
              </w:rPr>
              <w:t>2</w:t>
            </w:r>
            <w:r>
              <w:rPr>
                <w:rFonts w:hint="eastAsia"/>
                <w:color w:val="000000" w:themeColor="text1"/>
              </w:rPr>
              <w:t>份</w:t>
            </w:r>
          </w:p>
        </w:tc>
        <w:tc>
          <w:tcPr>
            <w:tcW w:w="200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14"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首次申报或税源信息发生变化</w:t>
            </w:r>
          </w:p>
        </w:tc>
        <w:tc>
          <w:tcPr>
            <w:tcW w:w="2736"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《城镇土地使用税税源明细表》</w:t>
            </w:r>
          </w:p>
        </w:tc>
        <w:tc>
          <w:tcPr>
            <w:tcW w:w="70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005"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9525" b="0"/>
            <wp:docPr id="47"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城镇土地使用税按年计算、分期缴纳。缴纳期限由省、自治区、直辖市人民政府确定。遇最后一日是法定休假日的，以休假日期满的次日为期限的最后一日；在期限内有连续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每一宗土地填写一张《城镇土地使用税税源明细表》。同一宗土地跨两个土地等级的，按照不同等级分别填表。无土地证的，按照土地坐落地址分别填表。纳税人不得将多宗土地合并成一条记录填表。</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纳税人在纳税期内没有应纳税款的，也应当按照规定办理申报纳税。纳税人享受减税、免税待遇的，在减税、免税期间应当按照规定办理申报纳税。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城镇土地使用税纳税义务人在首次申报或税源信息变更时，应办理“</w:t>
      </w:r>
      <w:r>
        <w:rPr>
          <w:rFonts w:hint="default" w:ascii="宋体" w:hAnsi="宋体" w:cs="Times New Roman"/>
          <w:color w:val="000000" w:themeColor="text1"/>
        </w:rPr>
        <w:t>综合税源信息报告”。</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bookmarkStart w:id="127" w:name="_Hlk17928475"/>
      <w:r>
        <w:rPr>
          <w:rFonts w:cs="Times New Roman"/>
          <w:color w:val="000000" w:themeColor="text1"/>
        </w:rPr>
        <w:t>3.</w:t>
      </w:r>
      <w:r>
        <w:rPr>
          <w:rFonts w:ascii="宋体" w:hAnsi="宋体" w:cs="Times New Roman"/>
          <w:color w:val="000000" w:themeColor="text1"/>
        </w:rPr>
        <w:t>推行城镇土地使用税和房产税合并申报。税务总局合并城镇土地使用税和房产税纳税申报表，统一城镇土地使用税和房产税纳税期限，减少纳税人申报次数。</w:t>
      </w:r>
    </w:p>
    <w:bookmarkEnd w:id="127"/>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进入金三操作系统，通过申报征收岗权限，按照【申报征收】—【申报】—【财产行为税申报】—【城镇土地使用税申报（优化版）】的路径进入功能模块。</w:t>
      </w:r>
    </w:p>
    <w:p>
      <w:pPr>
        <w:wordWrap w:val="0"/>
        <w:spacing w:line="360" w:lineRule="auto"/>
        <w:ind w:firstLine="480"/>
        <w:rPr>
          <w:rFonts w:hint="default" w:cs="Times New Roman"/>
          <w:color w:val="000000" w:themeColor="text1"/>
        </w:rPr>
      </w:pPr>
      <w:r>
        <w:rPr>
          <w:rFonts w:cs="Times New Roman"/>
          <w:color w:val="000000" w:themeColor="text1"/>
        </w:rPr>
        <w:t>2.提示事项</w:t>
      </w:r>
    </w:p>
    <w:p>
      <w:pPr>
        <w:wordWrap w:val="0"/>
        <w:spacing w:line="360" w:lineRule="auto"/>
        <w:ind w:firstLine="480"/>
        <w:rPr>
          <w:rFonts w:hint="default" w:cs="Times New Roman"/>
          <w:color w:val="000000" w:themeColor="text1"/>
        </w:rPr>
      </w:pPr>
      <w:r>
        <w:rPr>
          <w:rFonts w:cs="Times New Roman"/>
          <w:color w:val="000000" w:themeColor="text1"/>
        </w:rPr>
        <w:t>纳税人土地信息发生新增、作废、变更或纳税义务终止的情况，应先进行城镇土地使用税税源信息采集的修改：进入金三操作系统，通过申报征收岗权限，按照【管理服务】—【税源信息维护管理】—【城镇土地使用税税源信息采集（优化版）】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《中华人民共和国城镇土地使用税暂行条例》</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《国家税务总局关于加快推行办税事项同城通办的通知》（税总发〔2016〕46号）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《国家税务总局关于实施便民办税缴费十条新举措的通知》</w:t>
            </w:r>
          </w:p>
          <w:p>
            <w:pPr>
              <w:pStyle w:val="50"/>
              <w:adjustRightInd/>
              <w:snapToGrid/>
              <w:spacing w:line="276" w:lineRule="auto"/>
            </w:pPr>
            <w:r>
              <w:rPr>
                <w:rFonts w:hint="eastAsia"/>
              </w:rPr>
              <w:t>（税总函〔2019〕223号）</w:t>
            </w:r>
          </w:p>
        </w:tc>
        <w:tc>
          <w:tcPr>
            <w:tcW w:w="1737"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28" w:name="_Toc23322"/>
      <w:bookmarkStart w:id="129" w:name="_Toc18096139"/>
      <w:r>
        <w:rPr>
          <w:rFonts w:hint="eastAsia"/>
          <w:color w:val="000000" w:themeColor="text1"/>
        </w:rPr>
        <w:t>3.8　　土地增值税申报</w:t>
      </w:r>
      <w:bookmarkEnd w:id="128"/>
      <w:bookmarkEnd w:id="129"/>
    </w:p>
    <w:p>
      <w:pPr>
        <w:pStyle w:val="30"/>
        <w:wordWrap w:val="0"/>
        <w:topLinePunct w:val="0"/>
        <w:spacing w:before="312" w:after="312"/>
        <w:rPr>
          <w:color w:val="000000" w:themeColor="text1"/>
        </w:rPr>
      </w:pPr>
      <w:bookmarkStart w:id="130" w:name="_Toc19952"/>
      <w:bookmarkStart w:id="131" w:name="_Toc18096140"/>
      <w:bookmarkStart w:id="132" w:name="_Hlk17928508"/>
      <w:r>
        <w:rPr>
          <w:rFonts w:hint="eastAsia"/>
          <w:color w:val="000000" w:themeColor="text1"/>
        </w:rPr>
        <w:t>3.8.1—08</w:t>
      </w:r>
      <w:r>
        <w:rPr>
          <w:color w:val="000000" w:themeColor="text1"/>
        </w:rPr>
        <w:t>7</w:t>
      </w:r>
      <w:r>
        <w:rPr>
          <w:rFonts w:hint="eastAsia"/>
          <w:color w:val="000000" w:themeColor="text1"/>
        </w:rPr>
        <w:t>　</w:t>
      </w:r>
      <w:r>
        <w:rPr>
          <w:color w:val="000000" w:themeColor="text1"/>
        </w:rPr>
        <w:t>　</w:t>
      </w:r>
      <w:r>
        <w:rPr>
          <w:rFonts w:hint="eastAsia"/>
          <w:color w:val="000000" w:themeColor="text1"/>
        </w:rPr>
        <w:t>土地增值税预征申报</w:t>
      </w:r>
      <w:bookmarkEnd w:id="130"/>
      <w:bookmarkEnd w:id="131"/>
    </w:p>
    <w:bookmarkEnd w:id="132"/>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土地增值税预征申报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bookmarkStart w:id="133" w:name="_Hlk17928521"/>
      <w:r>
        <w:rPr>
          <w:rFonts w:hint="default" w:ascii="宋体" w:hAnsi="宋体" w:cs="Times New Roman"/>
          <w:color w:val="000000" w:themeColor="text1"/>
        </w:rPr>
        <w:t>纳税人在项目全部竣工结算前转让房地产取得的收入，由于涉及成本确定或其他原因，而无法据以计算土地增值税的，</w:t>
      </w:r>
      <w:r>
        <w:rPr>
          <w:rFonts w:ascii="宋体" w:hAnsi="宋体" w:cs="Times New Roman"/>
          <w:color w:val="000000" w:themeColor="text1"/>
        </w:rPr>
        <w:t>于次月1</w:t>
      </w:r>
      <w:r>
        <w:rPr>
          <w:rFonts w:hint="default" w:ascii="宋体" w:hAnsi="宋体" w:cs="Times New Roman"/>
          <w:color w:val="000000" w:themeColor="text1"/>
        </w:rPr>
        <w:t>5</w:t>
      </w:r>
      <w:r>
        <w:rPr>
          <w:rFonts w:ascii="宋体" w:hAnsi="宋体" w:cs="Times New Roman"/>
          <w:color w:val="000000" w:themeColor="text1"/>
        </w:rPr>
        <w:t>日内，填报《土地增值税纳税申报表（一）（从事房地产开发的纳税人预征适用）》，向税务机关进行纳税申报缴纳土地增值税。</w:t>
      </w:r>
    </w:p>
    <w:bookmarkEnd w:id="133"/>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宋体"/>
          <w:color w:val="000000" w:themeColor="text1"/>
        </w:rPr>
      </w:pPr>
      <w:r>
        <w:rPr>
          <w:rFonts w:cs="Times New Roman"/>
          <w:bCs/>
          <w:color w:val="000000" w:themeColor="text1"/>
        </w:rPr>
        <w:t>2.</w:t>
      </w:r>
      <w:r>
        <w:rPr>
          <w:rFonts w:ascii="宋体" w:hAnsi="宋体" w:cs="Times New Roman"/>
          <w:bCs/>
          <w:color w:val="000000" w:themeColor="text1"/>
        </w:rPr>
        <w:t>《</w:t>
      </w:r>
      <w:r>
        <w:rPr>
          <w:rFonts w:ascii="宋体" w:hAnsi="宋体" w:cs="Times New Roman"/>
          <w:color w:val="000000" w:themeColor="text1"/>
        </w:rPr>
        <w:t>中华人民共和国土地增值税暂行条例</w:t>
      </w:r>
      <w:r>
        <w:rPr>
          <w:rFonts w:ascii="宋体" w:hAnsi="宋体" w:cs="Times New Roman"/>
          <w:bCs/>
          <w:color w:val="000000" w:themeColor="text1"/>
        </w:rPr>
        <w:t>》</w:t>
      </w:r>
      <w:r>
        <w:rPr>
          <w:rFonts w:ascii="宋体" w:hAnsi="宋体" w:cs="宋体"/>
          <w:color w:val="000000" w:themeColor="text1"/>
        </w:rPr>
        <w:t>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《中华人民共和国土地增值税暂行条例实施细则》第十五条、第十六条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《土地增值税纳税申报表（一）（从事房地产开发的纳税人预征适用）》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9525" b="0"/>
            <wp:docPr id="48"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房地产所在地，是指房地产的坐落地。</w:t>
      </w:r>
      <w:r>
        <w:rPr>
          <w:rFonts w:hint="default" w:ascii="宋体" w:hAnsi="宋体" w:cs="Times New Roman"/>
          <w:color w:val="000000" w:themeColor="text1"/>
        </w:rPr>
        <w:t>纳税人转让房地产坐落在两个或两个以上地区的</w:t>
      </w:r>
      <w:r>
        <w:rPr>
          <w:rFonts w:ascii="宋体" w:hAnsi="宋体" w:cs="Times New Roman"/>
          <w:color w:val="000000" w:themeColor="text1"/>
        </w:rPr>
        <w:t>，</w:t>
      </w:r>
      <w:r>
        <w:rPr>
          <w:rFonts w:hint="default" w:ascii="宋体" w:hAnsi="宋体" w:cs="Times New Roman"/>
          <w:color w:val="000000" w:themeColor="text1"/>
        </w:rPr>
        <w:t>应按房地产所在地分别申报纳税。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纳税人在纳税期内没有应纳税款的，也应当按照规定办理申报纳税。纳税人享受减税、免税待遇的，在减税、免税期间应当按照规定办理申报纳税。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进入金三操作系统，通过申报征收岗权限，按照【申报征收】—【申报】—【土地增值税申报】—【土地增值税纳税申报表（一）（从事房地产开发的纳税人预征适用）】的路径进入功能模块。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从事房地产开发纳税人首次进行土地增值税申报，应先进行土地增值税项目登记：进入地税金三操作系统，通过税务登记岗权限，按照【管理服务】—【税源管理项目报告】—【土地增值税项目报告】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pPr>
            <w:r>
              <w:rPr>
                <w:rFonts w:hint="eastAsia"/>
              </w:rPr>
              <w:t>《中华人民共和国土地增值税暂行条例》</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rPr>
                <w:bCs/>
              </w:rPr>
            </w:pPr>
            <w:r>
              <w:rPr>
                <w:rFonts w:hint="eastAsia"/>
              </w:rPr>
              <w:t>《中华人民共和国土地增值税暂行条例实施细则》（财法字〔1995〕6号）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pPr>
            <w:r>
              <w:rPr>
                <w:rFonts w:hint="eastAsia"/>
              </w:rPr>
              <w:t>《</w:t>
            </w:r>
            <w:r>
              <w:t>财政部、国家税务总局关于土地增值税一些具体问题规定的通知</w:t>
            </w:r>
            <w:r>
              <w:rPr>
                <w:rFonts w:hint="eastAsia"/>
              </w:rPr>
              <w:t>》（</w:t>
            </w:r>
            <w:r>
              <w:t>财税字[1995]48号</w:t>
            </w:r>
            <w:r>
              <w:rPr>
                <w:rFonts w:hint="eastAsia"/>
              </w:rPr>
              <w:t>）</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7</w:t>
            </w:r>
          </w:p>
        </w:tc>
        <w:tc>
          <w:tcPr>
            <w:tcW w:w="5670"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80"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9</w:t>
            </w:r>
          </w:p>
        </w:tc>
        <w:tc>
          <w:tcPr>
            <w:tcW w:w="5670"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80"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《国家税务总局关于修订土地增值税纳税申报表的通知》（税总函〔2016〕309号）</w:t>
            </w:r>
          </w:p>
        </w:tc>
        <w:tc>
          <w:tcPr>
            <w:tcW w:w="1780" w:type="dxa"/>
            <w:vAlign w:val="center"/>
          </w:tcPr>
          <w:p>
            <w:pPr>
              <w:pStyle w:val="50"/>
              <w:adjustRightInd/>
              <w:snapToGrid/>
              <w:spacing w:line="276" w:lineRule="auto"/>
            </w:pPr>
            <w:r>
              <w:rPr>
                <w:rFonts w:hint="eastAsia"/>
              </w:rPr>
              <w:t>主动公开</w:t>
            </w:r>
          </w:p>
        </w:tc>
      </w:tr>
    </w:tbl>
    <w:p>
      <w:pPr>
        <w:pStyle w:val="37"/>
        <w:wordWrap w:val="0"/>
        <w:topLinePunct w:val="0"/>
        <w:spacing w:before="312" w:after="312"/>
        <w:ind w:firstLine="559" w:firstLineChars="199"/>
        <w:rPr>
          <w:color w:val="000000" w:themeColor="text1"/>
        </w:rPr>
      </w:pPr>
      <w:bookmarkStart w:id="134" w:name="_Toc3843"/>
      <w:bookmarkStart w:id="135" w:name="_Toc18096141"/>
      <w:r>
        <w:rPr>
          <w:rFonts w:hint="eastAsia"/>
          <w:color w:val="000000" w:themeColor="text1"/>
        </w:rPr>
        <w:t>3.8.2—08</w:t>
      </w:r>
      <w:r>
        <w:rPr>
          <w:color w:val="000000" w:themeColor="text1"/>
        </w:rPr>
        <w:t>8</w:t>
      </w:r>
      <w:r>
        <w:rPr>
          <w:rFonts w:hint="eastAsia"/>
          <w:color w:val="000000" w:themeColor="text1"/>
        </w:rPr>
        <w:t>　</w:t>
      </w:r>
      <w:r>
        <w:rPr>
          <w:color w:val="000000" w:themeColor="text1"/>
        </w:rPr>
        <w:t>　</w:t>
      </w:r>
      <w:r>
        <w:rPr>
          <w:rFonts w:hint="eastAsia"/>
          <w:color w:val="000000" w:themeColor="text1"/>
        </w:rPr>
        <w:t>土地增值税清算申报</w:t>
      </w:r>
      <w:bookmarkEnd w:id="134"/>
      <w:bookmarkEnd w:id="135"/>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土地增值税清算申报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纳税人在符合土地增值税清算条件后，依照税收法律、法规及土地增</w:t>
      </w:r>
      <w:r>
        <w:rPr>
          <w:rFonts w:hint="default" w:ascii="宋体" w:hAnsi="宋体" w:cs="Times New Roman"/>
          <w:color w:val="000000" w:themeColor="text1"/>
        </w:rPr>
        <w:t>值税有关政策规定，计算应缴纳的土地增值税税额，并填写《土地增值税清算申报表》，向主管税务机关提供有关资料，办理土地增值税清算手续，结清应缴纳</w:t>
      </w:r>
      <w:r>
        <w:rPr>
          <w:rFonts w:ascii="宋体" w:hAnsi="宋体" w:cs="Times New Roman"/>
          <w:color w:val="000000" w:themeColor="text1"/>
        </w:rPr>
        <w:t>的</w:t>
      </w:r>
      <w:r>
        <w:rPr>
          <w:rFonts w:hint="default" w:ascii="宋体" w:hAnsi="宋体" w:cs="Times New Roman"/>
          <w:color w:val="000000" w:themeColor="text1"/>
        </w:rPr>
        <w:t>土地增值税税款。</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纳税人符合下列条件之一的，应进行土地增值税的清算</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.房地产开发项目全部竣工、完成销售的;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.整体转让未竣工决算房地产开发项目的;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3</w:t>
      </w:r>
      <w:r>
        <w:rPr>
          <w:rFonts w:hint="default" w:ascii="宋体" w:hAnsi="宋体" w:cs="Times New Roman"/>
          <w:color w:val="000000" w:themeColor="text1"/>
        </w:rPr>
        <w:t>.直接转让土地使用权的。</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宋体"/>
          <w:color w:val="000000" w:themeColor="text1"/>
        </w:rPr>
      </w:pPr>
      <w:r>
        <w:rPr>
          <w:rFonts w:cs="Times New Roman"/>
          <w:bCs/>
          <w:color w:val="000000" w:themeColor="text1"/>
        </w:rPr>
        <w:t>2.</w:t>
      </w:r>
      <w:r>
        <w:rPr>
          <w:rFonts w:ascii="宋体" w:hAnsi="宋体" w:cs="Times New Roman"/>
          <w:bCs/>
          <w:color w:val="000000" w:themeColor="text1"/>
        </w:rPr>
        <w:t>《</w:t>
      </w:r>
      <w:r>
        <w:rPr>
          <w:rFonts w:ascii="宋体" w:hAnsi="宋体" w:cs="Times New Roman"/>
          <w:color w:val="000000" w:themeColor="text1"/>
        </w:rPr>
        <w:t>中华人民共和国土地增值税暂行条例</w:t>
      </w:r>
      <w:r>
        <w:rPr>
          <w:rFonts w:ascii="宋体" w:hAnsi="宋体" w:cs="Times New Roman"/>
          <w:bCs/>
          <w:color w:val="000000" w:themeColor="text1"/>
        </w:rPr>
        <w:t>》</w:t>
      </w:r>
      <w:r>
        <w:rPr>
          <w:rFonts w:ascii="宋体" w:hAnsi="宋体" w:cs="宋体"/>
          <w:color w:val="000000" w:themeColor="text1"/>
        </w:rPr>
        <w:t>第二条</w:t>
      </w:r>
    </w:p>
    <w:p>
      <w:pPr>
        <w:wordWrap w:val="0"/>
        <w:spacing w:line="360" w:lineRule="auto"/>
        <w:ind w:firstLine="480"/>
        <w:rPr>
          <w:rFonts w:hint="default" w:ascii="宋体" w:hAnsi="宋体" w:cs="宋体"/>
          <w:color w:val="000000" w:themeColor="text1"/>
        </w:rPr>
      </w:pPr>
      <w:r>
        <w:rPr>
          <w:rFonts w:cs="Times New Roman"/>
          <w:color w:val="000000" w:themeColor="text1"/>
        </w:rPr>
        <w:t>3.</w:t>
      </w:r>
      <w:r>
        <w:rPr>
          <w:rFonts w:ascii="宋体" w:hAnsi="宋体" w:cs="Times New Roman"/>
          <w:color w:val="000000" w:themeColor="text1"/>
        </w:rPr>
        <w:t>《中华人民共和国土地增值税暂行条例实施细则》第十六条</w:t>
      </w:r>
    </w:p>
    <w:p>
      <w:pPr>
        <w:pStyle w:val="31"/>
        <w:wordWrap w:val="0"/>
        <w:adjustRightInd/>
        <w:snapToGrid/>
        <w:rPr>
          <w:color w:val="000000" w:themeColor="text1"/>
        </w:rPr>
      </w:pPr>
      <w:r>
        <w:rPr>
          <w:rFonts w:hint="eastAsia"/>
          <w:color w:val="000000" w:themeColor="text1"/>
        </w:rPr>
        <w:t>【办理材料】</w:t>
      </w:r>
    </w:p>
    <w:tbl>
      <w:tblPr>
        <w:tblStyle w:val="18"/>
        <w:tblW w:w="8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72"/>
        <w:gridCol w:w="3063"/>
        <w:gridCol w:w="15"/>
        <w:gridCol w:w="665"/>
        <w:gridCol w:w="7"/>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68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73"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ascii="仿宋" w:hAnsi="仿宋" w:eastAsia="仿宋" w:cs="仿宋"/>
                <w:color w:val="000000" w:themeColor="text1"/>
              </w:rPr>
            </w:pPr>
            <w:r>
              <w:rPr>
                <w:rFonts w:hint="eastAsia"/>
                <w:color w:val="000000" w:themeColor="text1"/>
              </w:rPr>
              <w:t>《土地增值税纳税申报表（二）（从事房地产开发的纳税人清算适用）》</w:t>
            </w:r>
          </w:p>
        </w:tc>
        <w:tc>
          <w:tcPr>
            <w:tcW w:w="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ascii="仿宋" w:hAnsi="仿宋" w:eastAsia="仿宋" w:cs="仿宋"/>
                <w:color w:val="000000" w:themeColor="text1"/>
              </w:rPr>
            </w:pPr>
            <w:r>
              <w:rPr>
                <w:rFonts w:hint="eastAsia" w:ascii="Times New Roman" w:hAnsi="Times New Roman"/>
                <w:color w:val="000000" w:themeColor="text1"/>
              </w:rPr>
              <w:t>2</w:t>
            </w:r>
            <w:r>
              <w:rPr>
                <w:color w:val="000000" w:themeColor="text1"/>
              </w:rPr>
              <w:t>份</w:t>
            </w:r>
          </w:p>
        </w:tc>
        <w:tc>
          <w:tcPr>
            <w:tcW w:w="2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进行土地增值税清算申报的查账征收的纳税人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《土地增值税纳税申报表（五）（从事房地产开发的纳税人清算方式为核定征收适用》</w:t>
            </w:r>
          </w:p>
        </w:tc>
        <w:tc>
          <w:tcPr>
            <w:tcW w:w="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进行土地增值税清算申报的核定征收的纳税人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《土地增值税纳税申报表（六）（纳税人整体转让在建工程适用）》</w:t>
            </w:r>
          </w:p>
        </w:tc>
        <w:tc>
          <w:tcPr>
            <w:tcW w:w="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整体转让在建工程的纳税人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土地增值税纳税申报表附表</w:t>
            </w:r>
          </w:p>
        </w:tc>
        <w:tc>
          <w:tcPr>
            <w:tcW w:w="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由各地根据本地实际情况制定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预售许可证等与转让房地产的收入、成本和费用有关资料原件及复印件</w:t>
            </w:r>
          </w:p>
        </w:tc>
        <w:tc>
          <w:tcPr>
            <w:tcW w:w="6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原件查验后退回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8" w:type="dxa"/>
            <w:gridSpan w:val="7"/>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52"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3078"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72"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exact"/>
          <w:jc w:val="center"/>
        </w:trPr>
        <w:tc>
          <w:tcPr>
            <w:tcW w:w="2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cs="黑体"/>
                <w:color w:val="000000" w:themeColor="text1"/>
              </w:rPr>
            </w:pPr>
            <w:r>
              <w:rPr>
                <w:rFonts w:hint="eastAsia" w:cs="黑体"/>
                <w:color w:val="000000" w:themeColor="text1"/>
              </w:rPr>
              <w:t>办理房地产开发项目土地增值税清算的纳税人报送，整体转让在建工程的纳税人视情况报送</w:t>
            </w:r>
          </w:p>
        </w:tc>
        <w:tc>
          <w:tcPr>
            <w:tcW w:w="30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房地产开发项目清算说明、项目竣工决算报表复印件、银行贷款利息结算通知单原件及复印件、项目工程合同结算单原件及复印件、</w:t>
            </w:r>
            <w:r>
              <w:rPr>
                <w:color w:val="000000" w:themeColor="text1"/>
              </w:rPr>
              <w:t>商品房购销合同统计表</w:t>
            </w:r>
            <w:r>
              <w:rPr>
                <w:rFonts w:hint="eastAsia"/>
                <w:color w:val="000000" w:themeColor="text1"/>
              </w:rPr>
              <w:t>、房地产销售明细表</w:t>
            </w:r>
          </w:p>
        </w:tc>
        <w:tc>
          <w:tcPr>
            <w:tcW w:w="6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原件查验后退回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jc w:val="center"/>
        </w:trPr>
        <w:tc>
          <w:tcPr>
            <w:tcW w:w="2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ascii="仿宋" w:hAnsi="仿宋" w:eastAsia="仿宋" w:cs="仿宋"/>
                <w:color w:val="000000" w:themeColor="text1"/>
              </w:rPr>
            </w:pPr>
            <w:r>
              <w:rPr>
                <w:rFonts w:hint="eastAsia" w:cs="黑体"/>
                <w:color w:val="000000" w:themeColor="text1"/>
              </w:rPr>
              <w:t>需要进行相关成本费用扣除的纳税人</w:t>
            </w:r>
          </w:p>
        </w:tc>
        <w:tc>
          <w:tcPr>
            <w:tcW w:w="30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取得土地使用权所支付的地价款凭证原件及复印件、国有土地使用权出让合同原件及复印件</w:t>
            </w:r>
          </w:p>
        </w:tc>
        <w:tc>
          <w:tcPr>
            <w:tcW w:w="6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原件查验后退回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ascii="仿宋" w:hAnsi="仿宋" w:eastAsia="仿宋" w:cs="仿宋"/>
                <w:color w:val="000000" w:themeColor="text1"/>
              </w:rPr>
            </w:pPr>
            <w:r>
              <w:rPr>
                <w:rFonts w:hint="eastAsia" w:cs="黑体"/>
                <w:color w:val="000000" w:themeColor="text1"/>
              </w:rPr>
              <w:t>主管税务机关需要相应项目记账凭证的</w:t>
            </w:r>
          </w:p>
        </w:tc>
        <w:tc>
          <w:tcPr>
            <w:tcW w:w="30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color w:val="000000" w:themeColor="text1"/>
              </w:rPr>
              <w:t>相关记账凭证复印件</w:t>
            </w:r>
          </w:p>
        </w:tc>
        <w:tc>
          <w:tcPr>
            <w:tcW w:w="6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ascii="仿宋" w:hAnsi="仿宋" w:eastAsia="仿宋" w:cs="仿宋"/>
                <w:color w:val="000000" w:themeColor="text1"/>
              </w:rPr>
            </w:pPr>
            <w:r>
              <w:rPr>
                <w:color w:val="000000" w:themeColor="text1"/>
              </w:rPr>
              <w:t>享受土地增值税优惠的</w:t>
            </w:r>
            <w:r>
              <w:rPr>
                <w:rFonts w:hint="eastAsia"/>
                <w:color w:val="000000" w:themeColor="text1"/>
              </w:rPr>
              <w:t>项目</w:t>
            </w:r>
          </w:p>
        </w:tc>
        <w:tc>
          <w:tcPr>
            <w:tcW w:w="30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ascii="仿宋" w:hAnsi="仿宋" w:eastAsia="仿宋" w:cs="仿宋"/>
                <w:color w:val="000000" w:themeColor="text1"/>
              </w:rPr>
            </w:pPr>
            <w:r>
              <w:rPr>
                <w:color w:val="000000" w:themeColor="text1"/>
              </w:rPr>
              <w:t>减免土地增值税证明材料原件及复印件</w:t>
            </w:r>
          </w:p>
        </w:tc>
        <w:tc>
          <w:tcPr>
            <w:tcW w:w="6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rFonts w:ascii="仿宋" w:hAnsi="仿宋" w:eastAsia="仿宋" w:cs="仿宋"/>
                <w:color w:val="000000" w:themeColor="text1"/>
              </w:rPr>
            </w:pPr>
            <w:r>
              <w:rPr>
                <w:rFonts w:hint="eastAsia" w:ascii="Times New Roman" w:hAnsi="Times New Roman"/>
                <w:color w:val="000000" w:themeColor="text1"/>
              </w:rPr>
              <w:t>1</w:t>
            </w:r>
            <w:r>
              <w:rPr>
                <w:color w:val="000000" w:themeColor="text1"/>
              </w:rPr>
              <w:t>份</w:t>
            </w:r>
          </w:p>
        </w:tc>
        <w:tc>
          <w:tcPr>
            <w:tcW w:w="22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color w:val="000000" w:themeColor="text1"/>
              </w:rPr>
              <w:t>原件查验后退回</w:t>
            </w:r>
          </w:p>
        </w:tc>
      </w:tr>
    </w:tbl>
    <w:p>
      <w:pPr>
        <w:pStyle w:val="31"/>
        <w:wordWrap w:val="0"/>
        <w:adjustRightInd/>
        <w:snapToGrid/>
        <w:rPr>
          <w:color w:val="000000" w:themeColor="text1"/>
        </w:rPr>
      </w:pPr>
      <w:bookmarkStart w:id="136" w:name="_MON_1626520140"/>
      <w:bookmarkEnd w:id="136"/>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highlight w:val="yellow"/>
        </w:rPr>
      </w:pPr>
      <w:r>
        <w:rPr>
          <w:rFonts w:hint="default" w:ascii="宋体" w:hAnsi="宋体" w:cs="Times New Roman"/>
          <w:color w:val="000000" w:themeColor="text1"/>
        </w:rPr>
        <w:drawing>
          <wp:inline distT="0" distB="0" distL="114300" distR="114300">
            <wp:extent cx="5184140" cy="1769745"/>
            <wp:effectExtent l="0" t="0" r="10160" b="8255"/>
            <wp:docPr id="34" name="图片 24"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descr="C:\Users\baoqianyu\Desktop\流程图\流转\纳税人.png纳税人"/>
                    <pic:cNvPicPr>
                      <a:picLocks noChangeAspect="1"/>
                    </pic:cNvPicPr>
                  </pic:nvPicPr>
                  <pic:blipFill>
                    <a:blip r:embed="rId15"/>
                    <a:srcRect/>
                    <a:stretch>
                      <a:fillRect/>
                    </a:stretch>
                  </pic:blipFill>
                  <pic:spPr>
                    <a:xfrm>
                      <a:off x="0" y="0"/>
                      <a:ext cx="5184140" cy="17697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对于符合应进行土地增值税清算条件的项目，纳税人应当在满足条件之日起</w:t>
      </w:r>
      <w:r>
        <w:rPr>
          <w:rFonts w:cs="Times New Roman"/>
          <w:color w:val="000000" w:themeColor="text1"/>
        </w:rPr>
        <w:t>90</w:t>
      </w:r>
      <w:r>
        <w:rPr>
          <w:rFonts w:ascii="宋体" w:hAnsi="宋体" w:cs="Times New Roman"/>
          <w:color w:val="000000" w:themeColor="text1"/>
        </w:rPr>
        <w:t>日内到主管税务机关办理清算手续。对于符合可要求纳税人进行土地增值税清算的项目，由主管税务机关确定是否进行清算；对于确定需要进行清算的项目，由主管税务机关下达清算通知，纳税人应当在收到清算通知之日起</w:t>
      </w:r>
      <w:r>
        <w:rPr>
          <w:rFonts w:cs="Times New Roman"/>
          <w:color w:val="000000" w:themeColor="text1"/>
        </w:rPr>
        <w:t>90</w:t>
      </w:r>
      <w:r>
        <w:rPr>
          <w:rFonts w:ascii="宋体" w:hAnsi="宋体" w:cs="Times New Roman"/>
          <w:color w:val="000000" w:themeColor="text1"/>
        </w:rPr>
        <w:t>日内办理清算手续。</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对经审核需要补缴土地增值税的，由纳税人通过申报错误更正环节进行更正申报并补缴税款；对需要退还土地增值税的，由纳税人更正申报后办理多缴税款的退还。</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在土地增值税清算中符合以下条件之一的，可实行核定征收。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）依照法律、行政法规的规定应当设置但未设置账簿的；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）擅自销毁账簿或者拒不提供纳税资料的；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）虽设置账簿，但账目混乱或者成本资料、收入凭证、费用凭证残缺不全，难以确定转让收入或扣除项目金额的；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）符合土地增值税清算条件，企业未按照规定的期限办理清算手续，经税务机关责令限期清算，逾期仍不清算的；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）申报的计税依据明显偏低，又无正当理由的。</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对符合以下条件之一的，主管税务机关可要求纳税人进行土地增值税清算：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）已竣工验收的房地产开发项目，已转让的房地产建筑面积占整个项目可售建筑面积的比例在</w:t>
      </w:r>
      <w:r>
        <w:rPr>
          <w:rFonts w:cs="Times New Roman"/>
          <w:color w:val="000000" w:themeColor="text1"/>
        </w:rPr>
        <w:t>85</w:t>
      </w:r>
      <w:r>
        <w:rPr>
          <w:rFonts w:hint="default" w:ascii="宋体" w:hAnsi="宋体" w:cs="Times New Roman"/>
          <w:color w:val="000000" w:themeColor="text1"/>
        </w:rPr>
        <w:t>%</w:t>
      </w:r>
      <w:r>
        <w:rPr>
          <w:rFonts w:ascii="宋体" w:hAnsi="宋体" w:cs="Times New Roman"/>
          <w:color w:val="000000" w:themeColor="text1"/>
        </w:rPr>
        <w:t>以上，或该比例虽未超过</w:t>
      </w:r>
      <w:r>
        <w:rPr>
          <w:rFonts w:cs="Times New Roman"/>
          <w:color w:val="000000" w:themeColor="text1"/>
        </w:rPr>
        <w:t>85</w:t>
      </w:r>
      <w:r>
        <w:rPr>
          <w:rFonts w:hint="default" w:ascii="宋体" w:hAnsi="宋体" w:cs="Times New Roman"/>
          <w:color w:val="000000" w:themeColor="text1"/>
        </w:rPr>
        <w:t>%</w:t>
      </w:r>
      <w:r>
        <w:rPr>
          <w:rFonts w:ascii="宋体" w:hAnsi="宋体" w:cs="Times New Roman"/>
          <w:color w:val="000000" w:themeColor="text1"/>
        </w:rPr>
        <w:t>，但剩余的可售建筑面积已经出租或自用的。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）取得销售（预售）许可证满三年仍未销售完毕的。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）纳税人申请注销税务登记但未办理土地增值税清算手续的，应在办理注销登记前进行土地增值税清算。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）省（自治区、直辖市、计划单列市）税务机关规定的其他情况。</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ascii="宋体" w:hAnsi="宋体" w:cs="Times New Roman"/>
          <w:color w:val="000000" w:themeColor="text1"/>
        </w:rPr>
        <w:t>纳税人在纳税期内没有应纳税款的，也应当按照规定办理申报纳税。纳税人享受减税、免税待遇的，在减税、免税期间应当按照规定办理申报纳税。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（3）办税服务厅1个工作日内将资料信息流转至相关责任部门。</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3.</w:t>
      </w:r>
      <w:r>
        <w:rPr>
          <w:rFonts w:hint="default" w:ascii="宋体" w:hAnsi="宋体" w:cs="Times New Roman"/>
          <w:color w:val="000000" w:themeColor="text1"/>
        </w:rPr>
        <w:t>反馈</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（1）受理申报时，</w:t>
      </w:r>
      <w:r>
        <w:rPr>
          <w:rFonts w:hint="default" w:ascii="宋体" w:hAnsi="宋体" w:cs="Times New Roman"/>
          <w:color w:val="000000" w:themeColor="text1"/>
        </w:rPr>
        <w:t>在申报表上加盖印章，一份返还纳税人。</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（2）办税服务厅接收到相关责任部门反馈后，1</w:t>
      </w:r>
      <w:r>
        <w:rPr>
          <w:rFonts w:hint="default" w:ascii="宋体" w:hAnsi="宋体" w:cs="Times New Roman"/>
          <w:color w:val="000000" w:themeColor="text1"/>
        </w:rPr>
        <w:t>个工作日内通知纳税人领取办理结果，制作</w:t>
      </w:r>
      <w:r>
        <w:rPr>
          <w:rFonts w:ascii="宋体" w:hAnsi="宋体" w:cs="Times New Roman"/>
          <w:color w:val="000000" w:themeColor="text1"/>
        </w:rPr>
        <w:t>并</w:t>
      </w:r>
      <w:r>
        <w:rPr>
          <w:rFonts w:hint="default" w:ascii="宋体" w:hAnsi="宋体" w:cs="Times New Roman"/>
          <w:color w:val="000000" w:themeColor="text1"/>
        </w:rPr>
        <w:t>发放《税务事项通知书》。</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（3）</w:t>
      </w:r>
      <w:r>
        <w:rPr>
          <w:rFonts w:hint="default" w:ascii="宋体" w:hAnsi="宋体" w:cs="Times New Roman"/>
          <w:color w:val="000000" w:themeColor="text1"/>
        </w:rPr>
        <w:t>电子税务局办理的，将办理结果通过电子税务局反馈给纳税人</w:t>
      </w:r>
      <w:r>
        <w:rPr>
          <w:rFonts w:ascii="宋体" w:hAnsi="宋体" w:cs="Times New Roman"/>
          <w:color w:val="000000" w:themeColor="text1"/>
        </w:rPr>
        <w:t>。</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4.</w:t>
      </w:r>
      <w:r>
        <w:rPr>
          <w:rFonts w:hint="default" w:ascii="宋体" w:hAnsi="宋体" w:cs="Times New Roman"/>
          <w:color w:val="000000" w:themeColor="text1"/>
        </w:rPr>
        <w:t>归档</w:t>
      </w:r>
    </w:p>
    <w:p>
      <w:pPr>
        <w:wordWrap w:val="0"/>
        <w:spacing w:line="360" w:lineRule="auto"/>
        <w:ind w:firstLine="420" w:firstLineChars="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2.推进税（费）种要素申报，逐步扩大申报表免填数据项范围，实现部分申报表由系统自动生成，推送给纳税人由其确认后报送。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.查账征收纳税人</w:t>
      </w:r>
    </w:p>
    <w:p>
      <w:pPr>
        <w:wordWrap w:val="0"/>
        <w:spacing w:line="360" w:lineRule="auto"/>
        <w:ind w:firstLine="420" w:firstLineChars="0"/>
        <w:rPr>
          <w:rFonts w:hint="default" w:ascii="宋体" w:hAnsi="宋体" w:cs="Times New Roman"/>
          <w:color w:val="000000" w:themeColor="text1"/>
        </w:rPr>
      </w:pPr>
      <w:r>
        <w:rPr>
          <w:rFonts w:hint="default" w:ascii="宋体" w:hAnsi="宋体" w:cs="Times New Roman"/>
          <w:color w:val="000000" w:themeColor="text1"/>
        </w:rPr>
        <w:t>进入金三操作系统，通过申报征收岗权限，按照【申报征收】—【申报】—【土地增值税申报】—【土地增值税纳税申报表（二）（从事房地产开发的纳税人清算适用）】的路径进入功能模块。</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.核定征收纳税人</w:t>
      </w:r>
    </w:p>
    <w:p>
      <w:pPr>
        <w:wordWrap w:val="0"/>
        <w:spacing w:line="360" w:lineRule="auto"/>
        <w:ind w:firstLine="420" w:firstLineChars="0"/>
        <w:rPr>
          <w:rFonts w:hint="default" w:ascii="宋体" w:hAnsi="宋体" w:cs="Times New Roman"/>
          <w:color w:val="000000" w:themeColor="text1"/>
        </w:rPr>
      </w:pPr>
      <w:r>
        <w:rPr>
          <w:rFonts w:hint="default" w:ascii="宋体" w:hAnsi="宋体" w:cs="Times New Roman"/>
          <w:color w:val="000000" w:themeColor="text1"/>
        </w:rPr>
        <w:t>进入金三操作系统，通过申报征收岗权限，按照【申报征收】—【申报】—【土地增值税申报】—【土地增值税纳税申报表（五）（从事房地产开发的纳税人清算方式为核定征收适用）】的路径进入功能模块。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855" w:type="dxa"/>
            <w:vAlign w:val="center"/>
          </w:tcPr>
          <w:p>
            <w:pPr>
              <w:pStyle w:val="50"/>
              <w:adjustRightInd/>
              <w:snapToGrid/>
              <w:spacing w:line="276" w:lineRule="auto"/>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pPr>
            <w:r>
              <w:rPr>
                <w:rFonts w:hint="eastAsia"/>
              </w:rPr>
              <w:t>《中华人民共和国土地增值税暂行条例》</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rPr>
                <w:bCs/>
              </w:rPr>
            </w:pPr>
            <w:r>
              <w:rPr>
                <w:rFonts w:hint="eastAsia"/>
              </w:rPr>
              <w:t>《中华人民共和国土地增值税暂行条例实施细则》（财法字〔1995〕6号）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855"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55" w:type="dxa"/>
            <w:vAlign w:val="center"/>
          </w:tcPr>
          <w:p>
            <w:pPr>
              <w:pStyle w:val="50"/>
              <w:adjustRightInd/>
              <w:snapToGrid/>
              <w:spacing w:line="276" w:lineRule="auto"/>
            </w:pPr>
            <w:r>
              <w:rPr>
                <w:rFonts w:hint="eastAsia"/>
              </w:rPr>
              <w:t>《</w:t>
            </w:r>
            <w:r>
              <w:t>国家税务总局关于房地产开发企业土地增值税清算管理有关问题的通知</w:t>
            </w:r>
            <w:r>
              <w:rPr>
                <w:rFonts w:hint="eastAsia"/>
              </w:rPr>
              <w:t>》（</w:t>
            </w:r>
            <w:r>
              <w:t>国税发〔2006〕187号</w:t>
            </w:r>
            <w:r>
              <w:rPr>
                <w:rFonts w:hint="eastAsia"/>
              </w:rPr>
              <w:t>）</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855" w:type="dxa"/>
            <w:vAlign w:val="center"/>
          </w:tcPr>
          <w:p>
            <w:pPr>
              <w:pStyle w:val="50"/>
              <w:adjustRightInd/>
              <w:snapToGrid/>
              <w:spacing w:line="276" w:lineRule="auto"/>
            </w:pPr>
            <w:r>
              <w:rPr>
                <w:rFonts w:hint="eastAsia"/>
              </w:rPr>
              <w:t>《国家税务总局关于印发〈土地增值税清算管理规程〉的通知》（国税发〔</w:t>
            </w:r>
            <w:r>
              <w:t>2009</w:t>
            </w:r>
            <w:r>
              <w:rPr>
                <w:rFonts w:hint="eastAsia"/>
              </w:rPr>
              <w:t>〕</w:t>
            </w:r>
            <w:r>
              <w:t>91</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855" w:type="dxa"/>
            <w:vAlign w:val="center"/>
          </w:tcPr>
          <w:p>
            <w:pPr>
              <w:pStyle w:val="50"/>
              <w:adjustRightInd/>
              <w:snapToGrid/>
              <w:spacing w:line="276" w:lineRule="auto"/>
            </w:pPr>
            <w:r>
              <w:rPr>
                <w:rFonts w:hint="eastAsia"/>
              </w:rPr>
              <w:t>《国家税务总局关于加快推行办税事项同城通办的通知》（税总发〔2016〕46号）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8</w:t>
            </w:r>
          </w:p>
        </w:tc>
        <w:tc>
          <w:tcPr>
            <w:tcW w:w="5855"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855"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95"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10</w:t>
            </w:r>
          </w:p>
        </w:tc>
        <w:tc>
          <w:tcPr>
            <w:tcW w:w="5855"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855" w:type="dxa"/>
            <w:vAlign w:val="center"/>
          </w:tcPr>
          <w:p>
            <w:pPr>
              <w:pStyle w:val="50"/>
              <w:adjustRightInd/>
              <w:snapToGrid/>
              <w:spacing w:line="276" w:lineRule="auto"/>
            </w:pPr>
            <w:r>
              <w:rPr>
                <w:rFonts w:hint="eastAsia"/>
              </w:rPr>
              <w:t>《国家税务总局关于修订土地增值税纳税申报表的通知》（税总函〔2016〕309号）</w:t>
            </w:r>
          </w:p>
        </w:tc>
        <w:tc>
          <w:tcPr>
            <w:tcW w:w="1595" w:type="dxa"/>
            <w:vAlign w:val="center"/>
          </w:tcPr>
          <w:p>
            <w:pPr>
              <w:pStyle w:val="50"/>
              <w:adjustRightInd/>
              <w:snapToGrid/>
              <w:spacing w:line="276" w:lineRule="auto"/>
            </w:pPr>
            <w:r>
              <w:rPr>
                <w:rFonts w:hint="eastAsia"/>
              </w:rPr>
              <w:t>主动公开</w:t>
            </w:r>
          </w:p>
        </w:tc>
      </w:tr>
    </w:tbl>
    <w:p>
      <w:pPr>
        <w:pStyle w:val="37"/>
        <w:wordWrap w:val="0"/>
        <w:topLinePunct w:val="0"/>
        <w:spacing w:before="312" w:after="312"/>
        <w:rPr>
          <w:color w:val="000000" w:themeColor="text1"/>
        </w:rPr>
      </w:pPr>
      <w:bookmarkStart w:id="137" w:name="_Toc2873"/>
      <w:bookmarkStart w:id="138" w:name="_Toc18096142"/>
      <w:r>
        <w:rPr>
          <w:rFonts w:hint="eastAsia"/>
          <w:color w:val="000000" w:themeColor="text1"/>
        </w:rPr>
        <w:t>3.8.3—08</w:t>
      </w:r>
      <w:r>
        <w:rPr>
          <w:color w:val="000000" w:themeColor="text1"/>
        </w:rPr>
        <w:t>9</w:t>
      </w:r>
      <w:r>
        <w:rPr>
          <w:rFonts w:hint="eastAsia"/>
          <w:color w:val="000000" w:themeColor="text1"/>
        </w:rPr>
        <w:t>　</w:t>
      </w:r>
      <w:r>
        <w:rPr>
          <w:color w:val="000000" w:themeColor="text1"/>
        </w:rPr>
        <w:t>　</w:t>
      </w:r>
      <w:r>
        <w:rPr>
          <w:rFonts w:hint="eastAsia"/>
          <w:color w:val="000000" w:themeColor="text1"/>
        </w:rPr>
        <w:t>房地产项目尾盘销售土地增值税申报</w:t>
      </w:r>
      <w:bookmarkEnd w:id="137"/>
      <w:bookmarkEnd w:id="138"/>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房地产项目尾盘销售土地增值税申报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土地增值税清算时未转让的房地产，清算后销售或有偿转让的，纳税人应按规定填写《土地增值税纳税申报表（四）（从事房地产开发的纳税人清算后尾盘销售适用）》，向税务机关报送相关资料，办理房地产项目尾盘销售土地增值税申报，扣除项目金额按清算时的单位建筑面积成本费用乘以销售或转让面积计算。</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宋体"/>
          <w:color w:val="000000" w:themeColor="text1"/>
        </w:rPr>
      </w:pPr>
      <w:r>
        <w:rPr>
          <w:rFonts w:cs="Times New Roman"/>
          <w:bCs/>
          <w:color w:val="000000" w:themeColor="text1"/>
        </w:rPr>
        <w:t>2.</w:t>
      </w:r>
      <w:r>
        <w:rPr>
          <w:rFonts w:ascii="宋体" w:hAnsi="宋体" w:cs="Times New Roman"/>
          <w:bCs/>
          <w:color w:val="000000" w:themeColor="text1"/>
        </w:rPr>
        <w:t>《</w:t>
      </w:r>
      <w:r>
        <w:rPr>
          <w:rFonts w:ascii="宋体" w:hAnsi="宋体" w:cs="Times New Roman"/>
          <w:color w:val="000000" w:themeColor="text1"/>
        </w:rPr>
        <w:t>中华人民共和国土地增值税暂行条例</w:t>
      </w:r>
      <w:r>
        <w:rPr>
          <w:rFonts w:ascii="宋体" w:hAnsi="宋体" w:cs="Times New Roman"/>
          <w:bCs/>
          <w:color w:val="000000" w:themeColor="text1"/>
        </w:rPr>
        <w:t>》</w:t>
      </w:r>
      <w:r>
        <w:rPr>
          <w:rFonts w:ascii="宋体" w:hAnsi="宋体" w:cs="宋体"/>
          <w:color w:val="000000" w:themeColor="text1"/>
        </w:rPr>
        <w:t>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《中华人民共和国土地增值税暂行条例实施细则》第十六条</w:t>
      </w:r>
    </w:p>
    <w:p>
      <w:pPr>
        <w:pStyle w:val="31"/>
        <w:wordWrap w:val="0"/>
        <w:adjustRightInd/>
        <w:snapToGrid/>
        <w:rPr>
          <w:color w:val="000000" w:themeColor="text1"/>
        </w:rPr>
      </w:pPr>
      <w:r>
        <w:rPr>
          <w:rFonts w:hint="eastAsia"/>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2046"/>
        <w:gridCol w:w="2892"/>
        <w:gridCol w:w="696"/>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938"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9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184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938"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《土地增值税纳税申报表（四）（从事房地产开发的纳税人清算后尾盘销售适用）》</w:t>
            </w:r>
          </w:p>
        </w:tc>
        <w:tc>
          <w:tcPr>
            <w:tcW w:w="69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184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938"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《清算后尾盘销售土地增值税扣除项目明细表》</w:t>
            </w:r>
          </w:p>
        </w:tc>
        <w:tc>
          <w:tcPr>
            <w:tcW w:w="69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184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2"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2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892"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9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184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72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仿宋" w:hAnsi="仿宋"/>
                <w:color w:val="000000" w:themeColor="text1"/>
              </w:rPr>
            </w:pPr>
            <w:r>
              <w:rPr>
                <w:rFonts w:hint="eastAsia"/>
                <w:color w:val="000000" w:themeColor="text1"/>
              </w:rPr>
              <w:t>享受土地增值税优惠的纳税人</w:t>
            </w:r>
          </w:p>
        </w:tc>
        <w:tc>
          <w:tcPr>
            <w:tcW w:w="289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减免土地增值税证明材料复印件</w:t>
            </w:r>
          </w:p>
        </w:tc>
        <w:tc>
          <w:tcPr>
            <w:tcW w:w="69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ascii="Times New Roman" w:hAnsi="Times New Roman"/>
                <w:color w:val="000000" w:themeColor="text1"/>
              </w:rPr>
              <w:t>1</w:t>
            </w:r>
            <w:r>
              <w:rPr>
                <w:rFonts w:hint="eastAsia"/>
                <w:color w:val="000000" w:themeColor="text1"/>
              </w:rPr>
              <w:t>份</w:t>
            </w:r>
          </w:p>
        </w:tc>
        <w:tc>
          <w:tcPr>
            <w:tcW w:w="184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45075" cy="1718945"/>
            <wp:effectExtent l="0" t="0" r="9525" b="0"/>
            <wp:docPr id="49"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纳税人在纳税期内没有应纳税款的，也应当按照规定办理申报纳税。纳税人享受减税、免税待遇的，在减税、免税期间应当按照规定办理申报纳税。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cs="Times New Roman"/>
          <w:color w:val="000000" w:themeColor="text1"/>
        </w:rPr>
      </w:pPr>
      <w:r>
        <w:rPr>
          <w:rFonts w:cs="Times New Roman"/>
          <w:color w:val="000000" w:themeColor="text1"/>
        </w:rPr>
        <w:t>1.</w:t>
      </w:r>
      <w:r>
        <w:rPr>
          <w:rFonts w:hint="default" w:cs="Times New Roman"/>
          <w:color w:val="000000" w:themeColor="text1"/>
        </w:rPr>
        <w:t>利用数字证书申报成功的纳税人，取消纸质资料报送。</w:t>
      </w:r>
    </w:p>
    <w:p>
      <w:pPr>
        <w:wordWrap w:val="0"/>
        <w:spacing w:line="360" w:lineRule="auto"/>
        <w:ind w:firstLine="480"/>
        <w:rPr>
          <w:rFonts w:hint="default" w:cs="Times New Roman"/>
          <w:color w:val="000000" w:themeColor="text1"/>
        </w:rPr>
      </w:pPr>
      <w:r>
        <w:rPr>
          <w:rFonts w:cs="Times New Roman"/>
          <w:color w:val="000000" w:themeColor="text1"/>
        </w:rPr>
        <w:t>2.推进税（费）种要素申报，逐步扩大申报表免填数据项范围，实现部分申报表由系统自动生成，推送给纳税人由其确认后报送。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进入金三操作系统，通过申报征收岗权限，按照【申报征收】—【申报】—【土地增值税申报】—【土地增值税纳税申报表（四）（从事房地产开发的纳税人清算后尾盘销售适用）】的路径进入功能模块。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《中华人民共和国土地增值税暂行条例》</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rPr>
                <w:bCs/>
              </w:rPr>
            </w:pPr>
            <w:r>
              <w:rPr>
                <w:rFonts w:hint="eastAsia"/>
              </w:rPr>
              <w:t>《中华人民共和国土地增值税暂行条例实施细则》（财法字〔1995〕6号）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w:t>
            </w:r>
            <w:r>
              <w:t>国家税务总局关于房地产开发企业土地增值税清算管理有关问题的通知</w:t>
            </w:r>
            <w:r>
              <w:rPr>
                <w:rFonts w:hint="eastAsia"/>
              </w:rPr>
              <w:t>》（</w:t>
            </w:r>
            <w:r>
              <w:t>国税发〔2006〕187号</w:t>
            </w:r>
            <w:r>
              <w:rPr>
                <w:rFonts w:hint="eastAsia"/>
              </w:rPr>
              <w:t>）</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《国家税务总局关于印发〈土地增值税清算管理规程〉的通知》（国税发〔</w:t>
            </w:r>
            <w:r>
              <w:t>2009</w:t>
            </w:r>
            <w:r>
              <w:rPr>
                <w:rFonts w:hint="eastAsia"/>
              </w:rPr>
              <w:t>〕</w:t>
            </w:r>
            <w:r>
              <w:t>91</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《国家税务总局关于加快推行办税事项同城通办的通知》（税总发〔2016〕46号）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8</w:t>
            </w:r>
          </w:p>
        </w:tc>
        <w:tc>
          <w:tcPr>
            <w:tcW w:w="5713"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10</w:t>
            </w:r>
          </w:p>
        </w:tc>
        <w:tc>
          <w:tcPr>
            <w:tcW w:w="5713"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713" w:type="dxa"/>
            <w:vAlign w:val="center"/>
          </w:tcPr>
          <w:p>
            <w:pPr>
              <w:pStyle w:val="50"/>
              <w:adjustRightInd/>
              <w:snapToGrid/>
              <w:spacing w:line="276" w:lineRule="auto"/>
            </w:pPr>
            <w:r>
              <w:rPr>
                <w:rFonts w:hint="eastAsia"/>
              </w:rPr>
              <w:t>《国家税务总局关于修订土地增值税纳税申报表的通知》（税总函〔2016〕309号）</w:t>
            </w:r>
          </w:p>
        </w:tc>
        <w:tc>
          <w:tcPr>
            <w:tcW w:w="1737" w:type="dxa"/>
            <w:vAlign w:val="center"/>
          </w:tcPr>
          <w:p>
            <w:pPr>
              <w:pStyle w:val="50"/>
              <w:adjustRightInd/>
              <w:snapToGrid/>
              <w:spacing w:line="276" w:lineRule="auto"/>
            </w:pPr>
            <w:r>
              <w:rPr>
                <w:rFonts w:hint="eastAsia"/>
              </w:rPr>
              <w:t>主动公开</w:t>
            </w:r>
          </w:p>
        </w:tc>
      </w:tr>
    </w:tbl>
    <w:p>
      <w:pPr>
        <w:pStyle w:val="37"/>
        <w:wordWrap w:val="0"/>
        <w:topLinePunct w:val="0"/>
        <w:spacing w:before="312" w:after="312"/>
        <w:rPr>
          <w:color w:val="000000" w:themeColor="text1"/>
        </w:rPr>
      </w:pPr>
      <w:bookmarkStart w:id="139" w:name="_Toc29624"/>
      <w:bookmarkStart w:id="140" w:name="_Toc18096143"/>
      <w:r>
        <w:rPr>
          <w:rFonts w:hint="eastAsia"/>
          <w:color w:val="000000" w:themeColor="text1"/>
        </w:rPr>
        <w:t>3.8.4—0</w:t>
      </w:r>
      <w:r>
        <w:rPr>
          <w:color w:val="000000" w:themeColor="text1"/>
        </w:rPr>
        <w:t>90</w:t>
      </w:r>
      <w:r>
        <w:rPr>
          <w:rFonts w:hint="eastAsia"/>
          <w:color w:val="000000" w:themeColor="text1"/>
        </w:rPr>
        <w:t>　</w:t>
      </w:r>
      <w:r>
        <w:rPr>
          <w:color w:val="000000" w:themeColor="text1"/>
        </w:rPr>
        <w:t>　</w:t>
      </w:r>
      <w:r>
        <w:rPr>
          <w:rFonts w:hint="eastAsia"/>
          <w:color w:val="000000" w:themeColor="text1"/>
        </w:rPr>
        <w:t>其他情况土地增值税申报</w:t>
      </w:r>
      <w:bookmarkEnd w:id="139"/>
      <w:bookmarkEnd w:id="140"/>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其他情况土地增值税申报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转让国有土地使用权、地上的建筑物及其附着物并取得收入的单位</w:t>
      </w:r>
      <w:r>
        <w:rPr>
          <w:rFonts w:hint="default" w:ascii="宋体" w:hAnsi="宋体" w:cs="Times New Roman"/>
          <w:color w:val="000000" w:themeColor="text1"/>
        </w:rPr>
        <w:t>和个人，</w:t>
      </w:r>
      <w:r>
        <w:rPr>
          <w:rFonts w:ascii="宋体" w:hAnsi="宋体" w:cs="Times New Roman"/>
          <w:color w:val="000000" w:themeColor="text1"/>
        </w:rPr>
        <w:t>应填写《土地增值税纳税申报表（三）（非从事房地产开发的纳税人适用）》或《土地增值税纳税申报表（七）（非从事房地产开发的纳税人核定征收适用）》，并</w:t>
      </w:r>
      <w:r>
        <w:rPr>
          <w:rFonts w:hint="default" w:ascii="宋体" w:hAnsi="宋体" w:cs="Times New Roman"/>
          <w:color w:val="000000" w:themeColor="text1"/>
        </w:rPr>
        <w:t>向税务机关提交</w:t>
      </w:r>
      <w:r>
        <w:rPr>
          <w:rFonts w:ascii="宋体" w:hAnsi="宋体" w:cs="Times New Roman"/>
          <w:color w:val="000000" w:themeColor="text1"/>
        </w:rPr>
        <w:t>相关</w:t>
      </w:r>
      <w:r>
        <w:rPr>
          <w:rFonts w:hint="default" w:ascii="宋体" w:hAnsi="宋体" w:cs="Times New Roman"/>
          <w:color w:val="000000" w:themeColor="text1"/>
        </w:rPr>
        <w:t>资料，在税务机关核定的期限内缴纳土地增值税。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宋体"/>
          <w:color w:val="000000" w:themeColor="text1"/>
        </w:rPr>
      </w:pPr>
      <w:r>
        <w:rPr>
          <w:rFonts w:cs="Times New Roman"/>
          <w:bCs/>
          <w:color w:val="000000" w:themeColor="text1"/>
        </w:rPr>
        <w:t>2.</w:t>
      </w:r>
      <w:r>
        <w:rPr>
          <w:rFonts w:ascii="宋体" w:hAnsi="宋体" w:cs="Times New Roman"/>
          <w:bCs/>
          <w:color w:val="000000" w:themeColor="text1"/>
        </w:rPr>
        <w:t>《</w:t>
      </w:r>
      <w:r>
        <w:rPr>
          <w:rFonts w:ascii="宋体" w:hAnsi="宋体" w:cs="Times New Roman"/>
          <w:color w:val="000000" w:themeColor="text1"/>
        </w:rPr>
        <w:t>中华人民共和国土地增值税暂行条例</w:t>
      </w:r>
      <w:r>
        <w:rPr>
          <w:rFonts w:ascii="宋体" w:hAnsi="宋体" w:cs="Times New Roman"/>
          <w:bCs/>
          <w:color w:val="000000" w:themeColor="text1"/>
        </w:rPr>
        <w:t>》</w:t>
      </w:r>
      <w:r>
        <w:rPr>
          <w:rFonts w:ascii="宋体" w:hAnsi="宋体" w:cs="宋体"/>
          <w:color w:val="000000" w:themeColor="text1"/>
        </w:rPr>
        <w:t>第六条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《中华人民共和国土地增值税暂行条例实施细则》第七条</w:t>
      </w:r>
    </w:p>
    <w:p>
      <w:pPr>
        <w:pStyle w:val="31"/>
        <w:wordWrap w:val="0"/>
        <w:adjustRightInd/>
        <w:snapToGrid/>
        <w:rPr>
          <w:color w:val="000000" w:themeColor="text1"/>
        </w:rPr>
      </w:pPr>
      <w:r>
        <w:rPr>
          <w:rFonts w:hint="eastAsia"/>
          <w:color w:val="000000" w:themeColor="text1"/>
        </w:rPr>
        <w:t>【办理材料】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查账征收的纳税人：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《土地增值税纳税申报表（三）（非从事房地产开发的纳税人适用）》</w:t>
            </w:r>
          </w:p>
        </w:tc>
        <w:tc>
          <w:tcPr>
            <w:tcW w:w="680"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宋体" w:hAnsi="宋体" w:cs="Times New Roman"/>
                <w:color w:val="000000" w:themeColor="text1"/>
              </w:rPr>
            </w:pPr>
            <w:r>
              <w:rPr>
                <w:rFonts w:cs="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不动产权证（房屋产权证、土地使用权证）、房产买卖合同、房地产评估报告复印件</w:t>
            </w:r>
          </w:p>
        </w:tc>
        <w:tc>
          <w:tcPr>
            <w:tcW w:w="680" w:type="dxa"/>
            <w:tcBorders>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宋体" w:hAnsi="宋体" w:cs="Times New Roman"/>
                <w:color w:val="000000" w:themeColor="text1"/>
              </w:rPr>
            </w:pP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核定征收的纳税人：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op w:val="single" w:color="auto" w:sz="4" w:space="0"/>
              <w:left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土地增值税纳税申报表（七）（非从事房地产开发的纳税人核定征收适用）</w:t>
            </w:r>
          </w:p>
        </w:tc>
        <w:tc>
          <w:tcPr>
            <w:tcW w:w="680" w:type="dxa"/>
            <w:tcBorders>
              <w:top w:val="single" w:color="auto" w:sz="4" w:space="0"/>
              <w:left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不动产权证（房屋产权证、土地使用权证）、房产买卖合同、房地产评估报告复印件</w:t>
            </w:r>
          </w:p>
        </w:tc>
        <w:tc>
          <w:tcPr>
            <w:tcW w:w="680" w:type="dxa"/>
            <w:tcBorders>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p>
        </w:tc>
      </w:tr>
    </w:tbl>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3.</w:t>
      </w:r>
      <w:r>
        <w:rPr>
          <w:rFonts w:hint="eastAsia" w:ascii="宋体" w:hAnsi="宋体" w:eastAsia="宋体"/>
          <w:bCs w:val="0"/>
          <w:color w:val="000000" w:themeColor="text1"/>
        </w:rPr>
        <w:t>享受土地增值税优惠的纳税人：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op w:val="single" w:color="auto" w:sz="4" w:space="0"/>
              <w:left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color w:val="000000" w:themeColor="text1"/>
              </w:rPr>
              <w:t>减免土地增值税证明材料原件及复印件</w:t>
            </w:r>
          </w:p>
        </w:tc>
        <w:tc>
          <w:tcPr>
            <w:tcW w:w="680" w:type="dxa"/>
            <w:tcBorders>
              <w:top w:val="single" w:color="auto" w:sz="4" w:space="0"/>
              <w:left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right w:val="single" w:color="auto" w:sz="4" w:space="0"/>
            </w:tcBorders>
            <w:shd w:val="clear" w:color="auto" w:fill="auto"/>
            <w:vAlign w:val="center"/>
          </w:tcPr>
          <w:p>
            <w:pPr>
              <w:pStyle w:val="34"/>
              <w:wordWrap w:val="0"/>
              <w:adjustRightInd/>
              <w:snapToGrid/>
              <w:spacing w:line="240" w:lineRule="auto"/>
              <w:rPr>
                <w:color w:val="000000" w:themeColor="text1"/>
              </w:rPr>
            </w:pPr>
            <w:r>
              <w:rPr>
                <w:color w:val="000000" w:themeColor="text1"/>
              </w:rPr>
              <w:t>原件查验</w:t>
            </w:r>
            <w:r>
              <w:rPr>
                <w:rFonts w:hint="eastAsia"/>
                <w:color w:val="000000" w:themeColor="text1"/>
              </w:rPr>
              <w:t>后</w:t>
            </w:r>
            <w:r>
              <w:rPr>
                <w:color w:val="000000" w:themeColor="text1"/>
              </w:rPr>
              <w:t>退回</w:t>
            </w: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50"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纳税人应当自转让房地产合同签订之日起</w:t>
      </w:r>
      <w:r>
        <w:rPr>
          <w:rFonts w:cs="Times New Roman"/>
          <w:color w:val="000000" w:themeColor="text1"/>
        </w:rPr>
        <w:t>7</w:t>
      </w:r>
      <w:r>
        <w:rPr>
          <w:rFonts w:ascii="宋体" w:hAnsi="宋体" w:cs="Times New Roman"/>
          <w:color w:val="000000" w:themeColor="text1"/>
        </w:rPr>
        <w:t>日内向房地产所在地主管税务机关办理纳税申报，并在税务机关核定的期限内缴纳土地增值税。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房地产所在地，是指房地产的坐落地。纳税人转让房地产坐落在两个或两个以上地区的，应按房地产所在地分别申报纳税。纳税人因经常发生房地产转让而难以在每次转让后申报的，经税务机关审核同意后，可以定期进行纳税申报，具体期限由税务机关根据情况确定。纳税人按照税务机关核定的税额及规定的期限缴纳土地增值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纳税人在纳税期内没有应纳税款的，也应当按照规定办理申报纳税。纳税人享受减税、免税待遇的，在减税、免税期间应当按照规定办理申报纳税。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土地增值税申报】—【土地增值税纳税申报表（三）（非从事房地产开发的纳税人适用）】或【土地增值税纳税申报表（七）（非从事房地产开发的纳税人核定征收适用）】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855" w:type="dxa"/>
            <w:vAlign w:val="center"/>
          </w:tcPr>
          <w:p>
            <w:pPr>
              <w:pStyle w:val="50"/>
              <w:adjustRightInd/>
              <w:snapToGrid/>
              <w:spacing w:line="276" w:lineRule="auto"/>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pPr>
            <w:r>
              <w:rPr>
                <w:rFonts w:hint="eastAsia"/>
              </w:rPr>
              <w:t>《中华人民共和国土地增值税暂行条例》</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rPr>
                <w:bCs/>
              </w:rPr>
            </w:pPr>
            <w:r>
              <w:rPr>
                <w:rFonts w:hint="eastAsia"/>
              </w:rPr>
              <w:t>《中华人民共和国土地增值税暂行条例实施细则》（财法字〔1995〕6号）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855"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55" w:type="dxa"/>
            <w:vAlign w:val="center"/>
          </w:tcPr>
          <w:p>
            <w:pPr>
              <w:pStyle w:val="50"/>
              <w:adjustRightInd/>
              <w:snapToGrid/>
              <w:spacing w:line="276" w:lineRule="auto"/>
            </w:pPr>
            <w:r>
              <w:rPr>
                <w:rFonts w:hint="eastAsia"/>
              </w:rPr>
              <w:t>《国家税务总局关于印发〈土地增值税清算管理规程〉的通知》（国税发〔</w:t>
            </w:r>
            <w:r>
              <w:t>2009</w:t>
            </w:r>
            <w:r>
              <w:rPr>
                <w:rFonts w:hint="eastAsia"/>
              </w:rPr>
              <w:t>〕</w:t>
            </w:r>
            <w:r>
              <w:t>91</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855" w:type="dxa"/>
            <w:vAlign w:val="center"/>
          </w:tcPr>
          <w:p>
            <w:pPr>
              <w:pStyle w:val="50"/>
              <w:adjustRightInd/>
              <w:snapToGrid/>
              <w:spacing w:line="276" w:lineRule="auto"/>
            </w:pPr>
            <w:r>
              <w:rPr>
                <w:rFonts w:hint="eastAsia"/>
              </w:rPr>
              <w:t>《国家税务总局关于加快推行办税事项同城通办的通知》（税总发〔2016〕46号）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7</w:t>
            </w:r>
          </w:p>
        </w:tc>
        <w:tc>
          <w:tcPr>
            <w:tcW w:w="5855"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855"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95"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color w:val="000000"/>
              </w:rPr>
            </w:pPr>
            <w:r>
              <w:rPr>
                <w:rFonts w:hint="eastAsia"/>
              </w:rPr>
              <w:t>9</w:t>
            </w:r>
          </w:p>
        </w:tc>
        <w:tc>
          <w:tcPr>
            <w:tcW w:w="5855"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855" w:type="dxa"/>
            <w:vAlign w:val="center"/>
          </w:tcPr>
          <w:p>
            <w:pPr>
              <w:pStyle w:val="50"/>
              <w:adjustRightInd/>
              <w:snapToGrid/>
              <w:spacing w:line="276" w:lineRule="auto"/>
            </w:pPr>
            <w:r>
              <w:rPr>
                <w:rFonts w:hint="eastAsia"/>
              </w:rPr>
              <w:t>《国家税务总局关于修订土地增值税纳税申报表的通知》（税总函〔2016〕309号）</w:t>
            </w:r>
          </w:p>
        </w:tc>
        <w:tc>
          <w:tcPr>
            <w:tcW w:w="1595"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41" w:name="_Toc4236"/>
      <w:bookmarkStart w:id="142" w:name="_Toc18096144"/>
      <w:r>
        <w:rPr>
          <w:rFonts w:hint="eastAsia"/>
          <w:color w:val="000000" w:themeColor="text1"/>
        </w:rPr>
        <w:t>3.9　　耕地占用税申报</w:t>
      </w:r>
      <w:bookmarkEnd w:id="141"/>
      <w:bookmarkEnd w:id="142"/>
    </w:p>
    <w:p>
      <w:pPr>
        <w:pStyle w:val="30"/>
        <w:wordWrap w:val="0"/>
        <w:topLinePunct w:val="0"/>
        <w:spacing w:before="312" w:after="312"/>
        <w:rPr>
          <w:color w:val="000000" w:themeColor="text1"/>
        </w:rPr>
      </w:pPr>
      <w:bookmarkStart w:id="143" w:name="_Toc11789"/>
      <w:bookmarkStart w:id="144" w:name="_Toc18096145"/>
      <w:r>
        <w:rPr>
          <w:rFonts w:hint="eastAsia"/>
          <w:color w:val="000000" w:themeColor="text1"/>
        </w:rPr>
        <w:t>3.9.1—0</w:t>
      </w:r>
      <w:r>
        <w:rPr>
          <w:color w:val="000000" w:themeColor="text1"/>
        </w:rPr>
        <w:t>91</w:t>
      </w:r>
      <w:r>
        <w:rPr>
          <w:rFonts w:hint="eastAsia"/>
          <w:color w:val="000000" w:themeColor="text1"/>
        </w:rPr>
        <w:t>　</w:t>
      </w:r>
      <w:r>
        <w:rPr>
          <w:color w:val="000000" w:themeColor="text1"/>
        </w:rPr>
        <w:t>　</w:t>
      </w:r>
      <w:r>
        <w:rPr>
          <w:rFonts w:hint="eastAsia"/>
          <w:color w:val="000000" w:themeColor="text1"/>
        </w:rPr>
        <w:t>耕地占用税申报</w:t>
      </w:r>
      <w:bookmarkEnd w:id="143"/>
      <w:bookmarkEnd w:id="144"/>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耕地占用税申报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在中华人民共和国境内占用耕地建设建筑物、构筑物或者从事非农业建设的单位和个人，应当缴纳耕地占用税。</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占用园地、林地、草地、农田水利用地、养殖水面、渔业水域滩涂以及其他农用地建设建筑物、构筑物或者从事非农业建设的，依照规定缴纳耕地占用税。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《中华人民共和国耕地占用税法》第二条、第十二条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28"/>
        <w:gridCol w:w="3107"/>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《耕地占用税纳税申报表》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08"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适用情形</w:t>
            </w:r>
          </w:p>
        </w:tc>
        <w:tc>
          <w:tcPr>
            <w:tcW w:w="310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08" w:type="dxa"/>
            <w:gridSpan w:val="2"/>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经批准占用应税土地</w:t>
            </w:r>
          </w:p>
        </w:tc>
        <w:tc>
          <w:tcPr>
            <w:tcW w:w="3107"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农用地转用审批文件复印件或临时占用耕地批准文件复印件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108"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未经批准占用应税土地</w:t>
            </w:r>
          </w:p>
        </w:tc>
        <w:tc>
          <w:tcPr>
            <w:tcW w:w="31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实际占地的相关证明材料复印件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51"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1.</w:t>
      </w:r>
      <w:r>
        <w:rPr>
          <w:rFonts w:hint="default" w:ascii="宋体" w:hAnsi="宋体" w:cs="Times New Roman"/>
          <w:color w:val="000000" w:themeColor="text1"/>
          <w:lang w:val="zh-CN"/>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经批准占用应税土地的，耕地占用税纳税义务发生时间为纳税人收到自然资源主管部门办理占用耕地手续的书面通知的当日；</w:t>
      </w:r>
      <w:r>
        <w:rPr>
          <w:rFonts w:hint="default" w:ascii="宋体" w:hAnsi="宋体" w:cs="Times New Roman"/>
          <w:color w:val="000000" w:themeColor="text1"/>
        </w:rPr>
        <w:t>未经批准占用应税土地的，耕地占用税纳税义务发生时间为自然资源主管部门认定的纳税人实际占用耕地的当日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因挖损、采矿塌陷、压占、污染等损毁耕地的纳税义务发生时间为自然资源、农业农村等相关部门认定损毁耕地的当日；纳税人改变原占地用途，补缴耕地占用税纳税义务发生时间为改变用途之日，改变用途之日分两种情况：一是经批准改变用途的，批准文件的发文日期为补缴税款纳税义务发生时间；二是未经批准改变用途的，耕地占用税补缴税款纳税义务发生时间为自然资源主管部门认定的纳税人改变原占地用途的当日。纳税人应当自纳税义务发生之日起</w:t>
      </w:r>
      <w:r>
        <w:rPr>
          <w:rFonts w:cs="Times New Roman"/>
          <w:color w:val="000000" w:themeColor="text1"/>
        </w:rPr>
        <w:t>30</w:t>
      </w:r>
      <w:r>
        <w:rPr>
          <w:rFonts w:ascii="宋体" w:hAnsi="宋体" w:cs="Times New Roman"/>
          <w:color w:val="000000" w:themeColor="text1"/>
        </w:rPr>
        <w:t>日内</w:t>
      </w:r>
      <w:r>
        <w:rPr>
          <w:rFonts w:hint="default" w:ascii="宋体" w:hAnsi="宋体" w:cs="Times New Roman"/>
          <w:color w:val="000000" w:themeColor="text1"/>
        </w:rPr>
        <w:t>在耕地或其他农用地所在地</w:t>
      </w:r>
      <w:r>
        <w:rPr>
          <w:rFonts w:ascii="宋体" w:hAnsi="宋体" w:cs="Times New Roman"/>
          <w:color w:val="000000" w:themeColor="text1"/>
        </w:rPr>
        <w:t>申报缴纳耕地占用税。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占用耕地建设农田水利设施的，不缴纳耕地占用税。占用园地、林地、草地、农田水利用地、养殖水面、渔业水域滩涂以及其他农用地建设直接为农业生产服务的生产设施的，不缴纳耕地占用税。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自然资源主管部门凭耕地占用税完税凭证或者免税凭证和其他有关文件发放建设用地批准书。</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w:t>
      </w:r>
      <w:r>
        <w:rPr>
          <w:rFonts w:ascii="宋体" w:hAnsi="宋体" w:cs="Times New Roman"/>
          <w:color w:val="000000" w:themeColor="text1"/>
        </w:rPr>
        <w:t>受理</w:t>
      </w:r>
      <w:r>
        <w:rPr>
          <w:rFonts w:hint="default" w:ascii="宋体" w:hAnsi="宋体" w:cs="Times New Roman"/>
          <w:color w:val="000000" w:themeColor="text1"/>
        </w:rPr>
        <w:t>；对资料不齐全、不符合法定形式或填写内容不完整的，一次性告知应补正资料或不予受理原因。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文书表单</w:t>
      </w:r>
      <w:r>
        <w:rPr>
          <w:rFonts w:hint="default" w:ascii="宋体" w:hAnsi="宋体" w:cs="Times New Roman"/>
          <w:color w:val="000000" w:themeColor="text1"/>
        </w:rPr>
        <w:t>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实现耕地占用税信息共享。与自然资源部门实现批地数据共享，实现耕地占用税网上缴税。耕地占用税网上缴税数据反馈至自然资源部门，作为纳税人在自然资源部门办理相关手续的电子凭证。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进入金三操作系统，通过申报征收岗权限，按照【申报征收】—【申报】—【耕地占用税申报】的路径进入功能模块。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rPr>
                <w:color w:val="000000"/>
              </w:rPr>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《中华人民共和国耕地占用税法》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w:t>
            </w:r>
            <w:r>
              <w:t>中华人民共和国耕地占用税暂行条例</w:t>
            </w:r>
            <w:r>
              <w:rPr>
                <w:rFonts w:hint="eastAsia"/>
              </w:rPr>
              <w:t>》</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《税收票证管理办法》（国家税务总局令第28号）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rPr>
                <w:color w:val="00B0F0"/>
                <w:kern w:val="0"/>
              </w:rPr>
            </w:pPr>
            <w:r>
              <w:rPr>
                <w:rFonts w:hint="eastAsia"/>
              </w:rPr>
              <w:t>《中华人民共和国耕地占用税暂行条例实施细则》（财政部国家税务总局令第49号）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《国家税务总局关于发布〈耕地占用税管理规程（试行）〉的公告》（国家税务总局公告2016年第2号）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8</w:t>
            </w:r>
          </w:p>
        </w:tc>
        <w:tc>
          <w:tcPr>
            <w:tcW w:w="5713" w:type="dxa"/>
            <w:vAlign w:val="center"/>
          </w:tcPr>
          <w:p>
            <w:pPr>
              <w:pStyle w:val="50"/>
              <w:adjustRightInd/>
              <w:snapToGrid/>
              <w:spacing w:line="276" w:lineRule="auto"/>
            </w:pPr>
            <w:r>
              <w:rPr>
                <w:rFonts w:hint="eastAsia"/>
              </w:rPr>
              <w:t>《国家税务总局关于增值税小规模纳税人地方税种和相关附加减征政策有关征管问题的公告》（国家税务总局公告2019年第5号）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9</w:t>
            </w:r>
          </w:p>
        </w:tc>
        <w:tc>
          <w:tcPr>
            <w:tcW w:w="5713" w:type="dxa"/>
            <w:vAlign w:val="center"/>
          </w:tcPr>
          <w:p>
            <w:pPr>
              <w:pStyle w:val="50"/>
              <w:adjustRightInd/>
              <w:snapToGrid/>
              <w:spacing w:line="276" w:lineRule="auto"/>
            </w:pPr>
            <w:r>
              <w:rPr>
                <w:rFonts w:hint="eastAsia"/>
              </w:rPr>
              <w:t>《国家税务总局关于城镇土地使用税等“六税一费”优惠事项资料留存备查的公告》（国家税务总局公告</w:t>
            </w:r>
            <w:r>
              <w:t>2019年第21号）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10</w:t>
            </w:r>
          </w:p>
        </w:tc>
        <w:tc>
          <w:tcPr>
            <w:tcW w:w="5713" w:type="dxa"/>
            <w:vAlign w:val="center"/>
          </w:tcPr>
          <w:p>
            <w:pPr>
              <w:pStyle w:val="50"/>
              <w:adjustRightInd/>
              <w:snapToGrid/>
              <w:spacing w:line="276" w:lineRule="auto"/>
              <w:rPr>
                <w:kern w:val="0"/>
              </w:rPr>
            </w:pPr>
            <w:r>
              <w:rPr>
                <w:rFonts w:hint="eastAsia"/>
              </w:rPr>
              <w:t>《国家税务总局关于耕地占用税征收管理有关问题的通知》（国税发〔2007〕129号）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1</w:t>
            </w:r>
          </w:p>
        </w:tc>
        <w:tc>
          <w:tcPr>
            <w:tcW w:w="5713" w:type="dxa"/>
            <w:vAlign w:val="center"/>
          </w:tcPr>
          <w:p>
            <w:pPr>
              <w:pStyle w:val="50"/>
              <w:adjustRightInd/>
              <w:snapToGrid/>
              <w:spacing w:line="276" w:lineRule="auto"/>
            </w:pPr>
            <w:r>
              <w:rPr>
                <w:rFonts w:hint="eastAsia"/>
              </w:rPr>
              <w:t>《国家税务总局关于创新税收服务和管理的意见》（税总发〔2014〕85号）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2</w:t>
            </w:r>
          </w:p>
        </w:tc>
        <w:tc>
          <w:tcPr>
            <w:tcW w:w="5713"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3</w:t>
            </w:r>
          </w:p>
        </w:tc>
        <w:tc>
          <w:tcPr>
            <w:tcW w:w="5713" w:type="dxa"/>
            <w:vAlign w:val="center"/>
          </w:tcPr>
          <w:p>
            <w:pPr>
              <w:pStyle w:val="50"/>
              <w:adjustRightInd/>
              <w:snapToGrid/>
              <w:spacing w:line="276" w:lineRule="auto"/>
              <w:rPr>
                <w:color w:val="00000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4</w:t>
            </w:r>
          </w:p>
        </w:tc>
        <w:tc>
          <w:tcPr>
            <w:tcW w:w="5713"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5</w:t>
            </w:r>
          </w:p>
        </w:tc>
        <w:tc>
          <w:tcPr>
            <w:tcW w:w="5713" w:type="dxa"/>
            <w:vAlign w:val="center"/>
          </w:tcPr>
          <w:p>
            <w:pPr>
              <w:pStyle w:val="50"/>
              <w:adjustRightInd/>
              <w:snapToGrid/>
              <w:spacing w:line="276" w:lineRule="auto"/>
            </w:pPr>
            <w:r>
              <w:rPr>
                <w:rFonts w:hint="eastAsia"/>
              </w:rPr>
              <w:t>《国家税务总局关于取消一批涉税事项和报送资料的通知》（税总函〔2017〕403号）</w:t>
            </w:r>
          </w:p>
        </w:tc>
        <w:tc>
          <w:tcPr>
            <w:tcW w:w="1737"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45" w:name="_Toc21698"/>
      <w:bookmarkStart w:id="146" w:name="_Toc18096146"/>
      <w:r>
        <w:rPr>
          <w:rFonts w:hint="eastAsia"/>
          <w:color w:val="000000" w:themeColor="text1"/>
        </w:rPr>
        <w:t>3.10　　资源税申报</w:t>
      </w:r>
      <w:bookmarkEnd w:id="145"/>
      <w:bookmarkEnd w:id="146"/>
    </w:p>
    <w:p>
      <w:pPr>
        <w:pStyle w:val="30"/>
        <w:wordWrap w:val="0"/>
        <w:topLinePunct w:val="0"/>
        <w:spacing w:before="312" w:after="312"/>
        <w:rPr>
          <w:color w:val="000000" w:themeColor="text1"/>
        </w:rPr>
      </w:pPr>
      <w:bookmarkStart w:id="147" w:name="_Toc18096147"/>
      <w:bookmarkStart w:id="148" w:name="_Toc4457"/>
      <w:r>
        <w:rPr>
          <w:rFonts w:hint="eastAsia"/>
          <w:color w:val="000000" w:themeColor="text1"/>
        </w:rPr>
        <w:t>3.10.1—09</w:t>
      </w:r>
      <w:r>
        <w:rPr>
          <w:color w:val="000000" w:themeColor="text1"/>
        </w:rPr>
        <w:t>2</w:t>
      </w:r>
      <w:r>
        <w:rPr>
          <w:rFonts w:hint="eastAsia"/>
          <w:color w:val="000000" w:themeColor="text1"/>
        </w:rPr>
        <w:t>　</w:t>
      </w:r>
      <w:r>
        <w:rPr>
          <w:color w:val="000000" w:themeColor="text1"/>
        </w:rPr>
        <w:t>　</w:t>
      </w:r>
      <w:r>
        <w:rPr>
          <w:rFonts w:hint="eastAsia"/>
          <w:color w:val="000000" w:themeColor="text1"/>
        </w:rPr>
        <w:t>资源税申报</w:t>
      </w:r>
      <w:bookmarkEnd w:id="147"/>
      <w:bookmarkEnd w:id="148"/>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资源税申报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lang w:val="zh-CN"/>
        </w:rPr>
      </w:pPr>
      <w:r>
        <w:rPr>
          <w:rFonts w:ascii="宋体" w:hAnsi="宋体" w:cs="Times New Roman"/>
          <w:color w:val="000000" w:themeColor="text1"/>
          <w:lang w:val="zh-CN"/>
        </w:rPr>
        <w:t>在中华人民共和国领域及管辖海域开采应税矿产品或者生产盐的单位和个人，</w:t>
      </w:r>
      <w:r>
        <w:rPr>
          <w:rFonts w:hint="default" w:ascii="宋体" w:hAnsi="宋体" w:cs="Times New Roman"/>
          <w:color w:val="000000" w:themeColor="text1"/>
          <w:lang w:val="zh-CN"/>
        </w:rPr>
        <w:t>应当依照规定向开采地或者生产地主管税务机关</w:t>
      </w:r>
      <w:r>
        <w:rPr>
          <w:rFonts w:ascii="宋体" w:hAnsi="宋体" w:cs="Times New Roman"/>
          <w:color w:val="000000" w:themeColor="text1"/>
          <w:lang w:val="zh-CN"/>
        </w:rPr>
        <w:t>办理纳税申报。</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lang w:val="zh-CN"/>
        </w:rPr>
        <w:t>在水资源税试点地区</w:t>
      </w:r>
      <w:r>
        <w:rPr>
          <w:rFonts w:hint="default" w:ascii="宋体" w:hAnsi="宋体" w:cs="Times New Roman"/>
          <w:color w:val="000000" w:themeColor="text1"/>
          <w:lang w:val="zh-CN"/>
        </w:rPr>
        <w:t>利用取水工程或者设施直接从江河、湖泊（含水库）和地下取用地表水、地下水的单位和个人，应当依照规定缴纳水资源税</w:t>
      </w:r>
      <w:r>
        <w:rPr>
          <w:rFonts w:ascii="宋体" w:hAnsi="宋体" w:cs="Times New Roman"/>
          <w:color w:val="000000" w:themeColor="text1"/>
          <w:lang w:val="zh-CN"/>
        </w:rPr>
        <w:t>。</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《中华人民共和国资源税暂行条例》第一条、第二条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 xml:space="preserve">《财政部 国家税务总局 </w:t>
      </w:r>
      <w:r>
        <w:rPr>
          <w:rFonts w:hint="default" w:ascii="宋体" w:hAnsi="宋体" w:cs="Times New Roman"/>
          <w:color w:val="000000" w:themeColor="text1"/>
        </w:rPr>
        <w:t>水利部关于印发</w:t>
      </w:r>
      <w:r>
        <w:rPr>
          <w:rFonts w:ascii="宋体" w:hAnsi="宋体" w:cs="Times New Roman"/>
          <w:color w:val="000000" w:themeColor="text1"/>
        </w:rPr>
        <w:t>〈</w:t>
      </w:r>
      <w:r>
        <w:rPr>
          <w:rFonts w:hint="default" w:ascii="宋体" w:hAnsi="宋体" w:cs="Times New Roman"/>
          <w:color w:val="000000" w:themeColor="text1"/>
        </w:rPr>
        <w:t>水资源税改革试点暂行办法</w:t>
      </w:r>
      <w:r>
        <w:rPr>
          <w:rFonts w:ascii="宋体" w:hAnsi="宋体" w:cs="Times New Roman"/>
          <w:color w:val="000000" w:themeColor="text1"/>
        </w:rPr>
        <w:t>〉</w:t>
      </w:r>
      <w:r>
        <w:rPr>
          <w:rFonts w:hint="default" w:ascii="宋体" w:hAnsi="宋体" w:cs="Times New Roman"/>
          <w:color w:val="000000" w:themeColor="text1"/>
        </w:rPr>
        <w:t>的通知</w:t>
      </w:r>
      <w:r>
        <w:rPr>
          <w:rFonts w:ascii="宋体" w:hAnsi="宋体" w:cs="Times New Roman"/>
          <w:color w:val="000000" w:themeColor="text1"/>
        </w:rPr>
        <w:t>》（</w:t>
      </w:r>
      <w:r>
        <w:rPr>
          <w:rFonts w:hint="default" w:ascii="宋体" w:hAnsi="宋体" w:cs="Times New Roman"/>
          <w:color w:val="000000" w:themeColor="text1"/>
        </w:rPr>
        <w:t>财税〔</w:t>
      </w:r>
      <w:r>
        <w:rPr>
          <w:rFonts w:cs="Times New Roman"/>
          <w:color w:val="000000" w:themeColor="text1"/>
        </w:rPr>
        <w:t>2016</w:t>
      </w:r>
      <w:r>
        <w:rPr>
          <w:rFonts w:hint="default" w:ascii="宋体" w:hAnsi="宋体" w:cs="Times New Roman"/>
          <w:color w:val="000000" w:themeColor="text1"/>
        </w:rPr>
        <w:t>〕</w:t>
      </w:r>
      <w:r>
        <w:rPr>
          <w:rFonts w:cs="Times New Roman"/>
          <w:color w:val="000000" w:themeColor="text1"/>
        </w:rPr>
        <w:t>55</w:t>
      </w:r>
      <w:r>
        <w:rPr>
          <w:rFonts w:hint="default" w:ascii="宋体" w:hAnsi="宋体" w:cs="Times New Roman"/>
          <w:color w:val="000000" w:themeColor="text1"/>
        </w:rPr>
        <w:t>号</w:t>
      </w:r>
      <w:r>
        <w:rPr>
          <w:rFonts w:ascii="宋体" w:hAnsi="宋体" w:cs="Times New Roman"/>
          <w:color w:val="000000" w:themeColor="text1"/>
        </w:rPr>
        <w:t>）第三条、第十六条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 xml:space="preserve">《财政部 国家税务总局 </w:t>
      </w:r>
      <w:r>
        <w:rPr>
          <w:rFonts w:hint="default" w:ascii="宋体" w:hAnsi="宋体" w:cs="Times New Roman"/>
          <w:color w:val="000000" w:themeColor="text1"/>
        </w:rPr>
        <w:t>水利部关于印发</w:t>
      </w:r>
      <w:r>
        <w:rPr>
          <w:rFonts w:ascii="宋体" w:hAnsi="宋体" w:cs="Times New Roman"/>
          <w:color w:val="000000" w:themeColor="text1"/>
        </w:rPr>
        <w:t>〈</w:t>
      </w:r>
      <w:r>
        <w:rPr>
          <w:rFonts w:hint="default" w:ascii="宋体" w:hAnsi="宋体" w:cs="Times New Roman"/>
          <w:color w:val="000000" w:themeColor="text1"/>
        </w:rPr>
        <w:t>扩大水资源税改革试点实施办法</w:t>
      </w:r>
      <w:r>
        <w:rPr>
          <w:rFonts w:ascii="宋体" w:hAnsi="宋体" w:cs="Times New Roman"/>
          <w:color w:val="000000" w:themeColor="text1"/>
        </w:rPr>
        <w:t>〉</w:t>
      </w:r>
      <w:r>
        <w:rPr>
          <w:rFonts w:hint="default" w:ascii="宋体" w:hAnsi="宋体" w:cs="Times New Roman"/>
          <w:color w:val="000000" w:themeColor="text1"/>
        </w:rPr>
        <w:t>的通知</w:t>
      </w:r>
      <w:r>
        <w:rPr>
          <w:rFonts w:ascii="宋体" w:hAnsi="宋体" w:cs="Times New Roman"/>
          <w:color w:val="000000" w:themeColor="text1"/>
        </w:rPr>
        <w:t>》（</w:t>
      </w:r>
      <w:r>
        <w:rPr>
          <w:rFonts w:hint="default" w:ascii="宋体" w:hAnsi="宋体" w:cs="Times New Roman"/>
          <w:color w:val="000000" w:themeColor="text1"/>
        </w:rPr>
        <w:t>财税〔</w:t>
      </w:r>
      <w:r>
        <w:rPr>
          <w:rFonts w:cs="Times New Roman"/>
          <w:color w:val="000000" w:themeColor="text1"/>
        </w:rPr>
        <w:t>2017</w:t>
      </w:r>
      <w:r>
        <w:rPr>
          <w:rFonts w:hint="default" w:ascii="宋体" w:hAnsi="宋体" w:cs="Times New Roman"/>
          <w:color w:val="000000" w:themeColor="text1"/>
        </w:rPr>
        <w:t>〕</w:t>
      </w:r>
      <w:r>
        <w:rPr>
          <w:rFonts w:cs="Times New Roman"/>
          <w:color w:val="000000" w:themeColor="text1"/>
        </w:rPr>
        <w:t>80</w:t>
      </w:r>
      <w:r>
        <w:rPr>
          <w:rFonts w:hint="default" w:ascii="宋体" w:hAnsi="宋体" w:cs="Times New Roman"/>
          <w:color w:val="000000" w:themeColor="text1"/>
        </w:rPr>
        <w:t>号</w:t>
      </w:r>
      <w:r>
        <w:rPr>
          <w:rFonts w:ascii="宋体" w:hAnsi="宋体" w:cs="Times New Roman"/>
          <w:color w:val="000000" w:themeColor="text1"/>
        </w:rPr>
        <w:t>）第三条、第十八条</w:t>
      </w:r>
    </w:p>
    <w:p>
      <w:pPr>
        <w:pStyle w:val="31"/>
        <w:wordWrap w:val="0"/>
        <w:adjustRightInd/>
        <w:snapToGrid/>
        <w:rPr>
          <w:color w:val="000000" w:themeColor="text1"/>
        </w:rPr>
      </w:pPr>
      <w:r>
        <w:rPr>
          <w:rFonts w:hint="eastAsia"/>
          <w:color w:val="000000" w:themeColor="text1"/>
        </w:rPr>
        <w:t>【办理材料】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开采以原矿、精矿为征税对象的应税产品的纳税人：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《资源税纳税申报表》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经营中外合作油气田和中国海洋石油总公司海上自营油气田的纳税人：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《中外合作及海上自营油气田资源税纳税申报表》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52"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1.</w:t>
      </w:r>
      <w:r>
        <w:rPr>
          <w:rFonts w:hint="default" w:ascii="宋体" w:hAnsi="宋体" w:cs="Times New Roman"/>
          <w:color w:val="000000" w:themeColor="text1"/>
          <w:lang w:val="zh-CN"/>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6.资源税</w:t>
      </w:r>
      <w:r>
        <w:rPr>
          <w:rFonts w:ascii="宋体" w:hAnsi="宋体" w:cs="Times New Roman"/>
          <w:color w:val="000000" w:themeColor="text1"/>
        </w:rPr>
        <w:t>纳税人具体纳税期限由主管税务机关根据纳税人应纳税额的大小，按</w:t>
      </w:r>
      <w:r>
        <w:rPr>
          <w:rFonts w:cs="Times New Roman"/>
          <w:color w:val="000000" w:themeColor="text1"/>
        </w:rPr>
        <w:t>1</w:t>
      </w:r>
      <w:r>
        <w:rPr>
          <w:rFonts w:ascii="宋体" w:hAnsi="宋体" w:cs="Times New Roman"/>
          <w:color w:val="000000" w:themeColor="text1"/>
        </w:rPr>
        <w:t>日、</w:t>
      </w:r>
      <w:r>
        <w:rPr>
          <w:rFonts w:cs="Times New Roman"/>
          <w:color w:val="000000" w:themeColor="text1"/>
        </w:rPr>
        <w:t>3</w:t>
      </w:r>
      <w:r>
        <w:rPr>
          <w:rFonts w:ascii="宋体" w:hAnsi="宋体" w:cs="Times New Roman"/>
          <w:color w:val="000000" w:themeColor="text1"/>
        </w:rPr>
        <w:t>日、</w:t>
      </w:r>
      <w:r>
        <w:rPr>
          <w:rFonts w:cs="Times New Roman"/>
          <w:color w:val="000000" w:themeColor="text1"/>
        </w:rPr>
        <w:t>5</w:t>
      </w:r>
      <w:r>
        <w:rPr>
          <w:rFonts w:ascii="宋体" w:hAnsi="宋体" w:cs="Times New Roman"/>
          <w:color w:val="000000" w:themeColor="text1"/>
        </w:rPr>
        <w:t>日、</w:t>
      </w:r>
      <w:r>
        <w:rPr>
          <w:rFonts w:cs="Times New Roman"/>
          <w:color w:val="000000" w:themeColor="text1"/>
        </w:rPr>
        <w:t>10</w:t>
      </w:r>
      <w:r>
        <w:rPr>
          <w:rFonts w:ascii="宋体" w:hAnsi="宋体" w:cs="Times New Roman"/>
          <w:color w:val="000000" w:themeColor="text1"/>
        </w:rPr>
        <w:t>日、</w:t>
      </w:r>
      <w:r>
        <w:rPr>
          <w:rFonts w:cs="Times New Roman"/>
          <w:color w:val="000000" w:themeColor="text1"/>
        </w:rPr>
        <w:t>15</w:t>
      </w:r>
      <w:r>
        <w:rPr>
          <w:rFonts w:ascii="宋体" w:hAnsi="宋体" w:cs="Times New Roman"/>
          <w:color w:val="000000" w:themeColor="text1"/>
        </w:rPr>
        <w:t>日或者</w:t>
      </w:r>
      <w:r>
        <w:rPr>
          <w:rFonts w:cs="Times New Roman"/>
          <w:color w:val="000000" w:themeColor="text1"/>
        </w:rPr>
        <w:t>1</w:t>
      </w:r>
      <w:r>
        <w:rPr>
          <w:rFonts w:ascii="宋体" w:hAnsi="宋体" w:cs="Times New Roman"/>
          <w:color w:val="000000" w:themeColor="text1"/>
        </w:rPr>
        <w:t>个月确定。不能按固定期限计算纳税的，可以按次计算纳税。</w:t>
      </w:r>
      <w:r>
        <w:rPr>
          <w:rFonts w:hint="default" w:ascii="宋体" w:hAnsi="宋体" w:cs="Times New Roman"/>
          <w:color w:val="000000" w:themeColor="text1"/>
        </w:rPr>
        <w:t>水资源税按季或者按月征收，由主管税务机关根据实际情况确定。不能按固定期限计算纳税的，可以按次申报纳税。</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7.</w:t>
      </w:r>
      <w:r>
        <w:rPr>
          <w:rFonts w:hint="default" w:ascii="宋体" w:hAnsi="宋体" w:cs="Times New Roman"/>
          <w:color w:val="000000" w:themeColor="text1"/>
          <w:lang w:val="zh-CN"/>
        </w:rPr>
        <w:t>纳税人在纳税期内没有应纳税款的，也应当按照规定办理申报纳税。</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8.</w:t>
      </w:r>
      <w:r>
        <w:rPr>
          <w:rFonts w:ascii="宋体" w:hAnsi="宋体" w:cs="Times New Roman"/>
          <w:color w:val="000000" w:themeColor="text1"/>
        </w:rPr>
        <w:t>符合税收优惠条件的纳税人，在减税、免税期间，应按规定办理纳税申报，填写申报表及其附表上的优惠栏目。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w:t>
      </w:r>
      <w:r>
        <w:rPr>
          <w:rFonts w:ascii="宋体" w:hAnsi="宋体" w:cs="Times New Roman"/>
          <w:color w:val="000000" w:themeColor="text1"/>
        </w:rPr>
        <w:t>受理</w:t>
      </w:r>
      <w:r>
        <w:rPr>
          <w:rFonts w:hint="default" w:ascii="宋体" w:hAnsi="宋体" w:cs="Times New Roman"/>
          <w:color w:val="000000" w:themeColor="text1"/>
        </w:rPr>
        <w:t>；对资料不齐全、不符合法定形式或填写内容不完整的，一次性告知应补正资料或不予受理原因。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文书表单</w:t>
      </w:r>
      <w:r>
        <w:rPr>
          <w:rFonts w:hint="default" w:ascii="宋体" w:hAnsi="宋体" w:cs="Times New Roman"/>
          <w:color w:val="000000" w:themeColor="text1"/>
        </w:rPr>
        <w:t>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进入金三操作系统，通过申报征收岗权限，按照【申报征收】—【申报】—【财产行为税申报】—【资源税申报（2016）】的路径进入功能模块。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855" w:type="dxa"/>
            <w:vAlign w:val="center"/>
          </w:tcPr>
          <w:p>
            <w:pPr>
              <w:pStyle w:val="50"/>
              <w:adjustRightInd/>
              <w:snapToGrid/>
              <w:spacing w:line="276" w:lineRule="auto"/>
              <w:rPr>
                <w:color w:val="000000"/>
              </w:rPr>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rPr>
                <w:color w:val="00B0F0"/>
                <w:kern w:val="0"/>
              </w:rPr>
            </w:pPr>
            <w:r>
              <w:rPr>
                <w:rFonts w:hint="eastAsia"/>
              </w:rPr>
              <w:t>《中华人民共和国资源税暂行条例》</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pPr>
            <w:r>
              <w:rPr>
                <w:rFonts w:hint="eastAsia"/>
              </w:rPr>
              <w:t>《中华人民共和国资源税暂行条例实施细则》（财政部令66号）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855" w:type="dxa"/>
            <w:vAlign w:val="center"/>
          </w:tcPr>
          <w:p>
            <w:pPr>
              <w:pStyle w:val="50"/>
              <w:adjustRightInd/>
              <w:snapToGrid/>
              <w:spacing w:line="276" w:lineRule="auto"/>
            </w:pPr>
            <w:r>
              <w:t>《税收票证管理办法》（国家税务总局令第28号）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55" w:type="dxa"/>
            <w:vAlign w:val="center"/>
          </w:tcPr>
          <w:p>
            <w:pPr>
              <w:pStyle w:val="50"/>
              <w:adjustRightInd/>
              <w:snapToGrid/>
              <w:spacing w:line="276" w:lineRule="auto"/>
            </w:pPr>
            <w:r>
              <w:t>《财政部 国家税务总局 水利部关于印发〈水资源税改革试点暂行办法〉的通知》（财税〔2016〕55号）第三条、第十六条</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855" w:type="dxa"/>
            <w:vAlign w:val="center"/>
          </w:tcPr>
          <w:p>
            <w:pPr>
              <w:pStyle w:val="50"/>
              <w:adjustRightInd/>
              <w:snapToGrid/>
              <w:spacing w:line="276" w:lineRule="auto"/>
              <w:rPr>
                <w:color w:val="00B0F0"/>
                <w:kern w:val="0"/>
              </w:rPr>
            </w:pPr>
            <w:r>
              <w:rPr>
                <w:rFonts w:hint="eastAsia"/>
              </w:rPr>
              <w:t>《财政部 税务总局水利部关于印发〈扩大水资源税改革试点实施办法〉的通知》（财税〔2017〕80号）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855" w:type="dxa"/>
            <w:vAlign w:val="center"/>
          </w:tcPr>
          <w:p>
            <w:pPr>
              <w:pStyle w:val="50"/>
              <w:adjustRightInd/>
              <w:snapToGrid/>
              <w:spacing w:line="276" w:lineRule="auto"/>
              <w:rPr>
                <w:color w:val="000000"/>
                <w:kern w:val="0"/>
              </w:rPr>
            </w:pPr>
            <w:r>
              <w:rPr>
                <w:rFonts w:hint="eastAsia"/>
              </w:rPr>
              <w:t>《国家税务总局关于发布〈中外合作及海上自营油气田资源税纳税申报表〉的公告》（国家税务总局公告2012年第3号）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855" w:type="dxa"/>
            <w:vAlign w:val="center"/>
          </w:tcPr>
          <w:p>
            <w:pPr>
              <w:pStyle w:val="50"/>
              <w:adjustRightInd/>
              <w:snapToGrid/>
              <w:spacing w:line="276" w:lineRule="auto"/>
            </w:pPr>
            <w:r>
              <w:rPr>
                <w:rFonts w:hint="eastAsia"/>
              </w:rPr>
              <w:t>《国家税务总局关于合理简并纳税人申报缴税次数的公告》（国家税务总局公告2016年第6号）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855" w:type="dxa"/>
            <w:vAlign w:val="center"/>
          </w:tcPr>
          <w:p>
            <w:pPr>
              <w:pStyle w:val="50"/>
              <w:adjustRightInd/>
              <w:snapToGrid/>
              <w:spacing w:line="276" w:lineRule="auto"/>
              <w:rPr>
                <w:color w:val="000000"/>
                <w:kern w:val="0"/>
              </w:rPr>
            </w:pPr>
            <w:r>
              <w:rPr>
                <w:rFonts w:hint="eastAsia"/>
              </w:rPr>
              <w:t>《国家税务总局关于发布修订后的〈资源税纳税申报表〉的公告》（国家税务总局公告2016年第38号）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855"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855" w:type="dxa"/>
            <w:vAlign w:val="center"/>
          </w:tcPr>
          <w:p>
            <w:pPr>
              <w:pStyle w:val="50"/>
              <w:adjustRightInd/>
              <w:snapToGrid/>
              <w:spacing w:line="276" w:lineRule="auto"/>
            </w:pPr>
            <w:r>
              <w:rPr>
                <w:rFonts w:hint="eastAsia"/>
              </w:rPr>
              <w:t>《国家税务总局关于发布〈资源税征收管理规程〉的公告》（国家税务总局公告</w:t>
            </w:r>
            <w:r>
              <w:t>2018</w:t>
            </w:r>
            <w:r>
              <w:rPr>
                <w:rFonts w:hint="eastAsia"/>
              </w:rPr>
              <w:t>年第</w:t>
            </w:r>
            <w:r>
              <w:t>13</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855" w:type="dxa"/>
            <w:vAlign w:val="center"/>
          </w:tcPr>
          <w:p>
            <w:pPr>
              <w:pStyle w:val="50"/>
              <w:adjustRightInd/>
              <w:snapToGrid/>
              <w:spacing w:line="276" w:lineRule="auto"/>
              <w:rPr>
                <w:color w:val="00B0F0"/>
              </w:rPr>
            </w:pPr>
            <w:r>
              <w:rPr>
                <w:rFonts w:hint="eastAsia"/>
              </w:rPr>
              <w:t>《国家税务总局关于增值税小规模纳税人地方税种和相关附加减征政策有关征管问题的公告》（国家税务总局公告2019年第5号）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855" w:type="dxa"/>
            <w:vAlign w:val="center"/>
          </w:tcPr>
          <w:p>
            <w:pPr>
              <w:pStyle w:val="50"/>
              <w:adjustRightInd/>
              <w:snapToGrid/>
              <w:spacing w:line="276" w:lineRule="auto"/>
              <w:rPr>
                <w:color w:val="00B0F0"/>
              </w:rPr>
            </w:pPr>
            <w:r>
              <w:rPr>
                <w:rFonts w:hint="eastAsia"/>
              </w:rPr>
              <w:t>《国家税务总局关于创新税收服务和管理的意见》（税总发〔2014〕85号）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855" w:type="dxa"/>
            <w:vAlign w:val="center"/>
          </w:tcPr>
          <w:p>
            <w:pPr>
              <w:pStyle w:val="50"/>
              <w:adjustRightInd/>
              <w:snapToGrid/>
              <w:spacing w:line="276" w:lineRule="auto"/>
              <w:rPr>
                <w:color w:val="000000"/>
              </w:rPr>
            </w:pPr>
            <w:r>
              <w:rPr>
                <w:rFonts w:hint="eastAsia"/>
              </w:rPr>
              <w:t>《国家税务总局关于加快推行办税事项同城通办的通知》（税总发〔2016〕46号）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15</w:t>
            </w:r>
          </w:p>
        </w:tc>
        <w:tc>
          <w:tcPr>
            <w:tcW w:w="5855"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16</w:t>
            </w:r>
          </w:p>
        </w:tc>
        <w:tc>
          <w:tcPr>
            <w:tcW w:w="5855" w:type="dxa"/>
            <w:vAlign w:val="center"/>
          </w:tcPr>
          <w:p>
            <w:pPr>
              <w:pStyle w:val="50"/>
              <w:adjustRightInd/>
              <w:snapToGrid/>
              <w:spacing w:line="276" w:lineRule="auto"/>
              <w:rPr>
                <w:color w:val="00000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7</w:t>
            </w:r>
          </w:p>
        </w:tc>
        <w:tc>
          <w:tcPr>
            <w:tcW w:w="5855"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95" w:type="dxa"/>
            <w:vAlign w:val="center"/>
          </w:tcPr>
          <w:p>
            <w:pPr>
              <w:pStyle w:val="50"/>
              <w:adjustRightInd/>
              <w:snapToGrid/>
              <w:spacing w:line="276" w:lineRule="auto"/>
              <w:rPr>
                <w:color w:val="000000"/>
              </w:rPr>
            </w:pPr>
            <w:r>
              <w:rPr>
                <w:rFonts w:hint="eastAsia"/>
              </w:rPr>
              <w:t>依申请公开</w:t>
            </w:r>
          </w:p>
        </w:tc>
      </w:tr>
    </w:tbl>
    <w:p>
      <w:pPr>
        <w:pStyle w:val="29"/>
        <w:wordWrap w:val="0"/>
        <w:spacing w:before="936" w:after="468"/>
        <w:rPr>
          <w:color w:val="000000" w:themeColor="text1"/>
        </w:rPr>
      </w:pPr>
      <w:bookmarkStart w:id="149" w:name="_Toc32211"/>
      <w:bookmarkStart w:id="150" w:name="_Toc18096148"/>
      <w:bookmarkStart w:id="151" w:name="_Toc17813"/>
      <w:bookmarkStart w:id="152" w:name="_Toc23360"/>
      <w:bookmarkStart w:id="153" w:name="_Toc459388252"/>
      <w:bookmarkStart w:id="154" w:name="_Toc459987233"/>
      <w:bookmarkStart w:id="155" w:name="_Toc442092940"/>
      <w:bookmarkStart w:id="156" w:name="_Toc459387072"/>
      <w:bookmarkStart w:id="157" w:name="_Toc8028"/>
      <w:bookmarkStart w:id="158" w:name="_Toc442094838"/>
      <w:bookmarkStart w:id="159" w:name="_Toc16249"/>
      <w:r>
        <w:rPr>
          <w:rFonts w:hint="eastAsia"/>
          <w:color w:val="000000" w:themeColor="text1"/>
        </w:rPr>
        <w:t>3.11　　契税申报</w:t>
      </w:r>
      <w:bookmarkEnd w:id="149"/>
      <w:bookmarkEnd w:id="150"/>
    </w:p>
    <w:p>
      <w:pPr>
        <w:pStyle w:val="35"/>
        <w:keepNext w:val="0"/>
        <w:wordWrap w:val="0"/>
        <w:topLinePunct w:val="0"/>
        <w:adjustRightInd/>
        <w:snapToGrid/>
        <w:spacing w:before="468" w:after="468"/>
        <w:rPr>
          <w:color w:val="000000" w:themeColor="text1"/>
        </w:rPr>
      </w:pPr>
      <w:bookmarkStart w:id="160" w:name="_Toc29542"/>
      <w:bookmarkStart w:id="161" w:name="_Toc18096149"/>
      <w:r>
        <w:rPr>
          <w:rFonts w:hint="eastAsia"/>
          <w:color w:val="000000" w:themeColor="text1"/>
        </w:rPr>
        <w:t>3.11.1—09</w:t>
      </w:r>
      <w:r>
        <w:rPr>
          <w:color w:val="000000" w:themeColor="text1"/>
        </w:rPr>
        <w:t>3</w:t>
      </w:r>
      <w:r>
        <w:rPr>
          <w:rFonts w:hint="eastAsia"/>
          <w:color w:val="000000" w:themeColor="text1"/>
        </w:rPr>
        <w:t>　</w:t>
      </w:r>
      <w:r>
        <w:rPr>
          <w:color w:val="000000" w:themeColor="text1"/>
        </w:rPr>
        <w:t>　</w:t>
      </w:r>
      <w:r>
        <w:rPr>
          <w:rFonts w:hint="eastAsia"/>
          <w:color w:val="000000" w:themeColor="text1"/>
        </w:rPr>
        <w:t>契税申报</w:t>
      </w:r>
      <w:bookmarkEnd w:id="151"/>
      <w:bookmarkEnd w:id="152"/>
      <w:bookmarkEnd w:id="153"/>
      <w:bookmarkEnd w:id="154"/>
      <w:bookmarkEnd w:id="155"/>
      <w:bookmarkEnd w:id="156"/>
      <w:bookmarkEnd w:id="157"/>
      <w:bookmarkEnd w:id="158"/>
      <w:bookmarkEnd w:id="159"/>
      <w:bookmarkEnd w:id="160"/>
      <w:bookmarkEnd w:id="161"/>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契税申报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在中华人民共和国境内转移土地、房屋权属，承受的单位和个人填报《契税纳税申报表》及相关资料，应向土地、房屋所在地税务机关办理契税申报</w:t>
      </w:r>
      <w:r>
        <w:rPr>
          <w:rFonts w:ascii="宋体" w:hAnsi="宋体" w:cs="Times New Roman"/>
          <w:color w:val="000000" w:themeColor="text1"/>
          <w:kern w:val="24"/>
        </w:rPr>
        <w:t>。</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《中华人民共和国契税暂行条例》第一条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2"/>
        <w:gridCol w:w="2663"/>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《契税纳税申报表》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szCs w:val="21"/>
              </w:rPr>
            </w:pPr>
            <w:r>
              <w:rPr>
                <w:rFonts w:hint="eastAsia"/>
                <w:color w:val="000000" w:themeColor="text1"/>
              </w:rPr>
              <w:t>不动产权属转移合同原件及复印件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原件查验后退回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发票原件及复印件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原件查验后退回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552"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66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552"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享受契税优惠</w:t>
            </w:r>
          </w:p>
        </w:tc>
        <w:tc>
          <w:tcPr>
            <w:tcW w:w="266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减免契税证明材料原件及复印件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原件查验后退回</w:t>
            </w: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53"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1.</w:t>
      </w:r>
      <w:r>
        <w:rPr>
          <w:rFonts w:hint="default" w:ascii="宋体" w:hAnsi="宋体" w:cs="Times New Roman"/>
          <w:color w:val="000000" w:themeColor="text1"/>
          <w:lang w:val="zh-CN"/>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纳税人应当自纳税义务发生之日起</w:t>
      </w:r>
      <w:r>
        <w:rPr>
          <w:rFonts w:cs="Times New Roman"/>
          <w:color w:val="000000" w:themeColor="text1"/>
        </w:rPr>
        <w:t>10</w:t>
      </w:r>
      <w:r>
        <w:rPr>
          <w:rFonts w:ascii="宋体" w:hAnsi="宋体" w:cs="Times New Roman"/>
          <w:color w:val="000000" w:themeColor="text1"/>
        </w:rPr>
        <w:t>日内，向土地、房屋所在地的契税征收机关办理纳税申报，</w:t>
      </w:r>
      <w:r>
        <w:rPr>
          <w:rFonts w:hint="default" w:ascii="宋体" w:hAnsi="宋体" w:cs="Times New Roman"/>
          <w:color w:val="000000" w:themeColor="text1"/>
        </w:rPr>
        <w:t>并在契税征收机关核定的期限内缴纳税款。</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8</w:t>
      </w:r>
      <w:r>
        <w:rPr>
          <w:rFonts w:cs="Times New Roman"/>
          <w:color w:val="000000" w:themeColor="text1"/>
          <w:lang w:val="zh-CN"/>
        </w:rPr>
        <w:t>.</w:t>
      </w:r>
      <w:r>
        <w:rPr>
          <w:rFonts w:ascii="宋体" w:hAnsi="宋体" w:cs="Times New Roman"/>
          <w:color w:val="000000" w:themeColor="text1"/>
          <w:lang w:val="zh-CN"/>
        </w:rPr>
        <w:t>购买新建商品房的纳税人，因销售新建商品房的房地产开发企业已办理注销税务登记或者被税务机关列为非正常户等原因不能取得销售不动产发票的，可在税务机关核实有关情况后办理契税纳税申报。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根据人民法院、仲裁委员会的生效法律文书发生土地、房屋权属转移</w:t>
      </w:r>
      <w:r>
        <w:rPr>
          <w:rFonts w:ascii="宋体" w:hAnsi="宋体" w:cs="Times New Roman"/>
          <w:color w:val="000000" w:themeColor="text1"/>
        </w:rPr>
        <w:t>，</w:t>
      </w:r>
      <w:r>
        <w:rPr>
          <w:rFonts w:hint="default" w:ascii="宋体" w:hAnsi="宋体" w:cs="Times New Roman"/>
          <w:color w:val="000000" w:themeColor="text1"/>
        </w:rPr>
        <w:t>纳税人不能取得销售不动产发票的</w:t>
      </w:r>
      <w:r>
        <w:rPr>
          <w:rFonts w:ascii="宋体" w:hAnsi="宋体" w:cs="Times New Roman"/>
          <w:color w:val="000000" w:themeColor="text1"/>
        </w:rPr>
        <w:t>，</w:t>
      </w:r>
      <w:r>
        <w:rPr>
          <w:rFonts w:hint="default" w:ascii="宋体" w:hAnsi="宋体" w:cs="Times New Roman"/>
          <w:color w:val="000000" w:themeColor="text1"/>
        </w:rPr>
        <w:t>持人民法院执行裁定书原件及相关材料办理</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w:t>
      </w:r>
      <w:r>
        <w:rPr>
          <w:rFonts w:ascii="宋体" w:hAnsi="宋体" w:cs="Times New Roman"/>
          <w:color w:val="000000" w:themeColor="text1"/>
        </w:rPr>
        <w:t>受理</w:t>
      </w:r>
      <w:r>
        <w:rPr>
          <w:rFonts w:hint="default" w:ascii="宋体" w:hAnsi="宋体" w:cs="Times New Roman"/>
          <w:color w:val="000000" w:themeColor="text1"/>
        </w:rPr>
        <w:t>；对资料不齐全、不符合法定形式或填写内容不完整的，一次性告知应补正资料或不予受理原因。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文书表单</w:t>
      </w:r>
      <w:r>
        <w:rPr>
          <w:rFonts w:hint="default" w:ascii="宋体" w:hAnsi="宋体" w:cs="Times New Roman"/>
          <w:color w:val="000000" w:themeColor="text1"/>
        </w:rPr>
        <w:t>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推进税（费）种要素申报，逐步扩大申报表免填数据项范围，实现部分申报表由系统自动生成，推送给纳税人由其确认后报送。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进入金三操作系统，通过申报征收岗权限，按照【申报征收】—【申报】—【契税申报】路径进入功能模块。</w:t>
      </w:r>
    </w:p>
    <w:p>
      <w:pPr>
        <w:wordWrap w:val="0"/>
        <w:spacing w:line="360" w:lineRule="auto"/>
        <w:ind w:firstLine="480"/>
        <w:rPr>
          <w:rFonts w:hint="default" w:cs="Times New Roman"/>
          <w:color w:val="000000" w:themeColor="text1"/>
        </w:rPr>
      </w:pPr>
      <w:r>
        <w:rPr>
          <w:rFonts w:cs="Times New Roman"/>
          <w:color w:val="000000" w:themeColor="text1"/>
        </w:rPr>
        <w:t>2.提示事项</w:t>
      </w:r>
    </w:p>
    <w:p>
      <w:pPr>
        <w:wordWrap w:val="0"/>
        <w:spacing w:line="360" w:lineRule="auto"/>
        <w:ind w:firstLine="480"/>
        <w:rPr>
          <w:rFonts w:hint="default" w:cs="Times New Roman"/>
          <w:color w:val="000000" w:themeColor="text1"/>
        </w:rPr>
      </w:pPr>
      <w:r>
        <w:rPr>
          <w:rFonts w:cs="Times New Roman"/>
          <w:color w:val="000000" w:themeColor="text1"/>
        </w:rPr>
        <w:t>（1）购买增量房进行契税申报的前置条件是先进行【增量房销售信息采集】。</w:t>
      </w:r>
    </w:p>
    <w:p>
      <w:pPr>
        <w:wordWrap w:val="0"/>
        <w:spacing w:line="360" w:lineRule="auto"/>
        <w:ind w:firstLine="480"/>
        <w:rPr>
          <w:rFonts w:hint="default" w:cs="Times New Roman"/>
          <w:color w:val="000000" w:themeColor="text1"/>
        </w:rPr>
      </w:pPr>
      <w:r>
        <w:rPr>
          <w:rFonts w:cs="Times New Roman"/>
          <w:color w:val="000000" w:themeColor="text1"/>
        </w:rPr>
        <w:t>（2）购买存量房进行契税申报的前置条件是先进行【存量房销售信息采集】。</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rPr>
                <w:color w:val="000000"/>
              </w:rPr>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《中华人民共和国契税暂行条例》</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《中华人民共和国契税暂行条例细则》（财法字〔</w:t>
            </w:r>
            <w:r>
              <w:t>1997</w:t>
            </w:r>
            <w:r>
              <w:rPr>
                <w:rFonts w:hint="eastAsia"/>
              </w:rPr>
              <w:t>〕</w:t>
            </w:r>
            <w:r>
              <w:t>52</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t>《税收票证管理办法》（国家税务总局令第28号）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《国家税务总局关于实施〈税收票证管理办法〉若干问题的公告》（国家税务总局公告2013年第34号）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《国家税务总局关于契税纳税申报有关问题的公告》（国家税务总局公告</w:t>
            </w:r>
            <w:r>
              <w:t>2015</w:t>
            </w:r>
            <w:r>
              <w:rPr>
                <w:rFonts w:hint="eastAsia"/>
              </w:rPr>
              <w:t>年第</w:t>
            </w:r>
            <w:r>
              <w:t>67</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w:t>
            </w:r>
            <w:r>
              <w:t>国家税务总局关于优化房地产交易办税方式的公告</w:t>
            </w:r>
            <w:r>
              <w:rPr>
                <w:rFonts w:hint="eastAsia"/>
              </w:rPr>
              <w:t>》（</w:t>
            </w:r>
            <w:r>
              <w:t>国家税务总局公告2019年第19号</w:t>
            </w:r>
            <w:r>
              <w:rPr>
                <w:rFonts w:hint="eastAsia"/>
              </w:rPr>
              <w:t>）</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pPr>
            <w:r>
              <w:rPr>
                <w:rFonts w:hint="eastAsia"/>
              </w:rPr>
              <w:t>《国家税务总局关于实施房地产税收一体化管理若干具体问题的通知》（国税发〔</w:t>
            </w:r>
            <w:r>
              <w:t>20</w:t>
            </w:r>
            <w:r>
              <w:rPr>
                <w:rFonts w:hint="eastAsia"/>
              </w:rPr>
              <w:t>0</w:t>
            </w:r>
            <w:r>
              <w:t>5</w:t>
            </w:r>
            <w:r>
              <w:rPr>
                <w:rFonts w:hint="eastAsia"/>
              </w:rPr>
              <w:t>〕156号）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713" w:type="dxa"/>
            <w:vAlign w:val="center"/>
          </w:tcPr>
          <w:p>
            <w:pPr>
              <w:pStyle w:val="50"/>
              <w:adjustRightInd/>
              <w:snapToGrid/>
              <w:spacing w:line="276" w:lineRule="auto"/>
            </w:pPr>
            <w:r>
              <w:rPr>
                <w:rFonts w:hint="eastAsia"/>
              </w:rPr>
              <w:t>《国家税务总局关于创新税收服务和管理的意见》（税总发〔2014〕85号）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713" w:type="dxa"/>
            <w:vAlign w:val="center"/>
          </w:tcPr>
          <w:p>
            <w:pPr>
              <w:pStyle w:val="50"/>
              <w:adjustRightInd/>
              <w:snapToGrid/>
              <w:spacing w:line="276" w:lineRule="auto"/>
            </w:pPr>
            <w:r>
              <w:rPr>
                <w:rFonts w:hint="eastAsia"/>
              </w:rPr>
              <w:t>《国家税务总局关于修订财产行为税部分税种申报表的通知》（税总发〔</w:t>
            </w:r>
            <w:r>
              <w:t>2015</w:t>
            </w:r>
            <w:r>
              <w:rPr>
                <w:rFonts w:hint="eastAsia"/>
              </w:rPr>
              <w:t>〕</w:t>
            </w:r>
            <w:r>
              <w:t>114</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713" w:type="dxa"/>
            <w:vAlign w:val="center"/>
          </w:tcPr>
          <w:p>
            <w:pPr>
              <w:pStyle w:val="50"/>
              <w:adjustRightInd/>
              <w:snapToGrid/>
              <w:spacing w:line="276" w:lineRule="auto"/>
              <w:rPr>
                <w:color w:val="00B0F0"/>
              </w:rPr>
            </w:pPr>
            <w:r>
              <w:rPr>
                <w:rFonts w:hint="eastAsia"/>
              </w:rPr>
              <w:t>《国家税务总局关于加快推行办税事项同城通办的通知》（税总发〔2016〕46号）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713"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713" w:type="dxa"/>
            <w:vAlign w:val="center"/>
          </w:tcPr>
          <w:p>
            <w:pPr>
              <w:pStyle w:val="50"/>
              <w:adjustRightInd/>
              <w:snapToGrid/>
              <w:spacing w:line="276" w:lineRule="auto"/>
              <w:rPr>
                <w:color w:val="00000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15</w:t>
            </w:r>
          </w:p>
        </w:tc>
        <w:tc>
          <w:tcPr>
            <w:tcW w:w="5713"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r>
              <w:t>6</w:t>
            </w:r>
          </w:p>
        </w:tc>
        <w:tc>
          <w:tcPr>
            <w:tcW w:w="5713" w:type="dxa"/>
            <w:vAlign w:val="center"/>
          </w:tcPr>
          <w:p>
            <w:pPr>
              <w:pStyle w:val="50"/>
              <w:adjustRightInd/>
              <w:snapToGrid/>
              <w:spacing w:line="276" w:lineRule="auto"/>
            </w:pPr>
            <w:r>
              <w:rPr>
                <w:rFonts w:hint="eastAsia"/>
              </w:rPr>
              <w:t>《国家税务总局关于取消一批涉税事项和报送资料的通知》（税总函〔2017〕403号）</w:t>
            </w:r>
          </w:p>
        </w:tc>
        <w:tc>
          <w:tcPr>
            <w:tcW w:w="1737"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62" w:name="_Toc15467"/>
      <w:bookmarkStart w:id="163" w:name="_Toc18096150"/>
      <w:bookmarkStart w:id="164" w:name="_Toc459987235"/>
      <w:bookmarkStart w:id="165" w:name="_Toc459387074"/>
      <w:bookmarkStart w:id="166" w:name="_Toc459388254"/>
      <w:r>
        <w:rPr>
          <w:rFonts w:hint="eastAsia"/>
          <w:color w:val="000000" w:themeColor="text1"/>
        </w:rPr>
        <w:t>3.12　　印花税申报</w:t>
      </w:r>
      <w:bookmarkEnd w:id="162"/>
      <w:bookmarkEnd w:id="163"/>
    </w:p>
    <w:p>
      <w:pPr>
        <w:pStyle w:val="30"/>
        <w:wordWrap w:val="0"/>
        <w:topLinePunct w:val="0"/>
        <w:spacing w:before="312" w:after="312"/>
        <w:rPr>
          <w:color w:val="000000" w:themeColor="text1"/>
        </w:rPr>
      </w:pPr>
      <w:bookmarkStart w:id="167" w:name="_Toc5522"/>
      <w:bookmarkStart w:id="168" w:name="_Toc18096151"/>
      <w:r>
        <w:rPr>
          <w:rFonts w:hint="eastAsia"/>
          <w:color w:val="000000" w:themeColor="text1"/>
        </w:rPr>
        <w:t>3.12.1—09</w:t>
      </w:r>
      <w:r>
        <w:rPr>
          <w:color w:val="000000" w:themeColor="text1"/>
        </w:rPr>
        <w:t>4</w:t>
      </w:r>
      <w:r>
        <w:rPr>
          <w:rFonts w:hint="eastAsia"/>
          <w:color w:val="000000" w:themeColor="text1"/>
        </w:rPr>
        <w:t>　</w:t>
      </w:r>
      <w:r>
        <w:rPr>
          <w:color w:val="000000" w:themeColor="text1"/>
        </w:rPr>
        <w:t>　</w:t>
      </w:r>
      <w:r>
        <w:rPr>
          <w:rFonts w:hint="eastAsia"/>
          <w:color w:val="000000" w:themeColor="text1"/>
        </w:rPr>
        <w:t>印花税申报</w:t>
      </w:r>
      <w:bookmarkEnd w:id="164"/>
      <w:bookmarkEnd w:id="165"/>
      <w:bookmarkEnd w:id="166"/>
      <w:bookmarkEnd w:id="167"/>
      <w:bookmarkEnd w:id="168"/>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印花税申报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在中华人民共和国境内书立、领受印花税应税凭证的单位和个人，填报《印花税纳税申报（报告）表》，按规定向主管税务机关办理印花税申报</w:t>
      </w:r>
      <w:r>
        <w:rPr>
          <w:rFonts w:ascii="宋体" w:hAnsi="宋体" w:cs="Times New Roman"/>
          <w:color w:val="000000" w:themeColor="text1"/>
          <w:kern w:val="24"/>
        </w:rPr>
        <w:t>。</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《中华人民共和国印花税暂行条例》第一条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《印花税纳税申报（报告）表》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w:t>
      </w:r>
      <w:r>
        <w:rPr>
          <w:rFonts w:hint="default" w:ascii="宋体" w:hAnsi="宋体" w:cs="Times New Roman"/>
          <w:color w:val="000000" w:themeColor="text1"/>
        </w:rPr>
        <w:t>国家税务总局湖南省税务局网站</w:t>
      </w:r>
      <w:r>
        <w:rPr>
          <w:rFonts w:ascii="宋体" w:hAnsi="宋体" w:cs="Times New Roman"/>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54"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lang w:val="zh-CN"/>
        </w:rPr>
      </w:pPr>
      <w:r>
        <w:rPr>
          <w:rFonts w:cs="Times New Roman"/>
          <w:color w:val="000000" w:themeColor="text1"/>
        </w:rPr>
        <w:t>1.</w:t>
      </w:r>
      <w:r>
        <w:rPr>
          <w:rFonts w:hint="default" w:ascii="宋体" w:hAnsi="宋体" w:cs="Times New Roman"/>
          <w:color w:val="000000" w:themeColor="text1"/>
          <w:lang w:val="zh-CN"/>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同一种类应纳税凭证，需频繁贴花的，纳税人可以根据实际情况自行决定是否采用按期汇总缴纳印花税的方式。汇总缴纳的期限为一个月。采用按期汇总缴纳方式的纳税人应事先告知主管税务机关。缴纳方式一经选定，一年内不得改变</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实行核定征收印花税的，纳税期限为一个月，税额较小的，纳税期限可为一个季度，具体由主管税务机关确定。纳税人应当自纳税期满之日起</w:t>
      </w:r>
      <w:r>
        <w:rPr>
          <w:rFonts w:cs="Times New Roman"/>
          <w:color w:val="000000" w:themeColor="text1"/>
        </w:rPr>
        <w:t>15</w:t>
      </w:r>
      <w:r>
        <w:rPr>
          <w:rFonts w:ascii="宋体" w:hAnsi="宋体" w:cs="Times New Roman"/>
          <w:color w:val="000000" w:themeColor="text1"/>
        </w:rPr>
        <w:t>日内申报缴纳印花税。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纳税人享受减税、免税待遇的，在减税、免税期间应当按照规定办理申报纳税。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w:t>
      </w:r>
      <w:r>
        <w:rPr>
          <w:rFonts w:ascii="宋体" w:hAnsi="宋体" w:cs="Times New Roman"/>
          <w:color w:val="000000" w:themeColor="text1"/>
        </w:rPr>
        <w:t>受理</w:t>
      </w:r>
      <w:r>
        <w:rPr>
          <w:rFonts w:hint="default" w:ascii="宋体" w:hAnsi="宋体" w:cs="Times New Roman"/>
          <w:color w:val="000000" w:themeColor="text1"/>
        </w:rPr>
        <w:t>；对资料不齐全、不符合法定形式或填写内容不完整的，一次性告知应补正资料或不予受理原因。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）应按规定开具税收票证。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文书表单</w:t>
      </w:r>
      <w:r>
        <w:rPr>
          <w:rFonts w:hint="default" w:ascii="宋体" w:hAnsi="宋体" w:cs="Times New Roman"/>
          <w:color w:val="000000" w:themeColor="text1"/>
        </w:rPr>
        <w:t>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进入金三操作系统，通过申报征收岗权限，按照【申报征收】—【申报】—【印花税申报】—【印花税申报】路径进入功能模块。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855" w:type="dxa"/>
            <w:vAlign w:val="center"/>
          </w:tcPr>
          <w:p>
            <w:pPr>
              <w:pStyle w:val="50"/>
              <w:adjustRightInd/>
              <w:snapToGrid/>
              <w:spacing w:line="276" w:lineRule="auto"/>
              <w:rPr>
                <w:color w:val="000000"/>
              </w:rPr>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pPr>
            <w:r>
              <w:rPr>
                <w:rFonts w:hint="eastAsia"/>
              </w:rPr>
              <w:t>《中华人民共和国印花税暂行条例》</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pPr>
            <w:r>
              <w:rPr>
                <w:rFonts w:hint="eastAsia"/>
              </w:rPr>
              <w:t>《国家税务总局关于实施〈税收票证管理办法〉若干问题的公告》（国家税务总局公告2013年第34号）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855" w:type="dxa"/>
            <w:vAlign w:val="center"/>
          </w:tcPr>
          <w:p>
            <w:pPr>
              <w:pStyle w:val="50"/>
              <w:adjustRightInd/>
              <w:snapToGrid/>
              <w:spacing w:line="276" w:lineRule="auto"/>
              <w:rPr>
                <w:kern w:val="0"/>
              </w:rPr>
            </w:pPr>
            <w:r>
              <w:rPr>
                <w:rFonts w:hint="eastAsia"/>
              </w:rPr>
              <w:t>《国家税务总局关于发布&lt;印花税管理规程（试行）&gt;的公告》（国家税务总局公告</w:t>
            </w:r>
            <w:r>
              <w:t>2016</w:t>
            </w:r>
            <w:r>
              <w:rPr>
                <w:rFonts w:hint="eastAsia"/>
              </w:rPr>
              <w:t>年第</w:t>
            </w:r>
            <w:r>
              <w:t>77</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55" w:type="dxa"/>
            <w:vAlign w:val="center"/>
          </w:tcPr>
          <w:p>
            <w:pPr>
              <w:pStyle w:val="50"/>
              <w:adjustRightInd/>
              <w:snapToGrid/>
              <w:spacing w:line="276" w:lineRule="auto"/>
              <w:rPr>
                <w:color w:val="00B0F0"/>
              </w:rPr>
            </w:pPr>
            <w:r>
              <w:rPr>
                <w:rFonts w:hint="eastAsia"/>
              </w:rPr>
              <w:t>《国家税务总局关于发布&lt;办税事项“最多跑一次”清单&gt;的公告》（国家税务总局公告2018年第12号）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855" w:type="dxa"/>
            <w:vAlign w:val="center"/>
          </w:tcPr>
          <w:p>
            <w:pPr>
              <w:pStyle w:val="50"/>
              <w:adjustRightInd/>
              <w:snapToGrid/>
              <w:spacing w:line="276" w:lineRule="auto"/>
            </w:pPr>
            <w:r>
              <w:rPr>
                <w:rFonts w:hint="eastAsia"/>
              </w:rPr>
              <w:t>《国家税务总局关于增值税小规模纳税人地方税种和相关附加减征政策有关征管问题的公告》（国家税务总局公告2019年第5号）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855" w:type="dxa"/>
            <w:vAlign w:val="center"/>
          </w:tcPr>
          <w:p>
            <w:pPr>
              <w:pStyle w:val="50"/>
              <w:adjustRightInd/>
              <w:snapToGrid/>
              <w:spacing w:line="276" w:lineRule="auto"/>
            </w:pPr>
            <w:r>
              <w:rPr>
                <w:rFonts w:hint="eastAsia"/>
              </w:rPr>
              <w:t>《国家税务总局关于创新税收服务和管理的意见》（税总发〔2014〕85号）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855" w:type="dxa"/>
            <w:vAlign w:val="center"/>
          </w:tcPr>
          <w:p>
            <w:pPr>
              <w:pStyle w:val="50"/>
              <w:adjustRightInd/>
              <w:snapToGrid/>
              <w:spacing w:line="276" w:lineRule="auto"/>
            </w:pPr>
            <w:r>
              <w:rPr>
                <w:rFonts w:hint="eastAsia"/>
              </w:rPr>
              <w:t>《国家税务总局关于修订财产行为税部分税种申报表的通知》（税总发〔</w:t>
            </w:r>
            <w:r>
              <w:t>2015</w:t>
            </w:r>
            <w:r>
              <w:rPr>
                <w:rFonts w:hint="eastAsia"/>
              </w:rPr>
              <w:t>〕</w:t>
            </w:r>
            <w:r>
              <w:t>114</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855" w:type="dxa"/>
            <w:vAlign w:val="center"/>
          </w:tcPr>
          <w:p>
            <w:pPr>
              <w:pStyle w:val="50"/>
              <w:adjustRightInd/>
              <w:snapToGrid/>
              <w:spacing w:line="276" w:lineRule="auto"/>
              <w:rPr>
                <w:color w:val="000000"/>
              </w:rPr>
            </w:pPr>
            <w:r>
              <w:rPr>
                <w:rFonts w:hint="eastAsia"/>
              </w:rPr>
              <w:t>《国家税务总局关于加快推行办税事项同城通办的通知》（税总发〔2016〕46号）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10</w:t>
            </w:r>
          </w:p>
        </w:tc>
        <w:tc>
          <w:tcPr>
            <w:tcW w:w="5855"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11</w:t>
            </w:r>
          </w:p>
        </w:tc>
        <w:tc>
          <w:tcPr>
            <w:tcW w:w="5855" w:type="dxa"/>
            <w:vAlign w:val="center"/>
          </w:tcPr>
          <w:p>
            <w:pPr>
              <w:pStyle w:val="50"/>
              <w:adjustRightInd/>
              <w:snapToGrid/>
              <w:spacing w:line="276" w:lineRule="auto"/>
              <w:rPr>
                <w:color w:val="00B0F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12</w:t>
            </w:r>
          </w:p>
        </w:tc>
        <w:tc>
          <w:tcPr>
            <w:tcW w:w="5855"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95"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13</w:t>
            </w:r>
          </w:p>
        </w:tc>
        <w:tc>
          <w:tcPr>
            <w:tcW w:w="5855" w:type="dxa"/>
            <w:vAlign w:val="center"/>
          </w:tcPr>
          <w:p>
            <w:pPr>
              <w:pStyle w:val="50"/>
              <w:adjustRightInd/>
              <w:snapToGrid/>
              <w:spacing w:line="276" w:lineRule="auto"/>
            </w:pPr>
            <w:r>
              <w:rPr>
                <w:rFonts w:hint="eastAsia"/>
              </w:rPr>
              <w:t>《国家税务总局关于取消一批涉税事项和报送资料的通知》（税总函〔2017〕403号）</w:t>
            </w:r>
          </w:p>
        </w:tc>
        <w:tc>
          <w:tcPr>
            <w:tcW w:w="1595"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69" w:name="_Toc6440"/>
      <w:bookmarkStart w:id="170" w:name="_Toc18096152"/>
      <w:r>
        <w:rPr>
          <w:rFonts w:hint="eastAsia"/>
          <w:color w:val="000000" w:themeColor="text1"/>
        </w:rPr>
        <w:t>3.13　　车船税申报</w:t>
      </w:r>
      <w:bookmarkEnd w:id="169"/>
      <w:bookmarkEnd w:id="170"/>
    </w:p>
    <w:p>
      <w:pPr>
        <w:pStyle w:val="30"/>
        <w:wordWrap w:val="0"/>
        <w:topLinePunct w:val="0"/>
        <w:spacing w:before="312" w:after="312"/>
        <w:rPr>
          <w:color w:val="000000" w:themeColor="text1"/>
        </w:rPr>
      </w:pPr>
      <w:bookmarkStart w:id="171" w:name="_Toc7735"/>
      <w:bookmarkStart w:id="172" w:name="_Toc18096153"/>
      <w:r>
        <w:rPr>
          <w:rFonts w:hint="eastAsia"/>
          <w:color w:val="000000" w:themeColor="text1"/>
        </w:rPr>
        <w:t>3.13.1—09</w:t>
      </w:r>
      <w:r>
        <w:rPr>
          <w:color w:val="000000" w:themeColor="text1"/>
        </w:rPr>
        <w:t>5</w:t>
      </w:r>
      <w:r>
        <w:rPr>
          <w:rFonts w:hint="eastAsia"/>
          <w:color w:val="000000" w:themeColor="text1"/>
        </w:rPr>
        <w:t>　</w:t>
      </w:r>
      <w:r>
        <w:rPr>
          <w:color w:val="000000" w:themeColor="text1"/>
        </w:rPr>
        <w:t>　</w:t>
      </w:r>
      <w:r>
        <w:rPr>
          <w:rFonts w:hint="eastAsia"/>
          <w:color w:val="000000" w:themeColor="text1"/>
        </w:rPr>
        <w:t>车船税申报</w:t>
      </w:r>
      <w:bookmarkEnd w:id="171"/>
      <w:bookmarkEnd w:id="172"/>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车船税申报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应税车辆、船舶未被代收代缴车船税的，其所有人或者管理人应当填报《车船税纳税申报表》及相关资料，向主管税务机关办理车船税申报。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《中华人民共和国车船税法》第一条</w:t>
      </w:r>
    </w:p>
    <w:p>
      <w:pPr>
        <w:pStyle w:val="31"/>
        <w:wordWrap w:val="0"/>
        <w:adjustRightInd/>
        <w:snapToGrid/>
        <w:rPr>
          <w:color w:val="000000" w:themeColor="text1"/>
        </w:rPr>
      </w:pPr>
      <w:r>
        <w:rPr>
          <w:rFonts w:hint="eastAsia"/>
          <w:color w:val="000000" w:themeColor="text1"/>
        </w:rPr>
        <w:t>【办理材料】</w:t>
      </w:r>
    </w:p>
    <w:tbl>
      <w:tblPr>
        <w:tblStyle w:val="18"/>
        <w:tblW w:w="8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02"/>
        <w:gridCol w:w="2827"/>
        <w:gridCol w:w="680"/>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29"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数量</w:t>
            </w:r>
          </w:p>
        </w:tc>
        <w:tc>
          <w:tcPr>
            <w:tcW w:w="226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29"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《车船税纳税申报表》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5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lang w:val="en-US"/>
              </w:rPr>
            </w:pPr>
            <w:r>
              <w:rPr>
                <w:rFonts w:hint="eastAsia"/>
                <w:color w:val="000000" w:themeColor="text1"/>
                <w:lang w:val="en-US"/>
              </w:rPr>
              <w:t>适用情形</w:t>
            </w:r>
          </w:p>
        </w:tc>
        <w:tc>
          <w:tcPr>
            <w:tcW w:w="282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lang w:val="en-US"/>
              </w:rPr>
            </w:pPr>
            <w:r>
              <w:rPr>
                <w:rFonts w:hint="eastAsia"/>
                <w:color w:val="000000" w:themeColor="text1"/>
                <w:lang w:val="en-US"/>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lang w:val="en-US"/>
              </w:rPr>
            </w:pPr>
            <w:r>
              <w:rPr>
                <w:rFonts w:hint="eastAsia"/>
                <w:color w:val="000000" w:themeColor="text1"/>
                <w:lang w:val="en-US"/>
              </w:rPr>
              <w:t>数量</w:t>
            </w:r>
          </w:p>
        </w:tc>
        <w:tc>
          <w:tcPr>
            <w:tcW w:w="226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lang w:val="en-US"/>
              </w:rPr>
            </w:pPr>
            <w:r>
              <w:rPr>
                <w:rFonts w:hint="eastAsia"/>
                <w:color w:val="000000" w:themeColor="text1"/>
                <w:lang w:val="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top w:val="single" w:color="auto" w:sz="4" w:space="0"/>
              <w:left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对车辆进行申报的纳税人</w:t>
            </w:r>
          </w:p>
        </w:tc>
        <w:tc>
          <w:tcPr>
            <w:tcW w:w="2827" w:type="dxa"/>
            <w:tcBorders>
              <w:top w:val="single" w:color="auto" w:sz="4" w:space="0"/>
              <w:left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《车船税税源明细表（车辆）》</w:t>
            </w:r>
          </w:p>
        </w:tc>
        <w:tc>
          <w:tcPr>
            <w:tcW w:w="680" w:type="dxa"/>
            <w:tcBorders>
              <w:top w:val="single" w:color="auto" w:sz="4" w:space="0"/>
              <w:left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5" w:type="dxa"/>
            <w:tcBorders>
              <w:top w:val="single" w:color="auto" w:sz="4" w:space="0"/>
              <w:left w:val="single" w:color="auto" w:sz="4" w:space="0"/>
              <w:right w:val="single" w:color="auto" w:sz="4" w:space="0"/>
            </w:tcBorders>
            <w:vAlign w:val="center"/>
          </w:tcPr>
          <w:p>
            <w:pPr>
              <w:pStyle w:val="34"/>
              <w:wordWrap w:val="0"/>
              <w:adjustRightInd/>
              <w:snapToGrid/>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对船舶进行申报的纳税人</w:t>
            </w:r>
          </w:p>
        </w:tc>
        <w:tc>
          <w:tcPr>
            <w:tcW w:w="2827" w:type="dxa"/>
            <w:tcBorders>
              <w:left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《车船税税源明细表（船舶）》</w:t>
            </w:r>
          </w:p>
        </w:tc>
        <w:tc>
          <w:tcPr>
            <w:tcW w:w="680" w:type="dxa"/>
            <w:tcBorders>
              <w:top w:val="single" w:color="auto" w:sz="4" w:space="0"/>
              <w:left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5" w:type="dxa"/>
            <w:tcBorders>
              <w:top w:val="single" w:color="auto" w:sz="4" w:space="0"/>
              <w:left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单位纳税人可同城通办。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bCs w:val="0"/>
          <w:color w:val="000000" w:themeColor="text1"/>
        </w:rPr>
      </w:pPr>
      <w:r>
        <w:rPr>
          <w:rFonts w:hint="eastAsia" w:ascii="宋体" w:hAnsi="宋体" w:eastAsia="宋体" w:cs="宋体"/>
          <w:color w:val="000000" w:themeColor="text1"/>
        </w:rPr>
        <w:t>主管税务机关对外公开的联系电话，</w:t>
      </w:r>
      <w:r>
        <w:rPr>
          <w:rFonts w:hint="eastAsia" w:ascii="宋体" w:hAnsi="宋体" w:eastAsia="宋体"/>
          <w:bCs w:val="0"/>
          <w:color w:val="000000" w:themeColor="text1"/>
        </w:rPr>
        <w:t>可从</w:t>
      </w:r>
      <w:r>
        <w:rPr>
          <w:rFonts w:ascii="宋体" w:hAnsi="宋体" w:eastAsia="宋体"/>
          <w:bCs w:val="0"/>
          <w:color w:val="000000" w:themeColor="text1"/>
        </w:rPr>
        <w:t>国家税务总局湖南省税务局网站</w:t>
      </w:r>
      <w:r>
        <w:rPr>
          <w:rFonts w:hint="eastAsia" w:ascii="宋体" w:hAnsi="宋体" w:eastAsia="宋体"/>
          <w:bCs w:val="0"/>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55"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55"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highlight w:val="yellow"/>
        </w:rPr>
      </w:pPr>
      <w:r>
        <w:rPr>
          <w:rFonts w:cs="Times New Roman"/>
          <w:color w:val="000000" w:themeColor="text1"/>
        </w:rPr>
        <w:t>6.</w:t>
      </w:r>
      <w:r>
        <w:rPr>
          <w:rFonts w:hint="default" w:cs="Times New Roman"/>
          <w:color w:val="000000" w:themeColor="text1"/>
        </w:rPr>
        <w:t>车船税纳税义务发生时间为取得车船所有权或者管理权的当月。</w:t>
      </w:r>
      <w:r>
        <w:rPr>
          <w:rFonts w:ascii="宋体" w:hAnsi="宋体" w:cs="Times New Roman"/>
          <w:color w:val="000000" w:themeColor="text1"/>
        </w:rPr>
        <w:t>车船税按年申报缴纳。具体申报纳税期限由省、自治区、直辖市人民政府规定。</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从事机动车交通事故责任强制保险业务的保险机构作为扣缴义务人已代收代缴车船税的，纳税人不再向车辆登记地的主管税务机关申报缴纳车船税。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对首次进行车船税纳税申报的纳税人，需要申报其全部车船的主附表信息。此后办理纳税申报时，如果纳税人的车船及相关信息未发生变化的，可不再填报信息，仅提供相关证件，由税务机关按上次申报信息生成申报表后，纳税人进行签章确认即可。对车船或纳税人有关信息发生变化的，纳税人仅就变化的内容进行填报。已获取第三方信息的地区，税务机关可将第三方信息导入纳税申报系统，直接生成申报表由纳税人进行签章确认。</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符合税收优惠条件的纳税人，在减税、免税期间，应按规定办理纳税申报，填写申报表及其附表上的优惠栏目。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利用数字证书申报成功的纳税人，取消纸质资料报送。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t>进入金三操作系统，通过申报征收岗权限，按照【申报征收】—【申报】—【财产行为税申报】—【车船税申报（新版本）】路径进入功能模块。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rPr>
                <w:color w:val="000000"/>
              </w:rPr>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《中华人民共和国车船税法》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《中华人民共和国车船税法实施条例》</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《税收票证管理办法》（国家税务总局令第28号）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《国家税务总局关于实施〈税收票证管理办法〉若干问题的公告》（国家税务总局公告2013年第34号）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rPr>
                <w:color w:val="000000"/>
              </w:rPr>
            </w:pPr>
            <w:r>
              <w:rPr>
                <w:rFonts w:hint="eastAsia"/>
              </w:rPr>
              <w:t>《国家税务总局关于发布〈车船税管理规程（试行）〉的公告》（国家税务总局公告2015年第83号）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《国家税务总局关于保险机构代收车船税开具增值税发票问题的公告》（国家税务总局公告2016第51号）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pPr>
            <w:r>
              <w:rPr>
                <w:rFonts w:hint="eastAsia"/>
              </w:rPr>
              <w:t>《国家税务总局关于创新税收服务和管理的意见》（税总发〔2014〕85号）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713" w:type="dxa"/>
            <w:vAlign w:val="center"/>
          </w:tcPr>
          <w:p>
            <w:pPr>
              <w:pStyle w:val="50"/>
              <w:adjustRightInd/>
              <w:snapToGrid/>
              <w:spacing w:line="276" w:lineRule="auto"/>
              <w:rPr>
                <w:color w:val="00000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713" w:type="dxa"/>
            <w:vAlign w:val="center"/>
          </w:tcPr>
          <w:p>
            <w:pPr>
              <w:pStyle w:val="50"/>
              <w:adjustRightInd/>
              <w:snapToGrid/>
              <w:spacing w:line="276" w:lineRule="auto"/>
              <w:rPr>
                <w:color w:val="00000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713" w:type="dxa"/>
            <w:vAlign w:val="center"/>
          </w:tcPr>
          <w:p>
            <w:pPr>
              <w:pStyle w:val="50"/>
              <w:adjustRightInd/>
              <w:snapToGrid/>
              <w:spacing w:line="276" w:lineRule="auto"/>
              <w:rPr>
                <w:color w:val="000000"/>
              </w:rPr>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713" w:type="dxa"/>
            <w:vAlign w:val="center"/>
          </w:tcPr>
          <w:p>
            <w:pPr>
              <w:pStyle w:val="50"/>
              <w:adjustRightInd/>
              <w:snapToGrid/>
              <w:spacing w:line="276" w:lineRule="auto"/>
            </w:pPr>
            <w:r>
              <w:rPr>
                <w:rFonts w:hint="eastAsia"/>
              </w:rPr>
              <w:t>《国家税务总局关于取消一批涉税事项和报送资料的通知》（税总函〔2017〕403号）</w:t>
            </w:r>
          </w:p>
        </w:tc>
        <w:tc>
          <w:tcPr>
            <w:tcW w:w="1737" w:type="dxa"/>
            <w:vAlign w:val="center"/>
          </w:tcPr>
          <w:p>
            <w:pPr>
              <w:pStyle w:val="50"/>
              <w:adjustRightInd/>
              <w:snapToGrid/>
              <w:spacing w:line="276" w:lineRule="auto"/>
            </w:pPr>
            <w:r>
              <w:rPr>
                <w:rFonts w:hint="eastAsia"/>
              </w:rPr>
              <w:t>主动公开</w:t>
            </w:r>
          </w:p>
        </w:tc>
      </w:tr>
    </w:tbl>
    <w:p>
      <w:pPr>
        <w:pStyle w:val="29"/>
        <w:wordWrap w:val="0"/>
        <w:spacing w:before="936" w:after="468"/>
        <w:rPr>
          <w:color w:val="000000" w:themeColor="text1"/>
        </w:rPr>
      </w:pPr>
      <w:bookmarkStart w:id="173" w:name="_Toc18096154"/>
      <w:bookmarkStart w:id="174" w:name="_Toc26824"/>
      <w:r>
        <w:rPr>
          <w:rFonts w:hint="eastAsia"/>
          <w:color w:val="000000" w:themeColor="text1"/>
        </w:rPr>
        <w:t>3.14　　烟叶税申报</w:t>
      </w:r>
      <w:bookmarkEnd w:id="173"/>
      <w:bookmarkEnd w:id="174"/>
    </w:p>
    <w:p>
      <w:pPr>
        <w:pStyle w:val="30"/>
        <w:wordWrap w:val="0"/>
        <w:topLinePunct w:val="0"/>
        <w:spacing w:before="312" w:after="312"/>
        <w:rPr>
          <w:color w:val="000000" w:themeColor="text1"/>
        </w:rPr>
      </w:pPr>
      <w:bookmarkStart w:id="175" w:name="_Toc18096155"/>
      <w:bookmarkStart w:id="176" w:name="_Toc8267"/>
      <w:bookmarkStart w:id="177" w:name="_Toc459987239"/>
      <w:bookmarkStart w:id="178" w:name="_Toc459388258"/>
      <w:bookmarkStart w:id="179" w:name="_Toc459387078"/>
      <w:r>
        <w:rPr>
          <w:rFonts w:hint="eastAsia"/>
          <w:color w:val="000000" w:themeColor="text1"/>
        </w:rPr>
        <w:t>3.14.1—09</w:t>
      </w:r>
      <w:r>
        <w:rPr>
          <w:color w:val="000000" w:themeColor="text1"/>
        </w:rPr>
        <w:t>6</w:t>
      </w:r>
      <w:r>
        <w:rPr>
          <w:rFonts w:hint="eastAsia"/>
          <w:color w:val="000000" w:themeColor="text1"/>
        </w:rPr>
        <w:t>　</w:t>
      </w:r>
      <w:r>
        <w:rPr>
          <w:color w:val="000000" w:themeColor="text1"/>
        </w:rPr>
        <w:t>　</w:t>
      </w:r>
      <w:r>
        <w:rPr>
          <w:rFonts w:hint="eastAsia"/>
          <w:color w:val="000000" w:themeColor="text1"/>
        </w:rPr>
        <w:t>烟叶税申报</w:t>
      </w:r>
      <w:bookmarkEnd w:id="175"/>
      <w:bookmarkEnd w:id="176"/>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烟叶税申报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在中华人民共和国境内，依照《中华人民共和国烟草专卖法》的规定收购烟叶的单位填报《烟叶税纳税申报表》，向烟叶收购地的主管税务机关申报缴纳烟叶税。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《中华人民共和国烟叶税法》第九条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《烟叶税纳税申报表》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主管税务机关对外公开的联系电话，可从国家税务总局湖南省税务局网站“办税地图”栏目查询。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56"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56"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5.</w:t>
      </w:r>
      <w:r>
        <w:rPr>
          <w:rFonts w:hint="default" w:ascii="宋体" w:hAnsi="宋体" w:cs="Times New Roman"/>
          <w:color w:val="000000" w:themeColor="text1"/>
        </w:rPr>
        <w:t>烟叶税的纳税义务发生时间为纳税人收购烟叶的当日。</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烟叶税按月计征，纳税人应当于纳税义务发生月终了之日起15日内申报并缴纳税款。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烟叶税的计税依据为纳税人收购烟叶实际支付的价款总额，包括纳税人支付给烟叶生产销售单位和个人的烟叶收购价款和价外补贴。其中，价外补贴统一按烟叶收购价款的</w:t>
      </w:r>
      <w:r>
        <w:rPr>
          <w:rFonts w:cs="Times New Roman"/>
          <w:color w:val="000000" w:themeColor="text1"/>
        </w:rPr>
        <w:t>10</w:t>
      </w:r>
      <w:r>
        <w:rPr>
          <w:rFonts w:ascii="宋体" w:hAnsi="宋体" w:cs="Times New Roman"/>
          <w:color w:val="000000" w:themeColor="text1"/>
        </w:rPr>
        <w:t>%计算。</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纳税人在纳税期内没有应纳税款的，也应当按照规定办理申报纳税。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firstLineChars="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firstLineChars="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wordWrap w:val="0"/>
        <w:spacing w:line="360" w:lineRule="auto"/>
        <w:ind w:firstLine="480" w:firstLineChars="0"/>
        <w:rPr>
          <w:rFonts w:hint="default" w:ascii="黑体" w:hAnsi="黑体" w:eastAsia="黑体" w:cs="Times New Roman"/>
          <w:bCs/>
          <w:color w:val="000000" w:themeColor="text1"/>
        </w:rPr>
      </w:pPr>
      <w:r>
        <w:rPr>
          <w:rFonts w:ascii="黑体" w:hAnsi="黑体" w:eastAsia="黑体" w:cs="Times New Roman"/>
          <w:bCs/>
          <w:color w:val="000000" w:themeColor="text1"/>
        </w:rPr>
        <w:t>【操作规范】</w:t>
      </w:r>
    </w:p>
    <w:p>
      <w:pPr>
        <w:wordWrap w:val="0"/>
        <w:spacing w:line="360" w:lineRule="auto"/>
        <w:ind w:firstLine="480" w:firstLineChars="0"/>
        <w:rPr>
          <w:rFonts w:hint="default" w:ascii="宋体" w:hAnsi="宋体" w:cs="Times New Roman"/>
          <w:color w:val="000000" w:themeColor="text1"/>
        </w:rPr>
      </w:pPr>
      <w:r>
        <w:t>进入金三操作系统，通过申报征收岗权限，按照【申报征收】—【申报】—【烟叶税申报】路径进入功能模块。</w:t>
      </w:r>
    </w:p>
    <w:p>
      <w:pPr>
        <w:pStyle w:val="31"/>
        <w:adjustRightInd/>
        <w:snapToGrid/>
      </w:pPr>
      <w:r>
        <w:rPr>
          <w:rFonts w:hint="eastAsia"/>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4" w:type="dxa"/>
            <w:vAlign w:val="center"/>
          </w:tcPr>
          <w:p>
            <w:pPr>
              <w:pStyle w:val="33"/>
              <w:adjustRightInd/>
              <w:snapToGrid/>
              <w:spacing w:line="276" w:lineRule="auto"/>
            </w:pPr>
            <w:r>
              <w:rPr>
                <w:rFonts w:hint="eastAsia"/>
              </w:rPr>
              <w:t>文件名称</w:t>
            </w:r>
          </w:p>
        </w:tc>
        <w:tc>
          <w:tcPr>
            <w:tcW w:w="1683"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4" w:type="dxa"/>
            <w:vAlign w:val="center"/>
          </w:tcPr>
          <w:p>
            <w:pPr>
              <w:pStyle w:val="50"/>
              <w:adjustRightInd/>
              <w:snapToGrid/>
              <w:spacing w:line="276" w:lineRule="auto"/>
            </w:pPr>
            <w:r>
              <w:rPr>
                <w:rFonts w:hint="eastAsia"/>
              </w:rPr>
              <w:t>《中华人民共和国税收征收管理法》</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4" w:type="dxa"/>
            <w:vAlign w:val="center"/>
          </w:tcPr>
          <w:p>
            <w:pPr>
              <w:pStyle w:val="50"/>
              <w:adjustRightInd/>
              <w:snapToGrid/>
              <w:spacing w:line="276" w:lineRule="auto"/>
            </w:pPr>
            <w:r>
              <w:rPr>
                <w:rFonts w:hint="eastAsia"/>
              </w:rPr>
              <w:t>《中华人民共和国烟叶税法》</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654" w:type="dxa"/>
            <w:vAlign w:val="center"/>
          </w:tcPr>
          <w:p>
            <w:pPr>
              <w:pStyle w:val="50"/>
              <w:adjustRightInd/>
              <w:snapToGrid/>
              <w:spacing w:line="276" w:lineRule="auto"/>
            </w:pPr>
            <w:r>
              <w:rPr>
                <w:rFonts w:hint="eastAsia"/>
              </w:rPr>
              <w:t>《财政部 税务总局</w:t>
            </w:r>
            <w:r>
              <w:t>关于明确烟叶税计税依据的通知</w:t>
            </w:r>
            <w:r>
              <w:rPr>
                <w:rFonts w:hint="eastAsia"/>
              </w:rPr>
              <w:t>》（</w:t>
            </w:r>
            <w:r>
              <w:rPr>
                <w:rFonts w:cs="宋体"/>
              </w:rPr>
              <w:t>财税〔2018〕75号</w:t>
            </w:r>
            <w:r>
              <w:rPr>
                <w:rFonts w:hint="eastAsia"/>
              </w:rPr>
              <w:t>）</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4</w:t>
            </w:r>
          </w:p>
        </w:tc>
        <w:tc>
          <w:tcPr>
            <w:tcW w:w="5654" w:type="dxa"/>
            <w:vAlign w:val="center"/>
          </w:tcPr>
          <w:p>
            <w:pPr>
              <w:pStyle w:val="50"/>
              <w:adjustRightInd/>
              <w:snapToGrid/>
              <w:spacing w:line="276" w:lineRule="auto"/>
            </w:pPr>
            <w:r>
              <w:rPr>
                <w:rFonts w:hint="eastAsia"/>
              </w:rPr>
              <w:t>《国家税务总局关于发布</w:t>
            </w:r>
            <w:r>
              <w:rPr>
                <w:rFonts w:hint="eastAsia" w:cs="宋体"/>
              </w:rPr>
              <w:t>&lt;</w:t>
            </w:r>
            <w:r>
              <w:rPr>
                <w:rFonts w:hint="eastAsia"/>
              </w:rPr>
              <w:t>烟叶税纳税申报表</w:t>
            </w:r>
            <w:r>
              <w:rPr>
                <w:rFonts w:hint="eastAsia" w:cs="宋体"/>
              </w:rPr>
              <w:t>&gt;</w:t>
            </w:r>
            <w:r>
              <w:rPr>
                <w:rFonts w:hint="eastAsia"/>
              </w:rPr>
              <w:t>的公告》（国家税务总局公告</w:t>
            </w:r>
            <w:r>
              <w:t>201</w:t>
            </w:r>
            <w:r>
              <w:rPr>
                <w:rFonts w:hint="eastAsia"/>
              </w:rPr>
              <w:t>8年第39号）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5</w:t>
            </w:r>
          </w:p>
        </w:tc>
        <w:tc>
          <w:tcPr>
            <w:tcW w:w="5654"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6</w:t>
            </w:r>
          </w:p>
        </w:tc>
        <w:tc>
          <w:tcPr>
            <w:tcW w:w="5654"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3"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7</w:t>
            </w:r>
          </w:p>
        </w:tc>
        <w:tc>
          <w:tcPr>
            <w:tcW w:w="5654"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3"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8</w:t>
            </w:r>
          </w:p>
        </w:tc>
        <w:tc>
          <w:tcPr>
            <w:tcW w:w="5654"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3" w:type="dxa"/>
            <w:vAlign w:val="center"/>
          </w:tcPr>
          <w:p>
            <w:pPr>
              <w:pStyle w:val="50"/>
              <w:adjustRightInd/>
              <w:snapToGrid/>
              <w:spacing w:line="276" w:lineRule="auto"/>
            </w:pPr>
            <w:r>
              <w:rPr>
                <w:rFonts w:hint="eastAsia"/>
              </w:rPr>
              <w:t>依申请公开</w:t>
            </w:r>
          </w:p>
        </w:tc>
      </w:tr>
      <w:bookmarkEnd w:id="177"/>
      <w:bookmarkEnd w:id="178"/>
      <w:bookmarkEnd w:id="179"/>
    </w:tbl>
    <w:p>
      <w:pPr>
        <w:pStyle w:val="29"/>
        <w:wordWrap w:val="0"/>
        <w:spacing w:before="936" w:after="468"/>
        <w:rPr>
          <w:color w:val="000000" w:themeColor="text1"/>
        </w:rPr>
      </w:pPr>
      <w:bookmarkStart w:id="180" w:name="_Toc1746"/>
      <w:bookmarkStart w:id="181" w:name="_Toc18096156"/>
      <w:r>
        <w:rPr>
          <w:rFonts w:hint="eastAsia"/>
          <w:color w:val="000000" w:themeColor="text1"/>
        </w:rPr>
        <w:t>3.15　　环境保护税申报</w:t>
      </w:r>
      <w:bookmarkEnd w:id="180"/>
      <w:bookmarkEnd w:id="181"/>
    </w:p>
    <w:p>
      <w:pPr>
        <w:pStyle w:val="30"/>
        <w:wordWrap w:val="0"/>
        <w:topLinePunct w:val="0"/>
        <w:spacing w:before="312" w:after="312"/>
        <w:rPr>
          <w:color w:val="000000" w:themeColor="text1"/>
        </w:rPr>
      </w:pPr>
      <w:bookmarkStart w:id="182" w:name="_Toc18096157"/>
      <w:bookmarkStart w:id="183" w:name="_Toc29688"/>
      <w:r>
        <w:rPr>
          <w:rFonts w:hint="eastAsia"/>
          <w:color w:val="000000" w:themeColor="text1"/>
        </w:rPr>
        <w:t>3.15.1—09</w:t>
      </w:r>
      <w:r>
        <w:rPr>
          <w:color w:val="000000" w:themeColor="text1"/>
        </w:rPr>
        <w:t>7</w:t>
      </w:r>
      <w:r>
        <w:rPr>
          <w:rFonts w:hint="eastAsia"/>
          <w:color w:val="000000" w:themeColor="text1"/>
        </w:rPr>
        <w:t>　</w:t>
      </w:r>
      <w:r>
        <w:rPr>
          <w:color w:val="000000" w:themeColor="text1"/>
        </w:rPr>
        <w:t>　</w:t>
      </w:r>
      <w:r>
        <w:rPr>
          <w:rFonts w:hint="eastAsia"/>
          <w:color w:val="000000" w:themeColor="text1"/>
        </w:rPr>
        <w:t>环境保护税申报</w:t>
      </w:r>
      <w:bookmarkEnd w:id="182"/>
      <w:bookmarkEnd w:id="183"/>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环境保护税申报</w:t>
      </w:r>
    </w:p>
    <w:p>
      <w:pPr>
        <w:pStyle w:val="31"/>
        <w:wordWrap w:val="0"/>
        <w:adjustRightInd/>
        <w:snapToGrid/>
        <w:rPr>
          <w:color w:val="000000" w:themeColor="text1"/>
        </w:rPr>
      </w:pPr>
      <w:r>
        <w:rPr>
          <w:rFonts w:hint="eastAsia"/>
          <w:color w:val="000000" w:themeColor="text1"/>
        </w:rPr>
        <w:t>【业务描述】</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在中华人民共和国领域和中华人民共和国管辖的其他海域，直接向环境排放应税污染物的企业、事业单位和其他生产经营者为环境保护税的纳税人，</w:t>
      </w:r>
      <w:r>
        <w:rPr>
          <w:rFonts w:ascii="宋体" w:hAnsi="宋体" w:eastAsia="宋体"/>
          <w:bCs w:val="0"/>
          <w:color w:val="000000" w:themeColor="text1"/>
        </w:rPr>
        <w:t>应当依法申报缴纳环境保护税。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《中华人民共和国环境保护税法》第二条</w:t>
      </w:r>
    </w:p>
    <w:p>
      <w:pPr>
        <w:pStyle w:val="31"/>
        <w:wordWrap w:val="0"/>
        <w:adjustRightInd/>
        <w:snapToGrid/>
        <w:rPr>
          <w:color w:val="000000" w:themeColor="text1"/>
        </w:rPr>
      </w:pPr>
      <w:r>
        <w:rPr>
          <w:rFonts w:hint="eastAsia"/>
          <w:color w:val="000000" w:themeColor="text1"/>
        </w:rPr>
        <w:t>【办理材料】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首次申报或与环境保护税相关的基础信息发生变化时：</w:t>
      </w:r>
    </w:p>
    <w:tbl>
      <w:tblPr>
        <w:tblStyle w:val="18"/>
        <w:tblW w:w="8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01"/>
        <w:gridCol w:w="2833"/>
        <w:gridCol w:w="680"/>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4"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4"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《环境保护税基础信息采集表》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用于采集纳税人与环境保护税相关的基础信息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1"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适用情形</w:t>
            </w:r>
          </w:p>
        </w:tc>
        <w:tc>
          <w:tcPr>
            <w:tcW w:w="283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数量</w:t>
            </w:r>
          </w:p>
        </w:tc>
        <w:tc>
          <w:tcPr>
            <w:tcW w:w="226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适用于采集应税大气、水污染物相关基础信息</w:t>
            </w:r>
          </w:p>
        </w:tc>
        <w:tc>
          <w:tcPr>
            <w:tcW w:w="2833"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《大气、水污染物基础信息采集表》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适用于采集应税固体废物相关基础信息</w:t>
            </w:r>
          </w:p>
        </w:tc>
        <w:tc>
          <w:tcPr>
            <w:tcW w:w="2833"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《固体废物基础信息采集表》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适用于采集应税噪声相关基础信息</w:t>
            </w:r>
          </w:p>
        </w:tc>
        <w:tc>
          <w:tcPr>
            <w:tcW w:w="2833"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《噪声基础信息采集表》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exact"/>
          <w:jc w:val="center"/>
        </w:trPr>
        <w:tc>
          <w:tcPr>
            <w:tcW w:w="2381" w:type="dxa"/>
            <w:gridSpan w:val="2"/>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适用于采集纳税人</w:t>
            </w:r>
            <w:r>
              <w:rPr>
                <w:rFonts w:hint="eastAsia" w:ascii="宋体" w:hAnsi="宋体" w:cs="宋体"/>
                <w:color w:val="000000" w:themeColor="text1"/>
              </w:rPr>
              <w:t>采用排污系数法计算污染物排放量的基础信息</w:t>
            </w:r>
          </w:p>
        </w:tc>
        <w:tc>
          <w:tcPr>
            <w:tcW w:w="2833"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《产排污系数基础信息采集表》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通过自动监测、监测机构监测、排污系数和物料衡算法计算污染物排放量的纳税人：</w:t>
      </w:r>
    </w:p>
    <w:tbl>
      <w:tblPr>
        <w:tblStyle w:val="18"/>
        <w:tblW w:w="8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01"/>
        <w:gridCol w:w="2835"/>
        <w:gridCol w:w="68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《环境保护税纳税申报表（A类）》</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1"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适用情形</w:t>
            </w:r>
          </w:p>
        </w:tc>
        <w:tc>
          <w:tcPr>
            <w:tcW w:w="28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数量</w:t>
            </w:r>
          </w:p>
        </w:tc>
        <w:tc>
          <w:tcPr>
            <w:tcW w:w="226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238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应税污染物为大气污染物且征收方式非抽样测算方法核定</w:t>
            </w:r>
          </w:p>
        </w:tc>
        <w:tc>
          <w:tcPr>
            <w:tcW w:w="28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《环境保护税按月计算报表（大气污染物适用）》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应税污染物为水污染物且征收方式非抽样测算方法核定</w:t>
            </w:r>
          </w:p>
        </w:tc>
        <w:tc>
          <w:tcPr>
            <w:tcW w:w="28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《环境保护税按月计算报表（水污染物适用）》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color w:val="000000" w:themeColor="text1"/>
              </w:rPr>
              <w:t>应税污染物为固体废物且征收方式非抽样测算方法核定</w:t>
            </w:r>
          </w:p>
        </w:tc>
        <w:tc>
          <w:tcPr>
            <w:tcW w:w="2835"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《环境保护税按月计算报表（固体废物适用）》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color w:val="000000" w:themeColor="text1"/>
              </w:rPr>
              <w:t>应税污染物为噪声且征收方式非抽样测算方法核定</w:t>
            </w:r>
          </w:p>
        </w:tc>
        <w:tc>
          <w:tcPr>
            <w:tcW w:w="2835" w:type="dxa"/>
            <w:tcBorders>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rPr>
            </w:pPr>
            <w:r>
              <w:rPr>
                <w:rFonts w:hint="eastAsia"/>
                <w:color w:val="000000" w:themeColor="text1"/>
              </w:rPr>
              <w:t>《环境保护税按月计算报表（噪声适用）》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减免税情况且征收方式非抽样测算方法核定</w:t>
            </w:r>
          </w:p>
        </w:tc>
        <w:tc>
          <w:tcPr>
            <w:tcW w:w="28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《环境保护税减免税明细计算报表》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rFonts w:asciiTheme="minorEastAsia" w:hAnsiTheme="minorEastAsia" w:eastAsiaTheme="minorEastAsia" w:cstheme="minorEastAsia"/>
          <w:color w:val="000000" w:themeColor="text1"/>
        </w:rPr>
      </w:pPr>
      <w:r>
        <w:rPr>
          <w:rFonts w:hint="eastAsia" w:ascii="Times New Roman" w:hAnsi="Times New Roman" w:eastAsiaTheme="minorEastAsia"/>
          <w:color w:val="000000" w:themeColor="text1"/>
        </w:rPr>
        <w:t>3.</w:t>
      </w:r>
      <w:r>
        <w:rPr>
          <w:rFonts w:asciiTheme="minorEastAsia" w:hAnsiTheme="minorEastAsia" w:eastAsiaTheme="minorEastAsia" w:cstheme="minorEastAsia"/>
          <w:color w:val="000000" w:themeColor="text1"/>
        </w:rPr>
        <w:t>除适用A类申报之外的其他纳税人，包括按照《中华人民共和国环境保护税法》第十条第四项方法计算应税污染物排放量或适用税法所附《禽畜养殖业、小型企业和第三产业水污染物当量值》表的纳税人，以及按次申报的纳税人</w:t>
      </w:r>
      <w:r>
        <w:rPr>
          <w:rFonts w:hint="eastAsia" w:asciiTheme="minorEastAsia" w:hAnsiTheme="minorEastAsia" w:eastAsiaTheme="minorEastAsia" w:cstheme="minorEastAsia"/>
          <w:color w:val="000000" w:themeColor="text1"/>
        </w:rPr>
        <w:t>：</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《环境保护税纳税申报表（B类）》</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除按次申报外，纳税人应按月填写B类表，按季申报</w:t>
            </w: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主管税务机关对外公开的联系电话，可从</w:t>
      </w:r>
      <w:r>
        <w:rPr>
          <w:rFonts w:ascii="宋体" w:hAnsi="宋体" w:eastAsia="宋体" w:cs="宋体"/>
          <w:color w:val="000000" w:themeColor="text1"/>
        </w:rPr>
        <w:t>国家税务总局湖南省税务局网站</w:t>
      </w:r>
      <w:r>
        <w:rPr>
          <w:rFonts w:hint="eastAsia" w:ascii="宋体" w:hAnsi="宋体" w:eastAsia="宋体" w:cs="宋体"/>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57"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4</w:t>
      </w:r>
      <w:r>
        <w:rPr>
          <w:rFonts w:cs="Times New Roman"/>
          <w:color w:val="000000" w:themeColor="text1"/>
        </w:rPr>
        <w:t>.</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5</w:t>
      </w:r>
      <w:r>
        <w:rPr>
          <w:rFonts w:cs="Times New Roman"/>
          <w:color w:val="000000" w:themeColor="text1"/>
        </w:rPr>
        <w:t>.</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6.</w:t>
      </w:r>
      <w:r>
        <w:rPr>
          <w:rFonts w:hint="default" w:ascii="宋体" w:hAnsi="宋体" w:cs="Times New Roman"/>
          <w:color w:val="000000" w:themeColor="text1"/>
        </w:rPr>
        <w:t>环境保护税一般申报适用于通过自动监测、监测机构监测、排污系数和物料衡算法计算污染物排放量的纳税人，享受减免税优惠的纳税人还需要填报减免税相关附表进行申报。</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7.</w:t>
      </w:r>
      <w:r>
        <w:rPr>
          <w:rFonts w:hint="default" w:ascii="宋体" w:hAnsi="宋体" w:cs="Times New Roman"/>
          <w:color w:val="000000" w:themeColor="text1"/>
        </w:rPr>
        <w:t>环境保护税抽样测算及按次申报适用于除环境保护税一般申报之外的其他纳税人，包括抽样测算和简易申报。</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8</w:t>
      </w:r>
      <w:r>
        <w:rPr>
          <w:rFonts w:cs="Times New Roman"/>
          <w:color w:val="000000" w:themeColor="text1"/>
        </w:rPr>
        <w:t>.</w:t>
      </w:r>
      <w:r>
        <w:rPr>
          <w:rFonts w:hint="default" w:ascii="宋体" w:hAnsi="宋体" w:cs="Times New Roman"/>
          <w:color w:val="000000" w:themeColor="text1"/>
        </w:rPr>
        <w:t>纳税人应当向应税污染物排放地的税务机关申报缴纳环境保护税。海洋工程环境保护税由纳税人所属海洋石油税务（收）管理分局负责征收。</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9</w:t>
      </w:r>
      <w:r>
        <w:rPr>
          <w:rFonts w:cs="Times New Roman"/>
          <w:color w:val="000000" w:themeColor="text1"/>
        </w:rPr>
        <w:t>.</w:t>
      </w:r>
      <w:r>
        <w:rPr>
          <w:rFonts w:hint="default" w:ascii="宋体" w:hAnsi="宋体" w:cs="Times New Roman"/>
          <w:color w:val="000000" w:themeColor="text1"/>
        </w:rPr>
        <w:t>环境保护税按月计算，按季申报缴纳</w:t>
      </w:r>
      <w:r>
        <w:rPr>
          <w:rFonts w:ascii="宋体" w:hAnsi="宋体" w:cs="Times New Roman"/>
          <w:color w:val="000000" w:themeColor="text1"/>
        </w:rPr>
        <w:t>，自季度终了之日起</w:t>
      </w:r>
      <w:r>
        <w:rPr>
          <w:rFonts w:cs="Times New Roman"/>
          <w:color w:val="000000" w:themeColor="text1"/>
        </w:rPr>
        <w:t>15</w:t>
      </w:r>
      <w:r>
        <w:rPr>
          <w:rFonts w:ascii="宋体" w:hAnsi="宋体" w:cs="Times New Roman"/>
          <w:color w:val="000000" w:themeColor="text1"/>
        </w:rPr>
        <w:t>日内，向税务机关办理纳税申报并缴纳税款。</w:t>
      </w:r>
      <w:r>
        <w:rPr>
          <w:rFonts w:hint="default" w:ascii="宋体" w:hAnsi="宋体" w:cs="Times New Roman"/>
          <w:color w:val="000000" w:themeColor="text1"/>
        </w:rPr>
        <w:t>不能按固定期限计算缴纳的，可以按次申报缴纳</w:t>
      </w:r>
      <w:r>
        <w:rPr>
          <w:rFonts w:ascii="宋体" w:hAnsi="宋体" w:cs="Times New Roman"/>
          <w:color w:val="000000" w:themeColor="text1"/>
        </w:rPr>
        <w:t>，纳税义务发生之日起</w:t>
      </w:r>
      <w:r>
        <w:rPr>
          <w:rFonts w:cs="Times New Roman"/>
          <w:color w:val="000000" w:themeColor="text1"/>
        </w:rPr>
        <w:t>15</w:t>
      </w:r>
      <w:r>
        <w:rPr>
          <w:rFonts w:ascii="宋体" w:hAnsi="宋体" w:cs="Times New Roman"/>
          <w:color w:val="000000" w:themeColor="text1"/>
        </w:rPr>
        <w:t>日内，向税务机关办理纳税申报并缴纳税款。</w:t>
      </w:r>
      <w:r>
        <w:rPr>
          <w:rFonts w:hint="default" w:ascii="宋体" w:hAnsi="宋体" w:cs="Times New Roman"/>
          <w:color w:val="000000" w:themeColor="text1"/>
        </w:rPr>
        <w:t>遇最后一日是法定休假日的，以休假日期满的次日为期限的最后一日；在期限内有连续</w:t>
      </w:r>
      <w:r>
        <w:rPr>
          <w:rFonts w:cs="Times New Roman"/>
          <w:color w:val="000000" w:themeColor="text1"/>
        </w:rPr>
        <w:t>3</w:t>
      </w:r>
      <w:r>
        <w:rPr>
          <w:rFonts w:hint="default"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10</w:t>
      </w:r>
      <w:r>
        <w:rPr>
          <w:rFonts w:cs="Times New Roman"/>
          <w:color w:val="000000" w:themeColor="text1"/>
        </w:rPr>
        <w:t>.</w:t>
      </w:r>
      <w:r>
        <w:rPr>
          <w:rFonts w:ascii="宋体" w:hAnsi="宋体" w:cs="Times New Roman"/>
          <w:color w:val="000000" w:themeColor="text1"/>
        </w:rPr>
        <w:t>符合税收优惠条件的纳税人，在减税、免税期间，应按规定办理纳税申报，填写申报表及其附表上的优惠栏目。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进入金三操作系统，通过申报征收岗权限，按照【申报征收】—【申报】—【财产行为税申报】—【环境保护税纳税申报表（A类）】或【环境保护税纳税申报表（B类）】进入功能模块。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环境保护税申报的前置条件是先进行环境保护税基础信息采集，按照【管理服务】—【税源信息维护管理】—【环境保护税基础信息采集】进入功能模块。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环保税无需进行优惠备案，实行以报代备。在申报时选择主附表功能树中的环境保护税减免税明细计算报表进行填报。</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《中华人民共和国环境保护税法》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《中华人民共和国环境保护税法实施条例》</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《税收票证管理办法》（国家税务总局令第28号）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《国家税务总局关于实施〈税收票证管理办法〉若干问题的公告》（国家税务总局公告2013年第34号）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《国家税务总局国家海洋局关于发布〈海洋工程环境保护税申报征收办法〉的公告》（国家税务总局公告2017年第50号）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《国家税务总局关于发布〈环境保护税纳税申报表〉的公告》（国家税务总局公告2018年第7号）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《国家税务总局关于印发&lt;全国税务系统进一步优化税收营商环境行动方案（2018年—2022年）&gt;的通知》（税总发〔2018〕145号）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pPr>
            <w:r>
              <w:rPr>
                <w:rFonts w:hint="eastAsia"/>
              </w:rPr>
              <w:t>《国家税务总局关于印发&lt;办税服务厅管理办法&gt;的通知》（税总发〔2018〕189号）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71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184" w:name="_Toc18096158"/>
      <w:bookmarkStart w:id="185" w:name="_Toc12930"/>
      <w:r>
        <w:rPr>
          <w:rFonts w:hint="eastAsia"/>
          <w:color w:val="000000" w:themeColor="text1"/>
        </w:rPr>
        <w:t>3.16　　附加税（费）申报</w:t>
      </w:r>
      <w:bookmarkEnd w:id="184"/>
      <w:bookmarkEnd w:id="185"/>
    </w:p>
    <w:p>
      <w:pPr>
        <w:pStyle w:val="30"/>
        <w:wordWrap w:val="0"/>
        <w:topLinePunct w:val="0"/>
        <w:spacing w:before="312" w:after="312"/>
        <w:rPr>
          <w:color w:val="000000" w:themeColor="text1"/>
        </w:rPr>
      </w:pPr>
      <w:bookmarkStart w:id="186" w:name="_Toc18096159"/>
      <w:bookmarkStart w:id="187" w:name="_Toc27747"/>
      <w:r>
        <w:rPr>
          <w:rFonts w:hint="eastAsia"/>
          <w:color w:val="000000" w:themeColor="text1"/>
        </w:rPr>
        <w:t>3.16.1—09</w:t>
      </w:r>
      <w:r>
        <w:rPr>
          <w:color w:val="000000" w:themeColor="text1"/>
        </w:rPr>
        <w:t>8</w:t>
      </w:r>
      <w:r>
        <w:rPr>
          <w:rFonts w:hint="eastAsia"/>
          <w:color w:val="000000" w:themeColor="text1"/>
        </w:rPr>
        <w:t>　</w:t>
      </w:r>
      <w:r>
        <w:rPr>
          <w:color w:val="000000" w:themeColor="text1"/>
        </w:rPr>
        <w:t>　</w:t>
      </w:r>
      <w:r>
        <w:rPr>
          <w:rFonts w:hint="eastAsia"/>
          <w:color w:val="000000" w:themeColor="text1"/>
        </w:rPr>
        <w:t>附加税（费）申报</w:t>
      </w:r>
      <w:bookmarkEnd w:id="186"/>
      <w:bookmarkEnd w:id="187"/>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附加税（费）申报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缴纳增值税、消费税的单位和个人，都应申报缴纳城市维护建设税、教育费附加和地方教育附加。</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《中华人民共和国城市维护建设税暂行条例》第二条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《国务院关于征收教育费附加的暂行规定》（国发〔</w:t>
      </w:r>
      <w:r>
        <w:rPr>
          <w:rFonts w:cs="Times New Roman"/>
          <w:color w:val="000000" w:themeColor="text1"/>
        </w:rPr>
        <w:t>1986</w:t>
      </w:r>
      <w:r>
        <w:rPr>
          <w:rFonts w:ascii="宋体" w:hAnsi="宋体" w:cs="Times New Roman"/>
          <w:color w:val="000000" w:themeColor="text1"/>
        </w:rPr>
        <w:t>〕</w:t>
      </w:r>
      <w:r>
        <w:rPr>
          <w:rFonts w:cs="Times New Roman"/>
          <w:color w:val="000000" w:themeColor="text1"/>
        </w:rPr>
        <w:t>50</w:t>
      </w:r>
      <w:r>
        <w:rPr>
          <w:rFonts w:ascii="宋体" w:hAnsi="宋体" w:cs="Times New Roman"/>
          <w:color w:val="000000" w:themeColor="text1"/>
        </w:rPr>
        <w:t>号）第二条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《财政部关于统一地方教育附加政策有关问题的通知》（财综〔</w:t>
      </w:r>
      <w:r>
        <w:rPr>
          <w:rFonts w:cs="Times New Roman"/>
          <w:color w:val="000000" w:themeColor="text1"/>
        </w:rPr>
        <w:t>2010</w:t>
      </w:r>
      <w:r>
        <w:rPr>
          <w:rFonts w:ascii="宋体" w:hAnsi="宋体" w:cs="Times New Roman"/>
          <w:color w:val="000000" w:themeColor="text1"/>
        </w:rPr>
        <w:t>〕</w:t>
      </w:r>
      <w:r>
        <w:rPr>
          <w:rFonts w:cs="Times New Roman"/>
          <w:color w:val="000000" w:themeColor="text1"/>
        </w:rPr>
        <w:t>98</w:t>
      </w:r>
      <w:r>
        <w:rPr>
          <w:rFonts w:ascii="宋体" w:hAnsi="宋体" w:cs="Times New Roman"/>
          <w:color w:val="000000" w:themeColor="text1"/>
        </w:rPr>
        <w:t>号）第一条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《城市维护建设税教育费附加地方教育附加申报表》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Calibri" w:hAnsi="Calibri" w:eastAsia="宋体" w:cs="Calibri"/>
          <w:bCs w:val="0"/>
          <w:color w:val="000000" w:themeColor="text1"/>
        </w:rPr>
      </w:pPr>
      <w:r>
        <w:rPr>
          <w:rFonts w:hint="eastAsia" w:ascii="Calibri" w:hAnsi="Calibri" w:eastAsia="宋体" w:cs="Calibri"/>
          <w:bCs w:val="0"/>
          <w:color w:val="000000" w:themeColor="text1"/>
        </w:rPr>
        <w:t>主管税务机关对外公开的联系电话，可从</w:t>
      </w:r>
      <w:r>
        <w:rPr>
          <w:rFonts w:ascii="Calibri" w:hAnsi="Calibri" w:eastAsia="宋体" w:cs="Calibri"/>
          <w:bCs w:val="0"/>
          <w:color w:val="000000" w:themeColor="text1"/>
        </w:rPr>
        <w:t>国家税务总局湖南省税务局网站</w:t>
      </w:r>
      <w:r>
        <w:rPr>
          <w:rFonts w:hint="eastAsia" w:ascii="Calibri" w:hAnsi="Calibri" w:eastAsia="宋体" w:cs="Calibri"/>
          <w:bCs w:val="0"/>
          <w:color w:val="000000" w:themeColor="text1"/>
        </w:rPr>
        <w:t>“纳税服务”栏目查询。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58"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w:t>
      </w:r>
      <w:r>
        <w:rPr>
          <w:rFonts w:hint="default" w:ascii="宋体" w:hAnsi="宋体" w:cs="Times New Roman"/>
          <w:color w:val="000000" w:themeColor="text1"/>
        </w:rPr>
        <w:t>国家税务总局湖南省税务局网站</w:t>
      </w:r>
      <w:r>
        <w:rPr>
          <w:rFonts w:ascii="宋体" w:hAnsi="宋体" w:cs="Times New Roman"/>
          <w:color w:val="000000" w:themeColor="text1"/>
        </w:rPr>
        <w:t>“下载中心”栏目查询下载或到办税服务厅领取。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纳税人跨地区提供建筑服务、销售和出租不动产的，应在建筑服务发生地、不动产所在地预缴增值税时，以预缴增值税税额为计费依据，就地缴纳教育费附加和地方教育附加。如果异地的城市维护建设税适用税率和教育费附加、地方教育附加征收率与机构所在地存在差异，无需补缴，也不能申请退抵税费。</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随增值税、消费税附征的城市维护建设税、教育费附加和地方教育附加可免于零申报。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符合税收优惠条件的纳税人，在减税、免税期间，应按规定办理纳税申报，填写申报表及其附表上的优惠栏目。</w:t>
      </w:r>
    </w:p>
    <w:p>
      <w:pPr>
        <w:pStyle w:val="31"/>
        <w:wordWrap w:val="0"/>
        <w:adjustRightInd/>
        <w:snapToGrid/>
        <w:rPr>
          <w:color w:val="000000" w:themeColor="text1"/>
        </w:rPr>
      </w:pPr>
      <w:r>
        <w:rPr>
          <w:rFonts w:hint="eastAsia"/>
          <w:color w:val="000000" w:themeColor="text1"/>
        </w:rPr>
        <w:t xml:space="preserve">【基本规范】 </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实行主税附加税合并申报。纳税人申报增值税、消费税，附征的城市维护建设税、教育费附加、地方教育附加自动计算申报，纳税人可以一次性完成主税附加税申报。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进入金三操作系统，通过申报征收岗权限，按照【申报征收】—【申报】—【附加税（费）申报】路径进入功能模块。</w:t>
      </w:r>
    </w:p>
    <w:p>
      <w:pPr>
        <w:pStyle w:val="31"/>
        <w:adjustRightInd/>
        <w:snapToGrid/>
      </w:pPr>
      <w:r>
        <w:rPr>
          <w:rFonts w:hint="eastAsia"/>
        </w:rPr>
        <w:t>【政策依据】</w:t>
      </w:r>
    </w:p>
    <w:tbl>
      <w:tblPr>
        <w:tblStyle w:val="18"/>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5838"/>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33"/>
              <w:adjustRightInd/>
              <w:snapToGrid/>
              <w:spacing w:line="276" w:lineRule="auto"/>
            </w:pPr>
            <w:r>
              <w:rPr>
                <w:rFonts w:hint="eastAsia"/>
              </w:rPr>
              <w:t>序号</w:t>
            </w:r>
          </w:p>
        </w:tc>
        <w:tc>
          <w:tcPr>
            <w:tcW w:w="5838" w:type="dxa"/>
            <w:vAlign w:val="center"/>
          </w:tcPr>
          <w:p>
            <w:pPr>
              <w:pStyle w:val="33"/>
              <w:adjustRightInd/>
              <w:snapToGrid/>
              <w:spacing w:line="276" w:lineRule="auto"/>
            </w:pPr>
            <w:r>
              <w:rPr>
                <w:rFonts w:hint="eastAsia"/>
              </w:rPr>
              <w:t>文件名称</w:t>
            </w:r>
          </w:p>
        </w:tc>
        <w:tc>
          <w:tcPr>
            <w:tcW w:w="1612"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w:t>
            </w:r>
          </w:p>
        </w:tc>
        <w:tc>
          <w:tcPr>
            <w:tcW w:w="5838" w:type="dxa"/>
            <w:vAlign w:val="center"/>
          </w:tcPr>
          <w:p>
            <w:pPr>
              <w:pStyle w:val="50"/>
              <w:adjustRightInd/>
              <w:snapToGrid/>
              <w:spacing w:line="276" w:lineRule="auto"/>
              <w:rPr>
                <w:color w:val="000000"/>
              </w:rPr>
            </w:pPr>
            <w:r>
              <w:rPr>
                <w:rFonts w:hint="eastAsia"/>
              </w:rPr>
              <w:t>《中华人民共和国税收征收管理法》</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w:t>
            </w:r>
          </w:p>
        </w:tc>
        <w:tc>
          <w:tcPr>
            <w:tcW w:w="5838" w:type="dxa"/>
            <w:vAlign w:val="center"/>
          </w:tcPr>
          <w:p>
            <w:pPr>
              <w:pStyle w:val="50"/>
              <w:adjustRightInd/>
              <w:snapToGrid/>
              <w:spacing w:line="276" w:lineRule="auto"/>
            </w:pPr>
            <w:r>
              <w:rPr>
                <w:rFonts w:hint="eastAsia"/>
              </w:rPr>
              <w:t>《中华人民共和国城市维护建设税暂行条例》</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3</w:t>
            </w:r>
          </w:p>
        </w:tc>
        <w:tc>
          <w:tcPr>
            <w:tcW w:w="5838" w:type="dxa"/>
            <w:vAlign w:val="center"/>
          </w:tcPr>
          <w:p>
            <w:pPr>
              <w:pStyle w:val="50"/>
              <w:adjustRightInd/>
              <w:snapToGrid/>
              <w:spacing w:line="276" w:lineRule="auto"/>
            </w:pPr>
            <w:r>
              <w:rPr>
                <w:rFonts w:hint="eastAsia"/>
              </w:rPr>
              <w:t>《国务院关于修改〈征收教育费附加的暂行规定〉的决定》</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4</w:t>
            </w:r>
          </w:p>
        </w:tc>
        <w:tc>
          <w:tcPr>
            <w:tcW w:w="5838" w:type="dxa"/>
            <w:vAlign w:val="center"/>
          </w:tcPr>
          <w:p>
            <w:pPr>
              <w:tabs>
                <w:tab w:val="left" w:pos="1266"/>
              </w:tabs>
              <w:adjustRightInd w:val="0"/>
              <w:snapToGrid w:val="0"/>
              <w:ind w:firstLine="420"/>
              <w:jc w:val="center"/>
              <w:rPr>
                <w:rFonts w:hint="default" w:ascii="宋体" w:hAnsi="宋体" w:cs="Times New Roman"/>
                <w:sz w:val="21"/>
                <w:szCs w:val="21"/>
              </w:rPr>
            </w:pPr>
            <w:r>
              <w:rPr>
                <w:rFonts w:ascii="宋体" w:hAnsi="宋体" w:cs="Times New Roman"/>
                <w:sz w:val="21"/>
                <w:szCs w:val="21"/>
              </w:rPr>
              <w:t>《征收教育费附加的暂行规定》（国发〔1986〕50号）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5</w:t>
            </w:r>
          </w:p>
        </w:tc>
        <w:tc>
          <w:tcPr>
            <w:tcW w:w="5838" w:type="dxa"/>
            <w:vAlign w:val="center"/>
          </w:tcPr>
          <w:p>
            <w:pPr>
              <w:tabs>
                <w:tab w:val="left" w:pos="1266"/>
              </w:tabs>
              <w:adjustRightInd w:val="0"/>
              <w:snapToGrid w:val="0"/>
              <w:ind w:firstLine="420"/>
              <w:jc w:val="center"/>
              <w:rPr>
                <w:rFonts w:hint="default" w:ascii="宋体" w:hAnsi="宋体" w:cs="Times New Roman"/>
                <w:sz w:val="21"/>
                <w:szCs w:val="21"/>
              </w:rPr>
            </w:pPr>
            <w:r>
              <w:rPr>
                <w:rFonts w:ascii="宋体" w:hAnsi="宋体" w:cs="Times New Roman"/>
                <w:sz w:val="21"/>
                <w:szCs w:val="21"/>
              </w:rPr>
              <w:t xml:space="preserve">《国务院关于教育费附加征收问题的紧急通知》（国发明电〔1994〕2号）全文  </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6</w:t>
            </w:r>
          </w:p>
        </w:tc>
        <w:tc>
          <w:tcPr>
            <w:tcW w:w="5838" w:type="dxa"/>
            <w:vAlign w:val="center"/>
          </w:tcPr>
          <w:p>
            <w:pPr>
              <w:tabs>
                <w:tab w:val="left" w:pos="1266"/>
              </w:tabs>
              <w:adjustRightInd w:val="0"/>
              <w:snapToGrid w:val="0"/>
              <w:ind w:firstLine="420"/>
              <w:jc w:val="center"/>
              <w:rPr>
                <w:rFonts w:hint="default" w:ascii="宋体" w:hAnsi="宋体" w:cs="Times New Roman"/>
                <w:sz w:val="21"/>
                <w:szCs w:val="21"/>
              </w:rPr>
            </w:pPr>
            <w:r>
              <w:rPr>
                <w:rFonts w:ascii="宋体" w:hAnsi="宋体" w:cs="Times New Roman"/>
                <w:sz w:val="21"/>
                <w:szCs w:val="21"/>
              </w:rPr>
              <w:t>《国务院关于统一内外资企业和个人城市维护建设税和教育费附加制度的通知》（国发〔2010〕35号）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7</w:t>
            </w:r>
          </w:p>
        </w:tc>
        <w:tc>
          <w:tcPr>
            <w:tcW w:w="5838" w:type="dxa"/>
            <w:vAlign w:val="center"/>
          </w:tcPr>
          <w:p>
            <w:pPr>
              <w:tabs>
                <w:tab w:val="left" w:pos="1266"/>
              </w:tabs>
              <w:adjustRightInd w:val="0"/>
              <w:snapToGrid w:val="0"/>
              <w:ind w:firstLine="420"/>
              <w:jc w:val="center"/>
              <w:rPr>
                <w:rFonts w:hint="default" w:ascii="宋体" w:hAnsi="宋体" w:cs="Times New Roman"/>
                <w:sz w:val="21"/>
                <w:szCs w:val="21"/>
              </w:rPr>
            </w:pPr>
            <w:r>
              <w:rPr>
                <w:rFonts w:ascii="宋体" w:hAnsi="宋体" w:cs="Times New Roman"/>
                <w:sz w:val="21"/>
                <w:szCs w:val="21"/>
              </w:rPr>
              <w:t>《财政部 国家税务总局关于对外资企业征收城市维护建设税和教育费附加有关问题的通知》（财税〔2010〕103号）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8</w:t>
            </w:r>
          </w:p>
        </w:tc>
        <w:tc>
          <w:tcPr>
            <w:tcW w:w="5838" w:type="dxa"/>
            <w:vAlign w:val="center"/>
          </w:tcPr>
          <w:p>
            <w:pPr>
              <w:tabs>
                <w:tab w:val="left" w:pos="1266"/>
              </w:tabs>
              <w:adjustRightInd w:val="0"/>
              <w:snapToGrid w:val="0"/>
              <w:ind w:firstLine="420"/>
              <w:jc w:val="center"/>
              <w:rPr>
                <w:rFonts w:hint="default" w:ascii="宋体" w:hAnsi="宋体" w:cs="Times New Roman"/>
                <w:sz w:val="21"/>
                <w:szCs w:val="21"/>
              </w:rPr>
            </w:pPr>
            <w:r>
              <w:rPr>
                <w:rFonts w:ascii="宋体" w:hAnsi="宋体" w:cs="Times New Roman"/>
                <w:sz w:val="21"/>
                <w:szCs w:val="21"/>
              </w:rPr>
              <w:t>《财政部 国家税务总局关于对小微企业免征有关政府性基金的通知》（财税〔2014〕122号）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9</w:t>
            </w:r>
          </w:p>
        </w:tc>
        <w:tc>
          <w:tcPr>
            <w:tcW w:w="5838" w:type="dxa"/>
            <w:vAlign w:val="center"/>
          </w:tcPr>
          <w:p>
            <w:pPr>
              <w:tabs>
                <w:tab w:val="left" w:pos="1266"/>
              </w:tabs>
              <w:adjustRightInd w:val="0"/>
              <w:snapToGrid w:val="0"/>
              <w:ind w:firstLine="420"/>
              <w:jc w:val="center"/>
              <w:rPr>
                <w:rFonts w:hint="default" w:ascii="宋体" w:hAnsi="宋体" w:cs="Times New Roman"/>
                <w:sz w:val="21"/>
                <w:szCs w:val="21"/>
              </w:rPr>
            </w:pPr>
            <w:r>
              <w:rPr>
                <w:rFonts w:ascii="宋体" w:hAnsi="宋体" w:cs="Times New Roman"/>
                <w:sz w:val="21"/>
                <w:szCs w:val="21"/>
              </w:rPr>
              <w:t>《财政部 国家税务总局关于扩大有关政府性基金免征范围的通知》（财税〔2016〕12号）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10</w:t>
            </w:r>
          </w:p>
        </w:tc>
        <w:tc>
          <w:tcPr>
            <w:tcW w:w="5838" w:type="dxa"/>
            <w:vAlign w:val="center"/>
          </w:tcPr>
          <w:p>
            <w:pPr>
              <w:pStyle w:val="50"/>
              <w:adjustRightInd/>
              <w:snapToGrid/>
              <w:spacing w:line="276" w:lineRule="auto"/>
            </w:pPr>
            <w:r>
              <w:t>《财政部 国家税务总局关于纳税人异地预缴增值税有关城市维护建设税和教育费附加政策问题的通知》（财税〔2016〕74号）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11</w:t>
            </w:r>
          </w:p>
        </w:tc>
        <w:tc>
          <w:tcPr>
            <w:tcW w:w="5838" w:type="dxa"/>
            <w:vAlign w:val="center"/>
          </w:tcPr>
          <w:p>
            <w:pPr>
              <w:pStyle w:val="50"/>
              <w:adjustRightInd/>
              <w:snapToGrid/>
              <w:spacing w:line="276" w:lineRule="auto"/>
            </w:pPr>
            <w:r>
              <w:t>《财政部 税务总局关于增值税期末留抵退税有关城市维护建设税教育费附加和地方教育附加政策的通知》（财税〔2018〕80号）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12</w:t>
            </w:r>
          </w:p>
        </w:tc>
        <w:tc>
          <w:tcPr>
            <w:tcW w:w="5838" w:type="dxa"/>
            <w:vAlign w:val="center"/>
          </w:tcPr>
          <w:p>
            <w:pPr>
              <w:pStyle w:val="50"/>
              <w:adjustRightInd/>
              <w:snapToGrid/>
              <w:spacing w:line="276" w:lineRule="auto"/>
            </w:pPr>
            <w:r>
              <w:rPr>
                <w:rFonts w:hint="eastAsia"/>
                <w:color w:val="000000"/>
              </w:rPr>
              <w:t>《财政部 税务总局关于实施小微企业普惠性税收减免政策的通知》（财税〔2019〕13号）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13</w:t>
            </w:r>
          </w:p>
        </w:tc>
        <w:tc>
          <w:tcPr>
            <w:tcW w:w="5838" w:type="dxa"/>
            <w:vAlign w:val="center"/>
          </w:tcPr>
          <w:p>
            <w:pPr>
              <w:adjustRightInd w:val="0"/>
              <w:snapToGrid w:val="0"/>
              <w:ind w:firstLine="420"/>
              <w:jc w:val="center"/>
              <w:rPr>
                <w:rFonts w:hint="default" w:ascii="宋体" w:hAnsi="宋体" w:cs="Times New Roman"/>
                <w:color w:val="000000"/>
                <w:sz w:val="21"/>
                <w:szCs w:val="21"/>
              </w:rPr>
            </w:pPr>
            <w:r>
              <w:rPr>
                <w:rFonts w:ascii="宋体" w:hAnsi="宋体" w:cs="Times New Roman"/>
                <w:color w:val="000000"/>
                <w:sz w:val="21"/>
                <w:szCs w:val="21"/>
              </w:rPr>
              <w:t>《财政部关于调整部分政府性基金有关政策的通知》（财税〔2019〕46号）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14</w:t>
            </w:r>
          </w:p>
        </w:tc>
        <w:tc>
          <w:tcPr>
            <w:tcW w:w="5838" w:type="dxa"/>
            <w:vAlign w:val="center"/>
          </w:tcPr>
          <w:p>
            <w:pPr>
              <w:adjustRightInd w:val="0"/>
              <w:snapToGrid w:val="0"/>
              <w:ind w:firstLine="420"/>
              <w:jc w:val="center"/>
              <w:rPr>
                <w:rFonts w:hint="default" w:ascii="宋体" w:hAnsi="宋体" w:cs="Times New Roman"/>
                <w:color w:val="000000"/>
                <w:sz w:val="21"/>
                <w:szCs w:val="21"/>
              </w:rPr>
            </w:pPr>
            <w:r>
              <w:rPr>
                <w:rFonts w:ascii="宋体" w:hAnsi="宋体" w:cs="Times New Roman"/>
                <w:color w:val="000000"/>
                <w:sz w:val="21"/>
                <w:szCs w:val="21"/>
              </w:rPr>
              <w:t>《财政部 国家税务总局关于对从事生产卷烟的单位征收教育费附加有关问题的通知》（财综明电〔2005〕1号）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15</w:t>
            </w:r>
          </w:p>
        </w:tc>
        <w:tc>
          <w:tcPr>
            <w:tcW w:w="5838" w:type="dxa"/>
            <w:vAlign w:val="center"/>
          </w:tcPr>
          <w:p>
            <w:pPr>
              <w:adjustRightInd w:val="0"/>
              <w:snapToGrid w:val="0"/>
              <w:ind w:firstLine="420"/>
              <w:jc w:val="center"/>
              <w:rPr>
                <w:rFonts w:hint="default" w:ascii="宋体" w:hAnsi="宋体" w:cs="Times New Roman"/>
                <w:color w:val="000000"/>
                <w:sz w:val="21"/>
                <w:szCs w:val="21"/>
              </w:rPr>
            </w:pPr>
            <w:r>
              <w:rPr>
                <w:rFonts w:ascii="宋体" w:hAnsi="宋体" w:cs="Times New Roman"/>
                <w:color w:val="000000"/>
                <w:sz w:val="21"/>
                <w:szCs w:val="21"/>
              </w:rPr>
              <w:t>《财政部关于统一地方教育附加政策有关问题的通知》（财综〔2010〕98号）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16</w:t>
            </w:r>
          </w:p>
        </w:tc>
        <w:tc>
          <w:tcPr>
            <w:tcW w:w="5838" w:type="dxa"/>
            <w:vAlign w:val="center"/>
          </w:tcPr>
          <w:p>
            <w:pPr>
              <w:pStyle w:val="50"/>
              <w:adjustRightInd/>
              <w:snapToGrid/>
              <w:spacing w:line="276" w:lineRule="auto"/>
            </w:pPr>
            <w:r>
              <w:t>《国家税务总局关于中外合作开采石油资源适用城市维护建设税教育费附加有关事宜的公告》（国家税务总局公告2010年第31号）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17</w:t>
            </w:r>
          </w:p>
        </w:tc>
        <w:tc>
          <w:tcPr>
            <w:tcW w:w="5838" w:type="dxa"/>
            <w:vAlign w:val="center"/>
          </w:tcPr>
          <w:p>
            <w:pPr>
              <w:pStyle w:val="50"/>
              <w:adjustRightInd/>
              <w:snapToGrid/>
              <w:spacing w:line="276" w:lineRule="auto"/>
            </w:pPr>
            <w:r>
              <w:t>《国家税务总局关于实施〈税收票证管理办法〉若干问题的公告》（国家税务总局公告2013年第34号）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18</w:t>
            </w:r>
          </w:p>
        </w:tc>
        <w:tc>
          <w:tcPr>
            <w:tcW w:w="5838" w:type="dxa"/>
            <w:vAlign w:val="center"/>
          </w:tcPr>
          <w:p>
            <w:pPr>
              <w:pStyle w:val="50"/>
              <w:adjustRightInd/>
              <w:snapToGrid/>
              <w:spacing w:line="276" w:lineRule="auto"/>
            </w:pPr>
            <w:r>
              <w:rPr>
                <w:rFonts w:hint="eastAsia"/>
              </w:rPr>
              <w:t>《国家税务总局关于合理简并纳税人申报缴税次数的公告》（国家税务总局公告</w:t>
            </w:r>
            <w:r>
              <w:t>2016</w:t>
            </w:r>
            <w:r>
              <w:rPr>
                <w:rFonts w:hint="eastAsia"/>
              </w:rPr>
              <w:t>年第</w:t>
            </w:r>
            <w:r>
              <w:t>6</w:t>
            </w:r>
            <w:r>
              <w:rPr>
                <w:rFonts w:hint="eastAsia"/>
              </w:rPr>
              <w:t>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19</w:t>
            </w:r>
          </w:p>
        </w:tc>
        <w:tc>
          <w:tcPr>
            <w:tcW w:w="5838" w:type="dxa"/>
            <w:vAlign w:val="center"/>
          </w:tcPr>
          <w:p>
            <w:pPr>
              <w:pStyle w:val="50"/>
              <w:adjustRightInd/>
              <w:snapToGrid/>
              <w:spacing w:line="276" w:lineRule="auto"/>
            </w:pPr>
            <w:r>
              <w:t>《国家税务总局关于发布&lt;办税事项“最多跑一次”清单&gt;的公告》（国家税务总局公告2018年第12号）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20</w:t>
            </w:r>
          </w:p>
        </w:tc>
        <w:tc>
          <w:tcPr>
            <w:tcW w:w="5838" w:type="dxa"/>
            <w:vAlign w:val="center"/>
          </w:tcPr>
          <w:p>
            <w:pPr>
              <w:pStyle w:val="50"/>
              <w:adjustRightInd/>
              <w:snapToGrid/>
              <w:spacing w:line="276" w:lineRule="auto"/>
            </w:pPr>
            <w:r>
              <w:rPr>
                <w:rFonts w:hint="eastAsia"/>
              </w:rPr>
              <w:t>《国家税务总局关于增值税小规模纳税人地方税种和相关附加减征政策有关征管问题的公告》（国家税务总局公告2019年第5号）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21</w:t>
            </w:r>
          </w:p>
        </w:tc>
        <w:tc>
          <w:tcPr>
            <w:tcW w:w="5838" w:type="dxa"/>
            <w:vAlign w:val="center"/>
          </w:tcPr>
          <w:p>
            <w:pPr>
              <w:pStyle w:val="50"/>
              <w:adjustRightInd/>
              <w:snapToGrid/>
              <w:spacing w:line="276" w:lineRule="auto"/>
            </w:pPr>
            <w:r>
              <w:rPr>
                <w:rFonts w:hint="eastAsia"/>
              </w:rPr>
              <w:t>《国家税务总局关于调整部分政府性基金有关征管事项的公告》（国家税务总局公告2019年第24号）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22</w:t>
            </w:r>
          </w:p>
        </w:tc>
        <w:tc>
          <w:tcPr>
            <w:tcW w:w="5838" w:type="dxa"/>
            <w:vAlign w:val="center"/>
          </w:tcPr>
          <w:p>
            <w:pPr>
              <w:pStyle w:val="50"/>
              <w:adjustRightInd/>
              <w:snapToGrid/>
              <w:spacing w:line="276" w:lineRule="auto"/>
              <w:rPr>
                <w:color w:val="000000"/>
              </w:rPr>
            </w:pPr>
            <w:r>
              <w:rPr>
                <w:rFonts w:hint="eastAsia"/>
              </w:rPr>
              <w:t>《国家税务总局关于创新税收服务和管理的意见》（税总发〔2014〕85号）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23</w:t>
            </w:r>
          </w:p>
        </w:tc>
        <w:tc>
          <w:tcPr>
            <w:tcW w:w="5838" w:type="dxa"/>
            <w:vAlign w:val="center"/>
          </w:tcPr>
          <w:p>
            <w:pPr>
              <w:pStyle w:val="50"/>
              <w:adjustRightInd/>
              <w:snapToGrid/>
              <w:spacing w:line="276" w:lineRule="auto"/>
            </w:pPr>
            <w:r>
              <w:rPr>
                <w:rFonts w:hint="eastAsia"/>
              </w:rPr>
              <w:t>《国家税务总局关于加快推行办税事项同城通办的通知》（税总发〔2016〕46号）</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24</w:t>
            </w:r>
          </w:p>
        </w:tc>
        <w:tc>
          <w:tcPr>
            <w:tcW w:w="5838" w:type="dxa"/>
            <w:vAlign w:val="center"/>
          </w:tcPr>
          <w:p>
            <w:pPr>
              <w:pStyle w:val="50"/>
              <w:adjustRightInd/>
              <w:snapToGrid/>
              <w:spacing w:line="276" w:lineRule="auto"/>
              <w:rPr>
                <w:color w:val="00B0F0"/>
              </w:rPr>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1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25</w:t>
            </w:r>
          </w:p>
        </w:tc>
        <w:tc>
          <w:tcPr>
            <w:tcW w:w="5838" w:type="dxa"/>
            <w:vAlign w:val="center"/>
          </w:tcPr>
          <w:p>
            <w:pPr>
              <w:pStyle w:val="50"/>
              <w:adjustRightInd/>
              <w:snapToGrid/>
              <w:spacing w:line="276" w:lineRule="auto"/>
              <w:rPr>
                <w:color w:val="000000"/>
              </w:rPr>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12"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0" w:type="dxa"/>
            <w:vAlign w:val="center"/>
          </w:tcPr>
          <w:p>
            <w:pPr>
              <w:pStyle w:val="50"/>
              <w:adjustRightInd/>
              <w:snapToGrid/>
              <w:spacing w:line="276" w:lineRule="auto"/>
            </w:pPr>
            <w:r>
              <w:rPr>
                <w:rFonts w:hint="eastAsia"/>
              </w:rPr>
              <w:t>26</w:t>
            </w:r>
          </w:p>
        </w:tc>
        <w:tc>
          <w:tcPr>
            <w:tcW w:w="5838"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12"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188" w:name="_Toc18096160"/>
      <w:bookmarkStart w:id="189" w:name="_Toc2037"/>
      <w:r>
        <w:rPr>
          <w:rFonts w:hint="eastAsia"/>
          <w:color w:val="000000" w:themeColor="text1"/>
        </w:rPr>
        <w:t>3.17　　定期定额户申报</w:t>
      </w:r>
      <w:bookmarkEnd w:id="188"/>
      <w:bookmarkEnd w:id="189"/>
    </w:p>
    <w:p>
      <w:pPr>
        <w:pStyle w:val="30"/>
        <w:wordWrap w:val="0"/>
        <w:topLinePunct w:val="0"/>
        <w:spacing w:before="312" w:after="312"/>
        <w:rPr>
          <w:color w:val="000000" w:themeColor="text1"/>
        </w:rPr>
      </w:pPr>
      <w:bookmarkStart w:id="190" w:name="_Toc7313"/>
      <w:bookmarkStart w:id="191" w:name="_Toc18096161"/>
      <w:bookmarkStart w:id="192" w:name="_Toc459387088"/>
      <w:bookmarkStart w:id="193" w:name="_Toc459987249"/>
      <w:bookmarkStart w:id="194" w:name="_Toc459388268"/>
      <w:r>
        <w:rPr>
          <w:rFonts w:hint="eastAsia"/>
          <w:color w:val="000000" w:themeColor="text1"/>
        </w:rPr>
        <w:t>3.17.1—09</w:t>
      </w:r>
      <w:r>
        <w:rPr>
          <w:color w:val="000000" w:themeColor="text1"/>
        </w:rPr>
        <w:t>9</w:t>
      </w:r>
      <w:r>
        <w:rPr>
          <w:rFonts w:hint="eastAsia"/>
          <w:color w:val="000000" w:themeColor="text1"/>
        </w:rPr>
        <w:t>　</w:t>
      </w:r>
      <w:r>
        <w:rPr>
          <w:color w:val="000000" w:themeColor="text1"/>
        </w:rPr>
        <w:t>　</w:t>
      </w:r>
      <w:r>
        <w:rPr>
          <w:rFonts w:hint="eastAsia"/>
          <w:color w:val="000000" w:themeColor="text1"/>
        </w:rPr>
        <w:t>定期定额户自行申报</w:t>
      </w:r>
      <w:bookmarkEnd w:id="190"/>
      <w:bookmarkEnd w:id="191"/>
    </w:p>
    <w:bookmarkEnd w:id="192"/>
    <w:bookmarkEnd w:id="193"/>
    <w:bookmarkEnd w:id="194"/>
    <w:p>
      <w:pPr>
        <w:pStyle w:val="31"/>
        <w:wordWrap w:val="0"/>
        <w:adjustRightInd/>
        <w:snapToGrid/>
        <w:rPr>
          <w:color w:val="000000" w:themeColor="text1"/>
        </w:rPr>
      </w:pPr>
      <w:r>
        <w:rPr>
          <w:rFonts w:hint="eastAsia"/>
          <w:color w:val="000000" w:themeColor="text1"/>
        </w:rPr>
        <w:t>【事项名称】</w:t>
      </w:r>
    </w:p>
    <w:p>
      <w:pPr>
        <w:pStyle w:val="36"/>
        <w:wordWrap w:val="0"/>
        <w:adjustRightInd/>
        <w:snapToGrid/>
        <w:ind w:left="0" w:firstLine="480"/>
        <w:rPr>
          <w:rFonts w:eastAsia="宋体"/>
          <w:color w:val="000000" w:themeColor="text1"/>
        </w:rPr>
      </w:pPr>
      <w:r>
        <w:rPr>
          <w:rFonts w:eastAsia="宋体"/>
          <w:color w:val="000000" w:themeColor="text1"/>
        </w:rPr>
        <w:t>定期定额户自行申报</w:t>
      </w:r>
    </w:p>
    <w:p>
      <w:pPr>
        <w:pStyle w:val="31"/>
        <w:wordWrap w:val="0"/>
        <w:adjustRightInd/>
        <w:snapToGrid/>
        <w:rPr>
          <w:color w:val="000000" w:themeColor="text1"/>
        </w:rPr>
      </w:pPr>
      <w:r>
        <w:rPr>
          <w:rFonts w:hint="eastAsia"/>
          <w:color w:val="000000" w:themeColor="text1"/>
        </w:rPr>
        <w:t>【业务描述】</w:t>
      </w:r>
    </w:p>
    <w:p>
      <w:pPr>
        <w:pStyle w:val="16"/>
        <w:tabs>
          <w:tab w:val="right" w:leader="dot" w:pos="8278"/>
        </w:tabs>
        <w:spacing w:beforeLines="0" w:afterLines="0"/>
        <w:rPr>
          <w:color w:val="000000" w:themeColor="text1"/>
        </w:rPr>
      </w:pPr>
      <w:r>
        <w:rPr>
          <w:rFonts w:cs="Times New Roman"/>
          <w:color w:val="000000" w:themeColor="text1"/>
          <w:kern w:val="2"/>
        </w:rPr>
        <w:t>实行定期定额征税的个体工商户依照税收法律法规及相关规定确定的申报期限、申报内容，</w:t>
      </w:r>
      <w:r>
        <w:rPr>
          <w:rFonts w:hint="eastAsia" w:cs="Times New Roman"/>
          <w:color w:val="000000" w:themeColor="text1"/>
          <w:kern w:val="2"/>
        </w:rPr>
        <w:t>填报《定期定额纳税申报表》及其他相关资料，</w:t>
      </w:r>
      <w:r>
        <w:rPr>
          <w:rFonts w:cs="Times New Roman"/>
          <w:color w:val="000000" w:themeColor="text1"/>
          <w:kern w:val="2"/>
        </w:rPr>
        <w:t>向</w:t>
      </w:r>
      <w:r>
        <w:rPr>
          <w:rFonts w:hint="eastAsia" w:cs="Times New Roman"/>
          <w:color w:val="000000" w:themeColor="text1"/>
          <w:kern w:val="2"/>
        </w:rPr>
        <w:t>主管</w:t>
      </w:r>
      <w:r>
        <w:rPr>
          <w:rFonts w:cs="Times New Roman"/>
          <w:color w:val="000000" w:themeColor="text1"/>
          <w:kern w:val="2"/>
        </w:rPr>
        <w:t>税务机关</w:t>
      </w:r>
      <w:r>
        <w:rPr>
          <w:rFonts w:hint="eastAsia" w:cs="Times New Roman"/>
          <w:color w:val="000000" w:themeColor="text1"/>
          <w:kern w:val="2"/>
        </w:rPr>
        <w:t>进行纳税申报</w:t>
      </w:r>
      <w:r>
        <w:rPr>
          <w:rFonts w:cs="Times New Roman"/>
          <w:color w:val="000000" w:themeColor="text1"/>
          <w:kern w:val="2"/>
        </w:rPr>
        <w:t>。</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01"/>
        <w:gridCol w:w="2835"/>
        <w:gridCol w:w="680"/>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《定期定额纳税申报表》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2"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835" w:type="dxa"/>
            <w:tcBorders>
              <w:left w:val="single" w:color="auto" w:sz="4" w:space="0"/>
              <w:right w:val="single" w:color="auto" w:sz="4" w:space="0"/>
            </w:tcBorders>
            <w:shd w:val="clear" w:color="auto" w:fill="D9D9D9"/>
            <w:vAlign w:val="center"/>
          </w:tcPr>
          <w:p>
            <w:pPr>
              <w:pStyle w:val="16"/>
              <w:spacing w:beforeLines="0" w:afterLines="0" w:line="240" w:lineRule="auto"/>
              <w:ind w:firstLine="0" w:firstLineChars="0"/>
              <w:jc w:val="center"/>
              <w:rPr>
                <w:rFonts w:ascii="黑体" w:hAnsi="黑体" w:eastAsia="黑体" w:cs="Times New Roman"/>
                <w:color w:val="000000" w:themeColor="text1"/>
                <w:kern w:val="2"/>
                <w:sz w:val="21"/>
                <w:szCs w:val="21"/>
              </w:rPr>
            </w:pPr>
            <w:r>
              <w:rPr>
                <w:rFonts w:hint="eastAsia" w:ascii="黑体" w:hAnsi="黑体" w:eastAsia="黑体" w:cs="Times New Roman"/>
                <w:color w:val="000000" w:themeColor="text1"/>
                <w:kern w:val="2"/>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7" w:type="dxa"/>
            <w:tcBorders>
              <w:top w:val="single" w:color="auto" w:sz="4" w:space="0"/>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left w:val="single" w:color="auto" w:sz="4" w:space="0"/>
              <w:right w:val="single" w:color="auto" w:sz="4" w:space="0"/>
            </w:tcBorders>
            <w:vAlign w:val="center"/>
          </w:tcPr>
          <w:p>
            <w:pPr>
              <w:pStyle w:val="16"/>
              <w:spacing w:beforeLines="0" w:afterLines="0" w:line="240" w:lineRule="auto"/>
              <w:ind w:firstLine="0" w:firstLineChars="0"/>
              <w:jc w:val="center"/>
              <w:rPr>
                <w:rFonts w:ascii="黑体" w:hAnsi="黑体" w:eastAsia="黑体" w:cs="Times New Roman"/>
                <w:color w:val="000000" w:themeColor="text1"/>
                <w:kern w:val="2"/>
                <w:sz w:val="18"/>
                <w:szCs w:val="18"/>
              </w:rPr>
            </w:pPr>
            <w:r>
              <w:rPr>
                <w:rFonts w:ascii="黑体" w:hAnsi="黑体" w:eastAsia="黑体" w:cs="Times New Roman"/>
                <w:color w:val="000000" w:themeColor="text1"/>
                <w:kern w:val="2"/>
                <w:sz w:val="18"/>
                <w:szCs w:val="18"/>
              </w:rPr>
              <w:t>税控收款机的纳税人</w:t>
            </w:r>
          </w:p>
        </w:tc>
        <w:tc>
          <w:tcPr>
            <w:tcW w:w="2835" w:type="dxa"/>
            <w:tcBorders>
              <w:left w:val="single" w:color="auto" w:sz="4" w:space="0"/>
              <w:right w:val="single" w:color="auto" w:sz="4" w:space="0"/>
            </w:tcBorders>
            <w:vAlign w:val="center"/>
          </w:tcPr>
          <w:p>
            <w:pPr>
              <w:pStyle w:val="16"/>
              <w:spacing w:beforeLines="0" w:afterLines="0" w:line="240" w:lineRule="auto"/>
              <w:ind w:firstLine="0" w:firstLineChars="0"/>
              <w:jc w:val="center"/>
              <w:rPr>
                <w:color w:val="000000" w:themeColor="text1"/>
              </w:rPr>
            </w:pPr>
            <w:r>
              <w:rPr>
                <w:rFonts w:ascii="黑体" w:hAnsi="黑体" w:eastAsia="黑体" w:cs="Times New Roman"/>
                <w:color w:val="000000" w:themeColor="text1"/>
                <w:kern w:val="2"/>
                <w:sz w:val="18"/>
                <w:szCs w:val="18"/>
              </w:rPr>
              <w:t>税控收款机用户卡</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jc w:val="both"/>
              <w:rPr>
                <w:rFonts w:ascii="仿宋" w:hAnsi="仿宋" w:eastAsia="仿宋"/>
                <w:color w:val="000000" w:themeColor="text1"/>
              </w:rPr>
            </w:pPr>
          </w:p>
        </w:tc>
        <w:tc>
          <w:tcPr>
            <w:tcW w:w="2267"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jc w:val="both"/>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可通过办税服务厅（场所）、国家税务总局湖南省电子税务局（https://etax.hunan.chinatax.gov.cn）办理，</w:t>
      </w:r>
      <w:r>
        <w:rPr>
          <w:rFonts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184140" cy="1765935"/>
            <wp:effectExtent l="0" t="0" r="10160" b="0"/>
            <wp:docPr id="35"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35"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定期定额户出现不适用简易申报、因未签署三方协议不能简易申报、简易申报失败后由纳税人自行申报、未达起征点双定户达到起征点后申报、超定额申报等情形时，应按照税收法律法规及相关规定，向税务机关办理申报纳税手续。</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定期定额户应当自行申报经营情况，对未按照规定期限自行申报的，税务机关可以不经过自行申报程序，按照《个体工商户税收定期定额征收管理办法》（国家税务总局令第</w:t>
      </w:r>
      <w:r>
        <w:rPr>
          <w:rFonts w:cs="Times New Roman"/>
          <w:color w:val="000000" w:themeColor="text1"/>
        </w:rPr>
        <w:t>16</w:t>
      </w:r>
      <w:r>
        <w:rPr>
          <w:rFonts w:ascii="宋体" w:hAnsi="宋体" w:cs="Times New Roman"/>
          <w:color w:val="000000" w:themeColor="text1"/>
        </w:rPr>
        <w:t>号公布，国家税务总局令第</w:t>
      </w:r>
      <w:r>
        <w:rPr>
          <w:rFonts w:cs="Times New Roman"/>
          <w:color w:val="000000" w:themeColor="text1"/>
        </w:rPr>
        <w:t>44</w:t>
      </w:r>
      <w:r>
        <w:rPr>
          <w:rFonts w:ascii="宋体" w:hAnsi="宋体" w:cs="Times New Roman"/>
          <w:color w:val="000000" w:themeColor="text1"/>
        </w:rPr>
        <w:t>号修改）第七条规定的方法核定其定额。</w:t>
      </w:r>
    </w:p>
    <w:p>
      <w:pPr>
        <w:pStyle w:val="16"/>
        <w:spacing w:beforeLines="0" w:afterLines="0"/>
        <w:rPr>
          <w:rFonts w:cs="Times New Roman"/>
          <w:color w:val="000000" w:themeColor="text1"/>
          <w:kern w:val="2"/>
        </w:rPr>
      </w:pPr>
      <w:r>
        <w:rPr>
          <w:rFonts w:hint="eastAsia" w:ascii="Times New Roman" w:hAnsi="Times New Roman" w:cs="Times New Roman"/>
          <w:color w:val="000000" w:themeColor="text1"/>
          <w:kern w:val="2"/>
        </w:rPr>
        <w:t>7.</w:t>
      </w:r>
      <w:r>
        <w:rPr>
          <w:rFonts w:hint="eastAsia" w:cs="Times New Roman"/>
          <w:color w:val="000000" w:themeColor="text1"/>
          <w:kern w:val="2"/>
        </w:rPr>
        <w:t>定期定额个体工商户的</w:t>
      </w:r>
      <w:r>
        <w:rPr>
          <w:rFonts w:cs="Times New Roman"/>
          <w:color w:val="000000" w:themeColor="text1"/>
          <w:kern w:val="2"/>
        </w:rPr>
        <w:t>定额与发票开具金额或税控收款机记录数据比对后，超过定额的经营额、所得额</w:t>
      </w:r>
      <w:r>
        <w:rPr>
          <w:rFonts w:hint="eastAsia" w:cs="Times New Roman"/>
          <w:color w:val="000000" w:themeColor="text1"/>
          <w:kern w:val="2"/>
        </w:rPr>
        <w:t>所</w:t>
      </w:r>
      <w:r>
        <w:rPr>
          <w:rFonts w:cs="Times New Roman"/>
          <w:color w:val="000000" w:themeColor="text1"/>
          <w:kern w:val="2"/>
        </w:rPr>
        <w:t>应缴纳</w:t>
      </w:r>
      <w:r>
        <w:rPr>
          <w:rFonts w:hint="eastAsia" w:cs="Times New Roman"/>
          <w:color w:val="000000" w:themeColor="text1"/>
          <w:kern w:val="2"/>
        </w:rPr>
        <w:t>的</w:t>
      </w:r>
      <w:r>
        <w:rPr>
          <w:rFonts w:cs="Times New Roman"/>
          <w:color w:val="000000" w:themeColor="text1"/>
          <w:kern w:val="2"/>
        </w:rPr>
        <w:t>税款；在税务机关核定定额的经营地点以外从事经营活动所应缴纳的税款</w:t>
      </w:r>
      <w:r>
        <w:rPr>
          <w:rFonts w:hint="eastAsia" w:cs="Times New Roman"/>
          <w:color w:val="000000" w:themeColor="text1"/>
          <w:kern w:val="2"/>
        </w:rPr>
        <w:t>，</w:t>
      </w:r>
      <w:r>
        <w:rPr>
          <w:rFonts w:cs="Times New Roman"/>
          <w:color w:val="000000" w:themeColor="text1"/>
          <w:kern w:val="2"/>
        </w:rPr>
        <w:t>应当向税务机关办理相关纳税事宜。</w:t>
      </w:r>
    </w:p>
    <w:p>
      <w:pPr>
        <w:pStyle w:val="16"/>
        <w:spacing w:beforeLines="0" w:afterLines="0"/>
        <w:rPr>
          <w:rFonts w:cs="Times New Roman"/>
          <w:color w:val="000000" w:themeColor="text1"/>
          <w:kern w:val="2"/>
        </w:rPr>
      </w:pPr>
      <w:r>
        <w:rPr>
          <w:rFonts w:hint="eastAsia" w:ascii="Times New Roman" w:hAnsi="Times New Roman" w:cs="Times New Roman"/>
          <w:color w:val="000000" w:themeColor="text1"/>
          <w:kern w:val="2"/>
        </w:rPr>
        <w:t>8.</w:t>
      </w:r>
      <w:r>
        <w:rPr>
          <w:rFonts w:cs="Times New Roman"/>
          <w:color w:val="000000" w:themeColor="text1"/>
          <w:kern w:val="2"/>
        </w:rPr>
        <w:t>对实行简并征期的定期定额户，其按照定额所应缴纳的税款在规定的期限内申报纳税不加收滞纳金。</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定期定额户当期发生的经营额、所得额超过定额一定幅度的，应当在法律、行政法规规定的申报期限内向税务机关进行申报并缴清税款。</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cs="Times New Roman"/>
          <w:color w:val="000000" w:themeColor="text1"/>
        </w:rPr>
      </w:pPr>
      <w:r>
        <w:rPr>
          <w:rFonts w:cs="Times New Roman"/>
          <w:color w:val="000000" w:themeColor="text1"/>
        </w:rPr>
        <w:t>探索对特定规模以下个体工商户实行综合征收率，推动取消个体工商户定期定额征收制度。</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进入金三操作系统，通过申报征收岗权限，按照【申报征收】—【申报】—【定期定额申报】—【定期定额户自行申报】的路径进入功能模块。</w:t>
      </w:r>
    </w:p>
    <w:p>
      <w:pPr>
        <w:wordWrap w:val="0"/>
        <w:spacing w:line="360" w:lineRule="auto"/>
        <w:ind w:firstLine="480"/>
        <w:rPr>
          <w:rFonts w:hint="default" w:cs="Times New Roman"/>
          <w:color w:val="000000" w:themeColor="text1"/>
        </w:rPr>
      </w:pPr>
      <w:r>
        <w:rPr>
          <w:rFonts w:cs="Times New Roman"/>
          <w:color w:val="000000" w:themeColor="text1"/>
        </w:rPr>
        <w:t>2.提示事项</w:t>
      </w:r>
    </w:p>
    <w:p>
      <w:pPr>
        <w:wordWrap w:val="0"/>
        <w:spacing w:line="360" w:lineRule="auto"/>
        <w:ind w:firstLine="480"/>
        <w:rPr>
          <w:rFonts w:hint="default" w:cs="Times New Roman"/>
          <w:color w:val="000000" w:themeColor="text1"/>
        </w:rPr>
      </w:pPr>
      <w:r>
        <w:rPr>
          <w:rFonts w:cs="Times New Roman"/>
          <w:color w:val="000000" w:themeColor="text1"/>
        </w:rPr>
        <w:t>纳税人当期实际营业额超出定额时，应直接修改计税依据进行申报。</w:t>
      </w:r>
    </w:p>
    <w:p>
      <w:pPr>
        <w:pStyle w:val="31"/>
        <w:wordWrap w:val="0"/>
        <w:adjustRightInd/>
        <w:snapToGrid/>
        <w:rPr>
          <w:color w:val="000000" w:themeColor="text1"/>
        </w:rPr>
      </w:pPr>
      <w:r>
        <w:rPr>
          <w:rFonts w:hint="eastAsia"/>
          <w:color w:val="000000" w:themeColor="text1"/>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855" w:type="dxa"/>
            <w:vAlign w:val="center"/>
          </w:tcPr>
          <w:p>
            <w:pPr>
              <w:pStyle w:val="50"/>
              <w:adjustRightInd/>
              <w:snapToGrid/>
              <w:spacing w:line="276" w:lineRule="auto"/>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pPr>
            <w:r>
              <w:t>《中华人民共和国消费税暂行条例》</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pPr>
            <w:r>
              <w:t>《中华人民共和国消费税暂行条例实施细则》（财政部</w:t>
            </w:r>
            <w:r>
              <w:rPr>
                <w:rFonts w:hint="eastAsia"/>
              </w:rPr>
              <w:t xml:space="preserve"> </w:t>
            </w:r>
            <w:r>
              <w:t>国家税务总局令第51号）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855" w:type="dxa"/>
            <w:vAlign w:val="center"/>
          </w:tcPr>
          <w:p>
            <w:pPr>
              <w:pStyle w:val="50"/>
              <w:adjustRightInd/>
              <w:snapToGrid/>
              <w:spacing w:line="276" w:lineRule="auto"/>
            </w:pPr>
            <w:r>
              <w:rPr>
                <w:rFonts w:hint="eastAsia"/>
              </w:rPr>
              <w:t>《中华人民共和国增值税暂行条例实施细则》（财政部令第</w:t>
            </w:r>
            <w:r>
              <w:t>50</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855" w:type="dxa"/>
            <w:vAlign w:val="center"/>
          </w:tcPr>
          <w:p>
            <w:pPr>
              <w:pStyle w:val="50"/>
              <w:adjustRightInd/>
              <w:snapToGrid/>
              <w:spacing w:line="276" w:lineRule="auto"/>
            </w:pPr>
            <w:r>
              <w:rPr>
                <w:rFonts w:hint="eastAsia"/>
              </w:rPr>
              <w:t>《个体工商户税收定期定额征收管理办法》（国家税务总局令第</w:t>
            </w:r>
            <w:r>
              <w:t>16</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855" w:type="dxa"/>
            <w:vAlign w:val="center"/>
          </w:tcPr>
          <w:p>
            <w:pPr>
              <w:pStyle w:val="50"/>
              <w:adjustRightInd/>
              <w:snapToGrid/>
              <w:spacing w:line="276" w:lineRule="auto"/>
            </w:pPr>
            <w:r>
              <w:rPr>
                <w:rFonts w:hint="eastAsia"/>
              </w:rPr>
              <w:t>《税收票证管理办法》（国家税务总局令第28号）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855" w:type="dxa"/>
            <w:vAlign w:val="center"/>
          </w:tcPr>
          <w:p>
            <w:pPr>
              <w:pStyle w:val="50"/>
              <w:adjustRightInd/>
              <w:snapToGrid/>
              <w:spacing w:line="276" w:lineRule="auto"/>
            </w:pPr>
            <w:r>
              <w:t>《国家税务总局关于实施〈税收票证管理办法〉若干问题的公告》（国家税务总局公告2013年第34号）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855" w:type="dxa"/>
            <w:vAlign w:val="center"/>
          </w:tcPr>
          <w:p>
            <w:pPr>
              <w:pStyle w:val="50"/>
              <w:adjustRightInd/>
              <w:snapToGrid/>
              <w:spacing w:line="276" w:lineRule="auto"/>
            </w:pPr>
            <w:r>
              <w:rPr>
                <w:rFonts w:hint="eastAsia"/>
              </w:rPr>
              <w:t>《国家税务总局关于合理简并纳税人申报缴税次数的公告》（国家税务总局公告</w:t>
            </w:r>
            <w:r>
              <w:t>2016</w:t>
            </w:r>
            <w:r>
              <w:rPr>
                <w:rFonts w:hint="eastAsia"/>
              </w:rPr>
              <w:t>年第</w:t>
            </w:r>
            <w:r>
              <w:t>6</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855"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855" w:type="dxa"/>
            <w:vAlign w:val="center"/>
          </w:tcPr>
          <w:p>
            <w:pPr>
              <w:pStyle w:val="50"/>
              <w:adjustRightInd/>
              <w:snapToGrid/>
              <w:spacing w:line="276" w:lineRule="auto"/>
            </w:pPr>
            <w:r>
              <w:rPr>
                <w:rFonts w:hint="eastAsia"/>
              </w:rPr>
              <w:t>《国家税务总局关于个体工商户定期定额征收管理有关问题的通知》（国税发〔2006〕183号）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855" w:type="dxa"/>
            <w:vAlign w:val="center"/>
          </w:tcPr>
          <w:p>
            <w:pPr>
              <w:pStyle w:val="50"/>
              <w:adjustRightInd/>
              <w:snapToGrid/>
              <w:spacing w:line="276" w:lineRule="auto"/>
            </w:pPr>
            <w:r>
              <w:rPr>
                <w:rFonts w:hint="eastAsia"/>
              </w:rPr>
              <w:t>《国家税务总局关于创新税收服务和管理的意见》（税总发〔</w:t>
            </w:r>
            <w:r>
              <w:t>2014</w:t>
            </w:r>
            <w:r>
              <w:rPr>
                <w:rFonts w:hint="eastAsia"/>
              </w:rPr>
              <w:t>〕</w:t>
            </w:r>
            <w:r>
              <w:t>85</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855"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95"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855"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95"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855"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95" w:type="dxa"/>
            <w:vAlign w:val="center"/>
          </w:tcPr>
          <w:p>
            <w:pPr>
              <w:pStyle w:val="50"/>
              <w:adjustRightInd/>
              <w:snapToGrid/>
              <w:spacing w:line="276" w:lineRule="auto"/>
            </w:pPr>
            <w:r>
              <w:rPr>
                <w:rFonts w:hint="eastAsia"/>
              </w:rPr>
              <w:t>依申请公开</w:t>
            </w:r>
          </w:p>
        </w:tc>
      </w:tr>
    </w:tbl>
    <w:p>
      <w:pPr>
        <w:pStyle w:val="30"/>
        <w:wordWrap w:val="0"/>
        <w:topLinePunct w:val="0"/>
        <w:spacing w:before="312" w:after="312"/>
        <w:rPr>
          <w:color w:val="000000" w:themeColor="text1"/>
        </w:rPr>
      </w:pPr>
      <w:bookmarkStart w:id="195" w:name="_Toc8178"/>
      <w:bookmarkStart w:id="196" w:name="_Toc18096162"/>
      <w:r>
        <w:rPr>
          <w:rFonts w:hint="eastAsia"/>
          <w:color w:val="000000" w:themeColor="text1"/>
        </w:rPr>
        <w:t>3.17.2—</w:t>
      </w:r>
      <w:r>
        <w:rPr>
          <w:color w:val="000000" w:themeColor="text1"/>
        </w:rPr>
        <w:t>100</w:t>
      </w:r>
      <w:r>
        <w:rPr>
          <w:rFonts w:hint="eastAsia"/>
          <w:color w:val="000000" w:themeColor="text1"/>
        </w:rPr>
        <w:t>　</w:t>
      </w:r>
      <w:r>
        <w:rPr>
          <w:color w:val="000000" w:themeColor="text1"/>
        </w:rPr>
        <w:t>　</w:t>
      </w:r>
      <w:r>
        <w:rPr>
          <w:rFonts w:hint="eastAsia"/>
          <w:color w:val="000000" w:themeColor="text1"/>
        </w:rPr>
        <w:t>定期定额户简易申报</w:t>
      </w:r>
      <w:bookmarkEnd w:id="195"/>
      <w:bookmarkEnd w:id="196"/>
    </w:p>
    <w:p>
      <w:pPr>
        <w:pStyle w:val="31"/>
        <w:wordWrap w:val="0"/>
        <w:adjustRightInd/>
        <w:snapToGrid/>
        <w:rPr>
          <w:color w:val="000000" w:themeColor="text1"/>
        </w:rPr>
      </w:pPr>
      <w:r>
        <w:rPr>
          <w:rFonts w:hint="eastAsia"/>
          <w:color w:val="000000" w:themeColor="text1"/>
        </w:rPr>
        <w:t>【事项名称】</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定期定额户简易申报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实行简易申报的定期定额户，应当在税务机关规定的期限内按照法律、行政法规规定</w:t>
      </w:r>
      <w:r>
        <w:rPr>
          <w:rFonts w:ascii="宋体" w:hAnsi="宋体" w:cs="Times New Roman"/>
          <w:color w:val="000000" w:themeColor="text1"/>
        </w:rPr>
        <w:t>，</w:t>
      </w:r>
      <w:r>
        <w:rPr>
          <w:rFonts w:hint="default" w:ascii="宋体" w:hAnsi="宋体" w:cs="Times New Roman"/>
          <w:color w:val="000000" w:themeColor="text1"/>
        </w:rPr>
        <w:t>通过财税库银电子缴税系统批量扣税或委托银行扣缴核定税款的，当期（指纳税期）可不办理申报手续，实行以缴代报。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p>
      <w:pPr>
        <w:pStyle w:val="16"/>
        <w:spacing w:beforeLines="0" w:afterLines="0"/>
        <w:rPr>
          <w:rFonts w:cs="Times New Roman"/>
          <w:color w:val="000000" w:themeColor="text1"/>
          <w:kern w:val="2"/>
        </w:rPr>
      </w:pPr>
      <w:r>
        <w:rPr>
          <w:rFonts w:cs="Times New Roman"/>
          <w:color w:val="000000" w:themeColor="text1"/>
          <w:kern w:val="2"/>
        </w:rPr>
        <w:t>申报方式已被认定为简易申报的实行定期定额征收的纳税人，可以委托经税务机关认定的银行或其他金融机构办理税款划缴，不需提交申报表。</w:t>
      </w:r>
    </w:p>
    <w:p>
      <w:pPr>
        <w:pStyle w:val="31"/>
        <w:wordWrap w:val="0"/>
        <w:adjustRightInd/>
        <w:snapToGrid/>
        <w:rPr>
          <w:color w:val="000000" w:themeColor="text1"/>
        </w:rPr>
      </w:pPr>
      <w:r>
        <w:rPr>
          <w:rFonts w:hint="eastAsia"/>
          <w:color w:val="000000" w:themeColor="text1"/>
        </w:rPr>
        <w:t>【办理地点】</w:t>
      </w:r>
    </w:p>
    <w:p>
      <w:pPr>
        <w:pStyle w:val="16"/>
        <w:spacing w:beforeLines="0" w:afterLines="0"/>
        <w:rPr>
          <w:rFonts w:cs="Times New Roman"/>
          <w:color w:val="000000" w:themeColor="text1"/>
          <w:kern w:val="2"/>
        </w:rPr>
      </w:pPr>
      <w:r>
        <w:rPr>
          <w:rFonts w:hint="eastAsia" w:ascii="Times New Roman" w:hAnsi="Times New Roman" w:cs="Times New Roman"/>
          <w:color w:val="000000" w:themeColor="text1"/>
          <w:kern w:val="2"/>
        </w:rPr>
        <w:t>1.</w:t>
      </w:r>
      <w:r>
        <w:rPr>
          <w:rFonts w:cs="Times New Roman"/>
          <w:color w:val="000000" w:themeColor="text1"/>
          <w:kern w:val="2"/>
        </w:rPr>
        <w:t>委托经税务机关认定的银行或其他金融机构办理税款划缴。</w:t>
      </w:r>
    </w:p>
    <w:p>
      <w:pPr>
        <w:pStyle w:val="16"/>
        <w:spacing w:beforeLines="0" w:afterLines="0"/>
        <w:rPr>
          <w:rFonts w:cs="Times New Roman"/>
          <w:color w:val="000000" w:themeColor="text1"/>
          <w:kern w:val="2"/>
        </w:rPr>
      </w:pPr>
      <w:r>
        <w:rPr>
          <w:rFonts w:hint="eastAsia" w:ascii="Times New Roman" w:hAnsi="Times New Roman" w:cs="Times New Roman"/>
          <w:color w:val="000000" w:themeColor="text1"/>
          <w:kern w:val="2"/>
        </w:rPr>
        <w:t>2.</w:t>
      </w:r>
      <w:r>
        <w:rPr>
          <w:rFonts w:cs="Times New Roman"/>
          <w:color w:val="000000" w:themeColor="text1"/>
          <w:kern w:val="2"/>
        </w:rPr>
        <w:t>此事项可同城通办</w:t>
      </w:r>
      <w:r>
        <w:rPr>
          <w:rFonts w:hint="eastAsia" w:cs="Times New Roman"/>
          <w:color w:val="000000" w:themeColor="text1"/>
          <w:kern w:val="2"/>
        </w:rPr>
        <w:t>。</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rFonts w:ascii="Times New Roman" w:hAnsi="Times New Roman"/>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1</w:t>
      </w:r>
      <w:r>
        <w:rPr>
          <w:rFonts w:cs="Times New Roman"/>
          <w:color w:val="000000" w:themeColor="text1"/>
        </w:rPr>
        <w:t>.</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pStyle w:val="16"/>
        <w:numPr>
          <w:ilvl w:val="255"/>
          <w:numId w:val="0"/>
        </w:numPr>
        <w:spacing w:beforeLines="0" w:afterLines="0"/>
        <w:ind w:firstLine="480" w:firstLineChars="200"/>
        <w:rPr>
          <w:rFonts w:cs="Times New Roman"/>
          <w:color w:val="000000" w:themeColor="text1"/>
          <w:kern w:val="2"/>
        </w:rPr>
      </w:pPr>
      <w:r>
        <w:rPr>
          <w:rFonts w:ascii="Times New Roman" w:hAnsi="Times New Roman" w:cs="Times New Roman"/>
          <w:color w:val="000000" w:themeColor="text1"/>
        </w:rPr>
        <w:t>2</w:t>
      </w:r>
      <w:r>
        <w:rPr>
          <w:rFonts w:hint="eastAsia" w:ascii="Times New Roman" w:hAnsi="Times New Roman" w:cs="Times New Roman"/>
          <w:color w:val="000000" w:themeColor="text1"/>
        </w:rPr>
        <w:t>.</w:t>
      </w:r>
      <w:r>
        <w:rPr>
          <w:rFonts w:cs="Times New Roman"/>
          <w:color w:val="000000" w:themeColor="text1"/>
          <w:kern w:val="2"/>
        </w:rPr>
        <w:t>凡委托银行或其他金融机构办理税款划缴的定期定额户，应当向税务机关书面报告开户银行及账号。其账户内存款应当足以按期缴纳当期税款。其存款余额低于当期应纳税款，致使当期税款不能按期入库的，税务机关按逾期缴纳税款处理；对实行简易申报的，按逾期办理纳税申报和逾期缴纳税款处理。</w:t>
      </w:r>
    </w:p>
    <w:p>
      <w:pPr>
        <w:pStyle w:val="16"/>
        <w:spacing w:beforeLines="0" w:afterLines="0"/>
        <w:rPr>
          <w:rFonts w:cs="Times New Roman"/>
          <w:color w:val="000000" w:themeColor="text1"/>
          <w:kern w:val="2"/>
        </w:rPr>
      </w:pPr>
      <w:r>
        <w:rPr>
          <w:rFonts w:ascii="Times New Roman" w:hAnsi="Times New Roman" w:cs="Times New Roman"/>
          <w:color w:val="000000" w:themeColor="text1"/>
          <w:kern w:val="2"/>
        </w:rPr>
        <w:t>3</w:t>
      </w:r>
      <w:r>
        <w:rPr>
          <w:rFonts w:hint="eastAsia" w:ascii="Times New Roman" w:hAnsi="Times New Roman" w:cs="Times New Roman"/>
          <w:color w:val="000000" w:themeColor="text1"/>
          <w:kern w:val="2"/>
        </w:rPr>
        <w:t>.</w:t>
      </w:r>
      <w:r>
        <w:rPr>
          <w:rFonts w:cs="Times New Roman"/>
          <w:color w:val="000000" w:themeColor="text1"/>
          <w:kern w:val="2"/>
        </w:rPr>
        <w:t>自</w:t>
      </w:r>
      <w:r>
        <w:rPr>
          <w:rFonts w:hint="eastAsia" w:ascii="Times New Roman" w:hAnsi="Times New Roman" w:cs="Times New Roman"/>
          <w:color w:val="000000" w:themeColor="text1"/>
          <w:kern w:val="2"/>
        </w:rPr>
        <w:t>2019</w:t>
      </w:r>
      <w:r>
        <w:rPr>
          <w:rFonts w:cs="Times New Roman"/>
          <w:color w:val="000000" w:themeColor="text1"/>
          <w:kern w:val="2"/>
        </w:rPr>
        <w:t>年</w:t>
      </w:r>
      <w:r>
        <w:rPr>
          <w:rFonts w:hint="eastAsia" w:ascii="Times New Roman" w:hAnsi="Times New Roman" w:cs="Times New Roman"/>
          <w:color w:val="000000" w:themeColor="text1"/>
          <w:kern w:val="2"/>
        </w:rPr>
        <w:t>1</w:t>
      </w:r>
      <w:r>
        <w:rPr>
          <w:rFonts w:cs="Times New Roman"/>
          <w:color w:val="000000" w:themeColor="text1"/>
          <w:kern w:val="2"/>
        </w:rPr>
        <w:t>月</w:t>
      </w:r>
      <w:r>
        <w:rPr>
          <w:rFonts w:hint="eastAsia" w:ascii="Times New Roman" w:hAnsi="Times New Roman" w:cs="Times New Roman"/>
          <w:color w:val="000000" w:themeColor="text1"/>
          <w:kern w:val="2"/>
        </w:rPr>
        <w:t>1</w:t>
      </w:r>
      <w:r>
        <w:rPr>
          <w:rFonts w:cs="Times New Roman"/>
          <w:color w:val="000000" w:themeColor="text1"/>
          <w:kern w:val="2"/>
        </w:rPr>
        <w:t>日至</w:t>
      </w:r>
      <w:r>
        <w:rPr>
          <w:rFonts w:hint="eastAsia" w:ascii="Times New Roman" w:hAnsi="Times New Roman" w:cs="Times New Roman"/>
          <w:color w:val="000000" w:themeColor="text1"/>
          <w:kern w:val="2"/>
        </w:rPr>
        <w:t>2021</w:t>
      </w:r>
      <w:r>
        <w:rPr>
          <w:rFonts w:cs="Times New Roman"/>
          <w:color w:val="000000" w:themeColor="text1"/>
          <w:kern w:val="2"/>
        </w:rPr>
        <w:t>年</w:t>
      </w:r>
      <w:r>
        <w:rPr>
          <w:rFonts w:hint="eastAsia" w:ascii="Times New Roman" w:hAnsi="Times New Roman" w:cs="Times New Roman"/>
          <w:color w:val="000000" w:themeColor="text1"/>
          <w:kern w:val="2"/>
        </w:rPr>
        <w:t>12</w:t>
      </w:r>
      <w:r>
        <w:rPr>
          <w:rFonts w:cs="Times New Roman"/>
          <w:color w:val="000000" w:themeColor="text1"/>
          <w:kern w:val="2"/>
        </w:rPr>
        <w:t>月</w:t>
      </w:r>
      <w:r>
        <w:rPr>
          <w:rFonts w:hint="eastAsia" w:ascii="Times New Roman" w:hAnsi="Times New Roman" w:cs="Times New Roman"/>
          <w:color w:val="000000" w:themeColor="text1"/>
          <w:kern w:val="2"/>
        </w:rPr>
        <w:t>31</w:t>
      </w:r>
      <w:r>
        <w:rPr>
          <w:rFonts w:cs="Times New Roman"/>
          <w:color w:val="000000" w:themeColor="text1"/>
          <w:kern w:val="2"/>
        </w:rPr>
        <w:t>日，增值税小规模纳税人起征点由按月</w:t>
      </w:r>
      <w:r>
        <w:rPr>
          <w:rFonts w:hint="eastAsia" w:ascii="Times New Roman" w:hAnsi="Times New Roman" w:cs="Times New Roman"/>
          <w:color w:val="000000" w:themeColor="text1"/>
          <w:kern w:val="2"/>
        </w:rPr>
        <w:t>3</w:t>
      </w:r>
      <w:r>
        <w:rPr>
          <w:rFonts w:cs="Times New Roman"/>
          <w:color w:val="000000" w:themeColor="text1"/>
          <w:kern w:val="2"/>
        </w:rPr>
        <w:t>万元（按季纳税</w:t>
      </w:r>
      <w:r>
        <w:rPr>
          <w:rFonts w:hint="eastAsia" w:ascii="Times New Roman" w:hAnsi="Times New Roman" w:cs="Times New Roman"/>
          <w:color w:val="000000" w:themeColor="text1"/>
          <w:kern w:val="2"/>
        </w:rPr>
        <w:t>9</w:t>
      </w:r>
      <w:r>
        <w:rPr>
          <w:rFonts w:cs="Times New Roman"/>
          <w:color w:val="000000" w:themeColor="text1"/>
          <w:kern w:val="2"/>
        </w:rPr>
        <w:t>万元），调整为按月</w:t>
      </w:r>
      <w:r>
        <w:rPr>
          <w:rFonts w:hint="eastAsia" w:ascii="Times New Roman" w:hAnsi="Times New Roman" w:cs="Times New Roman"/>
          <w:color w:val="000000" w:themeColor="text1"/>
          <w:kern w:val="2"/>
        </w:rPr>
        <w:t>10</w:t>
      </w:r>
      <w:r>
        <w:rPr>
          <w:rFonts w:cs="Times New Roman"/>
          <w:color w:val="000000" w:themeColor="text1"/>
          <w:kern w:val="2"/>
        </w:rPr>
        <w:t>万元（按季纳税</w:t>
      </w:r>
      <w:r>
        <w:rPr>
          <w:rFonts w:hint="eastAsia" w:ascii="Times New Roman" w:hAnsi="Times New Roman" w:cs="Times New Roman"/>
          <w:color w:val="000000" w:themeColor="text1"/>
          <w:kern w:val="2"/>
        </w:rPr>
        <w:t>30</w:t>
      </w:r>
      <w:r>
        <w:rPr>
          <w:rFonts w:cs="Times New Roman"/>
          <w:color w:val="000000" w:themeColor="text1"/>
          <w:kern w:val="2"/>
        </w:rPr>
        <w:t>万元），“货物及劳务”“服务、不动产和无形资产”列销售额不再分别计算，以合计数来确定是否享受免征增值税政策。增值税小规模纳税人发生增值税应税销售行为，合计月销售额超过</w:t>
      </w:r>
      <w:r>
        <w:rPr>
          <w:rFonts w:hint="eastAsia" w:ascii="Times New Roman" w:hAnsi="Times New Roman" w:cs="Times New Roman"/>
          <w:color w:val="000000" w:themeColor="text1"/>
          <w:kern w:val="2"/>
        </w:rPr>
        <w:t>10</w:t>
      </w:r>
      <w:r>
        <w:rPr>
          <w:rFonts w:cs="Times New Roman"/>
          <w:color w:val="000000" w:themeColor="text1"/>
          <w:kern w:val="2"/>
        </w:rPr>
        <w:t>万元，但扣除本期发生的销售不动产的销售额后未超过</w:t>
      </w:r>
      <w:r>
        <w:rPr>
          <w:rFonts w:hint="eastAsia" w:ascii="Times New Roman" w:hAnsi="Times New Roman" w:cs="Times New Roman"/>
          <w:color w:val="000000" w:themeColor="text1"/>
          <w:kern w:val="2"/>
        </w:rPr>
        <w:t>10</w:t>
      </w:r>
      <w:r>
        <w:rPr>
          <w:rFonts w:cs="Times New Roman"/>
          <w:color w:val="000000" w:themeColor="text1"/>
          <w:kern w:val="2"/>
        </w:rPr>
        <w:t>万元的，其销售货物、劳务、服务、无形资产取得的销售额免征增值税。</w:t>
      </w:r>
    </w:p>
    <w:p>
      <w:pPr>
        <w:pStyle w:val="31"/>
        <w:wordWrap w:val="0"/>
        <w:adjustRightInd/>
        <w:snapToGrid/>
        <w:rPr>
          <w:color w:val="000000" w:themeColor="text1"/>
        </w:rPr>
      </w:pPr>
      <w:r>
        <w:rPr>
          <w:rFonts w:hint="eastAsia"/>
          <w:color w:val="000000" w:themeColor="text1"/>
        </w:rPr>
        <w:t>【基本规范】</w:t>
      </w:r>
    </w:p>
    <w:p>
      <w:pPr>
        <w:pStyle w:val="16"/>
        <w:spacing w:beforeLines="0" w:afterLines="0"/>
        <w:rPr>
          <w:rFonts w:cs="Times New Roman"/>
          <w:color w:val="000000" w:themeColor="text1"/>
          <w:kern w:val="2"/>
        </w:rPr>
      </w:pPr>
      <w:r>
        <w:rPr>
          <w:rFonts w:cs="Times New Roman"/>
          <w:color w:val="000000" w:themeColor="text1"/>
          <w:kern w:val="2"/>
        </w:rPr>
        <w:t>对于实行简易申报的个体工商户以及办理其他具备简易申报特点的类似业务的纳税人，无需提交申报表，根据系统中已有的核定信息完成申报。</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探索对特定规模以下个体工商户实行综合征收率，推动取消个体工商户定期定额征收制度。</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t>《中华人民共和国消费税暂行条例》</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t>《中华人民共和国消费税暂行条例实施细则》（财政部</w:t>
            </w:r>
            <w:r>
              <w:rPr>
                <w:rFonts w:hint="eastAsia"/>
              </w:rPr>
              <w:t xml:space="preserve"> </w:t>
            </w:r>
            <w:r>
              <w:t>国家税务总局令第51号）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《中华人民共和国增值税暂行条例实施细则》（财政部令第</w:t>
            </w:r>
            <w:r>
              <w:t>50</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《个体工商户税收定期定额征收管理办法》（国家税务总局令第</w:t>
            </w:r>
            <w:r>
              <w:t>16</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《税收票证管理办法》（国家税务总局令第28号）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t>《国家税务总局关于实施〈税收票证管理办法〉若干问题的公告》（国家税务总局公告2013年第34号）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《国家税务总局关于合理简并纳税人申报缴税次数的公告》（国家税务总局公告</w:t>
            </w:r>
            <w:r>
              <w:t>2016</w:t>
            </w:r>
            <w:r>
              <w:rPr>
                <w:rFonts w:hint="eastAsia"/>
              </w:rPr>
              <w:t>年第</w:t>
            </w:r>
            <w:r>
              <w:t>6</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713" w:type="dxa"/>
            <w:vAlign w:val="center"/>
          </w:tcPr>
          <w:p>
            <w:pPr>
              <w:pStyle w:val="50"/>
              <w:adjustRightInd/>
              <w:snapToGrid/>
              <w:spacing w:line="276" w:lineRule="auto"/>
            </w:pPr>
            <w:r>
              <w:rPr>
                <w:rFonts w:hint="eastAsia"/>
              </w:rPr>
              <w:t>《国家税务总局关于个体工商户定期定额征收管理有关问题的通知》（国税发〔2006〕183号）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713" w:type="dxa"/>
            <w:vAlign w:val="center"/>
          </w:tcPr>
          <w:p>
            <w:pPr>
              <w:pStyle w:val="50"/>
              <w:adjustRightInd/>
              <w:snapToGrid/>
              <w:spacing w:line="276" w:lineRule="auto"/>
            </w:pPr>
            <w:r>
              <w:rPr>
                <w:rFonts w:hint="eastAsia"/>
              </w:rPr>
              <w:t>《国家税务总局关于创新税收服务和管理的意见》（税总发〔</w:t>
            </w:r>
            <w:r>
              <w:t>2014</w:t>
            </w:r>
            <w:r>
              <w:rPr>
                <w:rFonts w:hint="eastAsia"/>
              </w:rPr>
              <w:t>〕</w:t>
            </w:r>
            <w:r>
              <w:t>85</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12</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13</w:t>
            </w:r>
          </w:p>
        </w:tc>
        <w:tc>
          <w:tcPr>
            <w:tcW w:w="571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14</w:t>
            </w:r>
          </w:p>
        </w:tc>
        <w:tc>
          <w:tcPr>
            <w:tcW w:w="571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197" w:name="_Toc11427"/>
      <w:bookmarkStart w:id="198" w:name="_Toc18096163"/>
      <w:r>
        <w:rPr>
          <w:rFonts w:hint="eastAsia"/>
          <w:color w:val="000000" w:themeColor="text1"/>
        </w:rPr>
        <w:t>3.18　　通用申报（税及附征税费）</w:t>
      </w:r>
      <w:bookmarkEnd w:id="197"/>
      <w:bookmarkEnd w:id="198"/>
    </w:p>
    <w:p>
      <w:pPr>
        <w:pStyle w:val="30"/>
        <w:wordWrap w:val="0"/>
        <w:topLinePunct w:val="0"/>
        <w:spacing w:before="312" w:after="312"/>
        <w:rPr>
          <w:color w:val="000000" w:themeColor="text1"/>
        </w:rPr>
      </w:pPr>
      <w:bookmarkStart w:id="199" w:name="_Toc18096164"/>
      <w:bookmarkStart w:id="200" w:name="_Toc29377"/>
      <w:r>
        <w:rPr>
          <w:rFonts w:hint="eastAsia"/>
          <w:color w:val="000000" w:themeColor="text1"/>
        </w:rPr>
        <w:t>3.18.1—</w:t>
      </w:r>
      <w:r>
        <w:rPr>
          <w:color w:val="000000" w:themeColor="text1"/>
        </w:rPr>
        <w:t>101</w:t>
      </w:r>
      <w:r>
        <w:rPr>
          <w:rFonts w:hint="eastAsia"/>
          <w:color w:val="000000" w:themeColor="text1"/>
        </w:rPr>
        <w:t>　</w:t>
      </w:r>
      <w:r>
        <w:rPr>
          <w:color w:val="000000" w:themeColor="text1"/>
        </w:rPr>
        <w:t>　</w:t>
      </w:r>
      <w:r>
        <w:rPr>
          <w:rFonts w:hint="eastAsia"/>
          <w:color w:val="000000" w:themeColor="text1"/>
        </w:rPr>
        <w:t>通用申报（税及附征税费）</w:t>
      </w:r>
      <w:bookmarkEnd w:id="199"/>
      <w:bookmarkEnd w:id="200"/>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通用申报（税及附征税费）</w:t>
      </w:r>
    </w:p>
    <w:p>
      <w:pPr>
        <w:pStyle w:val="31"/>
        <w:wordWrap w:val="0"/>
        <w:adjustRightInd/>
        <w:snapToGrid/>
        <w:rPr>
          <w:rFonts w:ascii="宋体" w:hAnsi="宋体" w:eastAsia="宋体" w:cs="宋体"/>
          <w:color w:val="000000" w:themeColor="text1"/>
        </w:rPr>
      </w:pPr>
      <w:r>
        <w:rPr>
          <w:rFonts w:hint="eastAsia"/>
          <w:color w:val="000000" w:themeColor="text1"/>
        </w:rPr>
        <w:t>【业务描述】</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纳税人</w:t>
      </w:r>
      <w:r>
        <w:rPr>
          <w:rFonts w:ascii="宋体" w:hAnsi="宋体" w:eastAsia="宋体" w:cs="宋体"/>
          <w:color w:val="000000" w:themeColor="text1"/>
        </w:rPr>
        <w:t>依照税收法律法规及相关规定确定的申报期限、申报内容，</w:t>
      </w:r>
      <w:r>
        <w:rPr>
          <w:rFonts w:hint="eastAsia" w:ascii="宋体" w:hAnsi="宋体" w:eastAsia="宋体" w:cs="宋体"/>
          <w:color w:val="000000" w:themeColor="text1"/>
        </w:rPr>
        <w:t>填报《通用申报表（税及附征税费）》，向税务机关进行流转税、所得税、财产和行为税及相关规费等多项税（费）种的纳税申报。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tbl>
      <w:tblPr>
        <w:tblStyle w:val="18"/>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4253"/>
        <w:gridCol w:w="70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704"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25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70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25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《通用申报表（税及附征税费）》</w:t>
            </w:r>
          </w:p>
        </w:tc>
        <w:tc>
          <w:tcPr>
            <w:tcW w:w="70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36"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36"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随增值税、消费税附征的城市维护建设税、教育费附加免于零申报。</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税务机关通过电子税务局对临近申报期限结束还未申报的纳税人提供提示提醒服务。</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进入金三操作系统，通过申报征收岗权限，按照【申报征收】—【申报】—【通用申报】的路径进入功能模块。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《国家税务总局关于加快推行办税事项同城通办的通知》（税总发〔2016〕46号）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201" w:name="_Toc2495"/>
      <w:bookmarkStart w:id="202" w:name="_Toc18096165"/>
      <w:r>
        <w:rPr>
          <w:rFonts w:hint="eastAsia"/>
          <w:color w:val="000000" w:themeColor="text1"/>
        </w:rPr>
        <w:t>3.19　　房产交易申报</w:t>
      </w:r>
      <w:bookmarkEnd w:id="201"/>
      <w:bookmarkEnd w:id="202"/>
    </w:p>
    <w:p>
      <w:pPr>
        <w:pStyle w:val="30"/>
        <w:wordWrap w:val="0"/>
        <w:topLinePunct w:val="0"/>
        <w:spacing w:before="312" w:after="312"/>
        <w:rPr>
          <w:color w:val="000000" w:themeColor="text1"/>
        </w:rPr>
      </w:pPr>
      <w:bookmarkStart w:id="203" w:name="_Toc16110"/>
      <w:bookmarkStart w:id="204" w:name="_Toc18096166"/>
      <w:r>
        <w:rPr>
          <w:rFonts w:hint="eastAsia"/>
          <w:color w:val="000000" w:themeColor="text1"/>
        </w:rPr>
        <w:t>3.19.1—10</w:t>
      </w:r>
      <w:r>
        <w:rPr>
          <w:color w:val="000000" w:themeColor="text1"/>
        </w:rPr>
        <w:t>2</w:t>
      </w:r>
      <w:r>
        <w:rPr>
          <w:rFonts w:hint="eastAsia"/>
          <w:color w:val="000000" w:themeColor="text1"/>
        </w:rPr>
        <w:t>　</w:t>
      </w:r>
      <w:r>
        <w:rPr>
          <w:color w:val="000000" w:themeColor="text1"/>
        </w:rPr>
        <w:t>　</w:t>
      </w:r>
      <w:r>
        <w:rPr>
          <w:rFonts w:hint="eastAsia"/>
          <w:color w:val="000000" w:themeColor="text1"/>
        </w:rPr>
        <w:t>房产交易申报</w:t>
      </w:r>
      <w:bookmarkEnd w:id="203"/>
      <w:bookmarkEnd w:id="204"/>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房产交易申报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房产交易纳税人</w:t>
      </w:r>
      <w:r>
        <w:rPr>
          <w:rFonts w:ascii="宋体" w:hAnsi="宋体" w:eastAsia="宋体" w:cs="宋体"/>
          <w:color w:val="000000" w:themeColor="text1"/>
        </w:rPr>
        <w:t>依照税收法律法规及相关规定确定的申报期限、申报内容，</w:t>
      </w:r>
      <w:r>
        <w:rPr>
          <w:rFonts w:hint="eastAsia" w:ascii="宋体" w:hAnsi="宋体" w:eastAsia="宋体" w:cs="宋体"/>
          <w:color w:val="000000" w:themeColor="text1"/>
        </w:rPr>
        <w:t>填报《房产交易申报表》，向税务机关进行流转税、所得税、财产和行为税及相关规费等多项税（费）种的纳税申报。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tbl>
      <w:tblPr>
        <w:tblStyle w:val="18"/>
        <w:tblW w:w="8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9"/>
        <w:gridCol w:w="2694"/>
        <w:gridCol w:w="992"/>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94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适用情形</w:t>
            </w:r>
          </w:p>
        </w:tc>
        <w:tc>
          <w:tcPr>
            <w:tcW w:w="2694"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材料名称</w:t>
            </w:r>
          </w:p>
        </w:tc>
        <w:tc>
          <w:tcPr>
            <w:tcW w:w="992"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数量</w:t>
            </w:r>
          </w:p>
        </w:tc>
        <w:tc>
          <w:tcPr>
            <w:tcW w:w="152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94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房产交易纳税人</w:t>
            </w:r>
          </w:p>
        </w:tc>
        <w:tc>
          <w:tcPr>
            <w:tcW w:w="2694" w:type="dxa"/>
            <w:tcBorders>
              <w:top w:val="single" w:color="auto" w:sz="4" w:space="0"/>
              <w:left w:val="single" w:color="auto" w:sz="4" w:space="0"/>
              <w:bottom w:val="single" w:color="auto" w:sz="4" w:space="0"/>
              <w:right w:val="single" w:color="auto" w:sz="4" w:space="0"/>
            </w:tcBorders>
            <w:vAlign w:val="center"/>
          </w:tcPr>
          <w:p>
            <w:pPr>
              <w:pStyle w:val="32"/>
              <w:wordWrap w:val="0"/>
              <w:adjustRightInd/>
              <w:snapToGrid/>
              <w:spacing w:line="240" w:lineRule="auto"/>
              <w:rPr>
                <w:color w:val="000000" w:themeColor="text1"/>
                <w:lang w:val="en-US"/>
              </w:rPr>
            </w:pPr>
            <w:r>
              <w:rPr>
                <w:rFonts w:hint="eastAsia"/>
                <w:color w:val="000000" w:themeColor="text1"/>
                <w:sz w:val="18"/>
                <w:szCs w:val="18"/>
                <w:lang w:val="en-US"/>
              </w:rPr>
              <w:t>《房产交易申报表》</w:t>
            </w:r>
          </w:p>
        </w:tc>
        <w:tc>
          <w:tcPr>
            <w:tcW w:w="99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1529" w:type="dxa"/>
            <w:tcBorders>
              <w:top w:val="single" w:color="auto" w:sz="4" w:space="0"/>
              <w:left w:val="single" w:color="auto" w:sz="4" w:space="0"/>
              <w:bottom w:val="single" w:color="auto" w:sz="4" w:space="0"/>
              <w:right w:val="single" w:color="auto" w:sz="4" w:space="0"/>
            </w:tcBorders>
            <w:vAlign w:val="center"/>
          </w:tcPr>
          <w:p>
            <w:pPr>
              <w:pStyle w:val="32"/>
              <w:wordWrap w:val="0"/>
              <w:adjustRightInd/>
              <w:snapToGrid/>
              <w:spacing w:line="240" w:lineRule="auto"/>
              <w:rPr>
                <w:color w:val="000000" w:themeColor="text1"/>
                <w:lang w:val="en-US"/>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主管税务机关对外公开的联系电话，可从国家税务总局湖南省税务局网站“办税地图”栏目查询。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5935"/>
            <wp:effectExtent l="0" t="0" r="10160" b="0"/>
            <wp:docPr id="37" name="图片 55"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37" name="图片 55" descr="C:\Users\baoqianyu\Desktop\流程图\即办\纳税人.png纳税人"/>
                    <pic:cNvPicPr/>
                  </pic:nvPicPr>
                  <pic:blipFill>
                    <a:blip r:embed="rId11"/>
                    <a:srcRect/>
                    <a:stretch>
                      <a:fillRect/>
                    </a:stretch>
                  </pic:blipFill>
                  <pic:spPr>
                    <a:xfrm>
                      <a:off x="0" y="0"/>
                      <a:ext cx="5184140" cy="176593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单位和个体工商户（不含其它个人）发生二手房交易，在房产所在地主管税务机关缴纳完毕后，应向注册地主管税务机关履行纳税申报义务，申报其二手房交易销售额并扣减已缴税额。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房产交易申报中印花税的计税依据产生规则为，当评估价大于等于成交价时，以评估价作为印花税计税依据，即与其他税种计税依据一致；当评估价小于成交价时，以成交价格（即合同所载价格）作为印花税计税依据。</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）按照纳税人报送材料录入数据。信息系统出现提示信息的，及时将相关信息告知纳税人。</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推进税（费）种要素申报，逐步扩大申报表免填数据项范围，实现部分申报表由系统自动生成，推送给纳税人由其确认后报送。</w:t>
      </w:r>
    </w:p>
    <w:p>
      <w:pPr>
        <w:wordWrap w:val="0"/>
        <w:spacing w:line="360" w:lineRule="auto"/>
        <w:ind w:firstLine="480" w:firstLineChars="0"/>
        <w:rPr>
          <w:rFonts w:hint="default" w:ascii="黑体" w:hAnsi="黑体" w:eastAsia="黑体" w:cs="Times New Roman"/>
          <w:bCs/>
          <w:color w:val="000000" w:themeColor="text1"/>
        </w:rPr>
      </w:pPr>
      <w:r>
        <w:rPr>
          <w:rFonts w:ascii="黑体" w:hAnsi="黑体" w:eastAsia="黑体" w:cs="Times New Roman"/>
          <w:bCs/>
          <w:color w:val="000000" w:themeColor="text1"/>
        </w:rPr>
        <w:t>【操作规范】</w:t>
      </w:r>
    </w:p>
    <w:p>
      <w:pPr>
        <w:wordWrap w:val="0"/>
        <w:spacing w:line="360" w:lineRule="auto"/>
        <w:ind w:firstLine="480" w:firstLineChars="0"/>
        <w:rPr>
          <w:rFonts w:hint="default" w:ascii="宋体" w:hAnsi="宋体" w:cs="Times New Roman"/>
          <w:color w:val="000000" w:themeColor="text1"/>
        </w:rPr>
      </w:pPr>
      <w:r>
        <w:t>进入金三操作系统，通过申报征收岗权限，按照【申报征收】—【申报】—【房产交易申报】路径进入功能模块。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670" w:type="dxa"/>
            <w:vAlign w:val="center"/>
          </w:tcPr>
          <w:p>
            <w:pPr>
              <w:pStyle w:val="33"/>
              <w:adjustRightInd/>
              <w:snapToGrid/>
              <w:spacing w:line="276" w:lineRule="auto"/>
            </w:pPr>
            <w:r>
              <w:rPr>
                <w:rFonts w:hint="eastAsia"/>
              </w:rPr>
              <w:t>文件名称</w:t>
            </w:r>
          </w:p>
        </w:tc>
        <w:tc>
          <w:tcPr>
            <w:tcW w:w="1780"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rPr>
                <w:rFonts w:ascii="黑体" w:hAnsi="黑体" w:eastAsia="黑体"/>
              </w:rPr>
            </w:pPr>
            <w:r>
              <w:rPr>
                <w:rFonts w:hint="eastAsia"/>
              </w:rPr>
              <w:t>1</w:t>
            </w:r>
          </w:p>
        </w:tc>
        <w:tc>
          <w:tcPr>
            <w:tcW w:w="5670" w:type="dxa"/>
            <w:vAlign w:val="center"/>
          </w:tcPr>
          <w:p>
            <w:pPr>
              <w:pStyle w:val="50"/>
              <w:adjustRightInd/>
              <w:snapToGrid/>
              <w:spacing w:line="276" w:lineRule="auto"/>
            </w:pPr>
            <w:r>
              <w:rPr>
                <w:rFonts w:hint="eastAsia"/>
              </w:rPr>
              <w:t>《中华人民共和国税收征收管理法》</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670"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670" w:type="dxa"/>
            <w:vAlign w:val="center"/>
          </w:tcPr>
          <w:p>
            <w:pPr>
              <w:pStyle w:val="50"/>
              <w:adjustRightInd/>
              <w:snapToGrid/>
              <w:spacing w:line="276" w:lineRule="auto"/>
            </w:pPr>
            <w:r>
              <w:rPr>
                <w:rFonts w:hint="eastAsia"/>
              </w:rPr>
              <w:t>《国家税务总局关于进一步加强房地产税收管理的通知》（国税发〔2005〕82号）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670" w:type="dxa"/>
            <w:vAlign w:val="center"/>
          </w:tcPr>
          <w:p>
            <w:pPr>
              <w:pStyle w:val="50"/>
              <w:adjustRightInd/>
              <w:snapToGrid/>
              <w:spacing w:line="276" w:lineRule="auto"/>
            </w:pPr>
            <w:r>
              <w:rPr>
                <w:rFonts w:hint="eastAsia"/>
              </w:rPr>
              <w:t>《国家税务总局 财政部 建设部关于加强房地产税收管理的通知》（国税发〔2005〕89号）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670" w:type="dxa"/>
            <w:vAlign w:val="center"/>
          </w:tcPr>
          <w:p>
            <w:pPr>
              <w:pStyle w:val="50"/>
              <w:adjustRightInd/>
              <w:snapToGrid/>
              <w:spacing w:line="276" w:lineRule="auto"/>
            </w:pPr>
            <w:r>
              <w:rPr>
                <w:rFonts w:hint="eastAsia"/>
              </w:rPr>
              <w:t>《国家税务总局 财政部 国土资源部关于加强土地税收管理的通知》（国税发〔2005〕111号）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670" w:type="dxa"/>
            <w:vAlign w:val="center"/>
          </w:tcPr>
          <w:p>
            <w:pPr>
              <w:pStyle w:val="50"/>
              <w:adjustRightInd/>
              <w:snapToGrid/>
              <w:spacing w:line="276" w:lineRule="auto"/>
            </w:pPr>
            <w:r>
              <w:rPr>
                <w:rFonts w:hint="eastAsia"/>
              </w:rPr>
              <w:t>《国家税务总局关于实施房地产税收一体化管理若干问题的通知》（国税发〔2005〕156号）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670" w:type="dxa"/>
            <w:vAlign w:val="center"/>
          </w:tcPr>
          <w:p>
            <w:pPr>
              <w:pStyle w:val="50"/>
              <w:adjustRightInd/>
              <w:snapToGrid/>
              <w:spacing w:line="276" w:lineRule="auto"/>
            </w:pPr>
            <w:r>
              <w:rPr>
                <w:rFonts w:hint="eastAsia"/>
              </w:rPr>
              <w:t>《国家税务总局 财政部 国土资源部关于进一步加强土地税收管理工作的通知》（国税发〔2008〕14号）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670" w:type="dxa"/>
            <w:vAlign w:val="center"/>
          </w:tcPr>
          <w:p>
            <w:pPr>
              <w:pStyle w:val="50"/>
              <w:adjustRightInd/>
              <w:snapToGrid/>
              <w:spacing w:line="276" w:lineRule="auto"/>
            </w:pPr>
            <w:r>
              <w:rPr>
                <w:rFonts w:hint="eastAsia"/>
              </w:rPr>
              <w:t>《国家税务总局关于加快推行办税事项同城通办的通知》（税总发〔2016〕46号）</w:t>
            </w:r>
          </w:p>
        </w:tc>
        <w:tc>
          <w:tcPr>
            <w:tcW w:w="1780"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670"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670"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80"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670"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80"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205" w:name="_Toc20055"/>
      <w:bookmarkStart w:id="206" w:name="_Toc18096167"/>
      <w:r>
        <w:rPr>
          <w:rFonts w:hint="eastAsia"/>
          <w:color w:val="000000" w:themeColor="text1"/>
        </w:rPr>
        <w:t>3.20　　委托代征报告</w:t>
      </w:r>
      <w:bookmarkEnd w:id="205"/>
      <w:bookmarkEnd w:id="206"/>
    </w:p>
    <w:p>
      <w:pPr>
        <w:pStyle w:val="30"/>
        <w:wordWrap w:val="0"/>
        <w:topLinePunct w:val="0"/>
        <w:spacing w:before="312" w:after="312"/>
        <w:rPr>
          <w:color w:val="000000" w:themeColor="text1"/>
        </w:rPr>
      </w:pPr>
      <w:bookmarkStart w:id="207" w:name="_Toc459388273"/>
      <w:bookmarkStart w:id="208" w:name="_Toc14073"/>
      <w:bookmarkStart w:id="209" w:name="_Toc6155"/>
      <w:bookmarkStart w:id="210" w:name="_Toc459987254"/>
      <w:bookmarkStart w:id="211" w:name="_Toc459387093"/>
      <w:bookmarkStart w:id="212" w:name="_Toc31466"/>
      <w:bookmarkStart w:id="213" w:name="_Toc18096168"/>
      <w:r>
        <w:rPr>
          <w:rFonts w:hint="eastAsia"/>
          <w:color w:val="000000" w:themeColor="text1"/>
        </w:rPr>
        <w:t>3.20.1—10</w:t>
      </w:r>
      <w:r>
        <w:rPr>
          <w:color w:val="000000" w:themeColor="text1"/>
        </w:rPr>
        <w:t>3</w:t>
      </w:r>
      <w:r>
        <w:rPr>
          <w:rFonts w:hint="eastAsia"/>
          <w:color w:val="000000" w:themeColor="text1"/>
        </w:rPr>
        <w:t>　</w:t>
      </w:r>
      <w:r>
        <w:rPr>
          <w:color w:val="000000" w:themeColor="text1"/>
        </w:rPr>
        <w:t>　</w:t>
      </w:r>
      <w:r>
        <w:rPr>
          <w:rFonts w:hint="eastAsia"/>
          <w:color w:val="000000" w:themeColor="text1"/>
        </w:rPr>
        <w:t>委托代征</w:t>
      </w:r>
      <w:bookmarkEnd w:id="207"/>
      <w:bookmarkEnd w:id="208"/>
      <w:bookmarkEnd w:id="209"/>
      <w:bookmarkEnd w:id="210"/>
      <w:bookmarkEnd w:id="211"/>
      <w:r>
        <w:rPr>
          <w:rFonts w:hint="eastAsia"/>
          <w:color w:val="000000" w:themeColor="text1"/>
        </w:rPr>
        <w:t>报告</w:t>
      </w:r>
      <w:bookmarkEnd w:id="212"/>
      <w:bookmarkEnd w:id="213"/>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委托代征报告</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依法接受税务机关委托、行使代征税款的单位或人员，根据税务机关确定的代征范围、核定税额或计税依据、税率代征税款，在税款解缴期内填报《委托代征税款报告表》《委托代征税款明细报告表》及其他相关资料，向税务机关进行委托代征报告，并解缴税款。</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《中华人民共和国税收征收管理法》第十九条第一款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《中华人民共和国税收征收管理法实施细则》第四十四条第一款</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《委托代征税款报告表》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《委托代征税款明细报告表》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53965" cy="1718310"/>
            <wp:effectExtent l="0" t="0" r="635" b="0"/>
            <wp:docPr id="38" name="图片 13" descr="C:\Users\baoqianyu\Desktop\流程图\即办\代征人.png代征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descr="C:\Users\baoqianyu\Desktop\流程图\即办\代征人.png代征人"/>
                    <pic:cNvPicPr>
                      <a:picLocks noChangeAspect="1"/>
                    </pic:cNvPicPr>
                  </pic:nvPicPr>
                  <pic:blipFill>
                    <a:blip r:embed="rId16"/>
                    <a:srcRect/>
                    <a:stretch>
                      <a:fillRect/>
                    </a:stretch>
                  </pic:blipFill>
                  <pic:spPr>
                    <a:xfrm>
                      <a:off x="0" y="0"/>
                      <a:ext cx="5053965" cy="171831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【受托代征人注意事项】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受托代征人</w:t>
      </w:r>
      <w:r>
        <w:rPr>
          <w:rFonts w:hint="default" w:ascii="宋体" w:hAnsi="宋体" w:cs="Times New Roman"/>
          <w:color w:val="000000" w:themeColor="text1"/>
        </w:rPr>
        <w:t>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税务机关提供“最多跑一次”服务。受托代征人在资料完整且符合法定受理条件的前提下，最多只需要到税务机关跑一次。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受托代征人不得将其受托代征税款事项再行委托其他单位、组织或人员办理。</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纳税人拒绝缴纳的，受托代征人应自纳税人拒绝之时起</w:t>
      </w:r>
      <w:r>
        <w:rPr>
          <w:rFonts w:cs="Times New Roman"/>
          <w:color w:val="000000" w:themeColor="text1"/>
        </w:rPr>
        <w:t>24</w:t>
      </w:r>
      <w:r>
        <w:rPr>
          <w:rFonts w:ascii="宋体" w:hAnsi="宋体" w:cs="Times New Roman"/>
          <w:color w:val="000000" w:themeColor="text1"/>
        </w:rPr>
        <w:t>小时内将情况报告税务机关，税务机关应向纳税人追缴税款。受托代征人未将情况报告的，税务机关可按《委托代征协议书》的约定向代征人按日加收未征少征税款万分之五的违约金。</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受托代征人应按规定期限解缴税款，未按规定期限解缴税款的，由税务机关责令限期解缴，并可从税款滞纳之日起按日加收未解缴税款万分之五的违约金。</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）按照受托代征人报送资料录入数据。根据信息系统的提示信息，提醒受托代征人更正纠错。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w:t>
      </w:r>
      <w:r>
        <w:rPr>
          <w:rFonts w:ascii="宋体" w:hAnsi="宋体" w:cs="Times New Roman"/>
          <w:color w:val="000000" w:themeColor="text1"/>
        </w:rPr>
        <w:t>受托代征人</w:t>
      </w:r>
      <w:r>
        <w:rPr>
          <w:rFonts w:hint="default" w:ascii="宋体" w:hAnsi="宋体" w:cs="Times New Roman"/>
          <w:color w:val="000000" w:themeColor="text1"/>
        </w:rPr>
        <w:t>；电子税务局办理的，将办理结果通过电子税务局反馈给</w:t>
      </w:r>
      <w:r>
        <w:rPr>
          <w:rFonts w:ascii="宋体" w:hAnsi="宋体" w:cs="Times New Roman"/>
          <w:color w:val="000000" w:themeColor="text1"/>
        </w:rPr>
        <w:t>受托代征人</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w:t>
      </w:r>
      <w:r>
        <w:rPr>
          <w:rFonts w:ascii="宋体" w:hAnsi="宋体" w:cs="Times New Roman"/>
          <w:color w:val="000000" w:themeColor="text1"/>
        </w:rPr>
        <w:t>受托代征人</w:t>
      </w:r>
      <w:r>
        <w:rPr>
          <w:rFonts w:hint="default" w:ascii="宋体" w:hAnsi="宋体" w:cs="Times New Roman"/>
          <w:color w:val="000000" w:themeColor="text1"/>
        </w:rPr>
        <w:t>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利用数字证书申报成功的</w:t>
      </w:r>
      <w:r>
        <w:rPr>
          <w:rFonts w:ascii="宋体" w:hAnsi="宋体" w:cs="Times New Roman"/>
          <w:color w:val="000000" w:themeColor="text1"/>
        </w:rPr>
        <w:t>受托代征人</w:t>
      </w:r>
      <w:r>
        <w:rPr>
          <w:rFonts w:hint="default" w:ascii="宋体" w:hAnsi="宋体" w:cs="Times New Roman"/>
          <w:color w:val="000000" w:themeColor="text1"/>
        </w:rPr>
        <w:t>，取消纸质资料报送。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t>进入金三操作系统，通过申报征收岗权限，按照【申报征收】—【申报】—【委托代征报告】路径进入功能模块。</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3"/>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3" w:type="dxa"/>
            <w:vAlign w:val="center"/>
          </w:tcPr>
          <w:p>
            <w:pPr>
              <w:pStyle w:val="33"/>
              <w:adjustRightInd/>
              <w:snapToGrid/>
              <w:spacing w:line="276" w:lineRule="auto"/>
            </w:pPr>
            <w:r>
              <w:rPr>
                <w:rFonts w:hint="eastAsia"/>
              </w:rPr>
              <w:t>文件名称</w:t>
            </w:r>
          </w:p>
        </w:tc>
        <w:tc>
          <w:tcPr>
            <w:tcW w:w="173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13" w:type="dxa"/>
            <w:vAlign w:val="center"/>
          </w:tcPr>
          <w:p>
            <w:pPr>
              <w:pStyle w:val="50"/>
              <w:adjustRightInd/>
              <w:snapToGrid/>
              <w:spacing w:line="276" w:lineRule="auto"/>
            </w:pPr>
            <w:r>
              <w:rPr>
                <w:rFonts w:hint="eastAsia"/>
              </w:rPr>
              <w:t>《中华人民共和国税收征收管理法》</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3" w:type="dxa"/>
            <w:vAlign w:val="center"/>
          </w:tcPr>
          <w:p>
            <w:pPr>
              <w:pStyle w:val="50"/>
              <w:adjustRightInd/>
              <w:snapToGrid/>
              <w:spacing w:line="276" w:lineRule="auto"/>
            </w:pPr>
            <w:r>
              <w:rPr>
                <w:rFonts w:hint="eastAsia"/>
              </w:rPr>
              <w:t>《中华人民共和国税收征收管理法实施细则》</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713" w:type="dxa"/>
            <w:vAlign w:val="center"/>
          </w:tcPr>
          <w:p>
            <w:pPr>
              <w:pStyle w:val="50"/>
              <w:adjustRightInd/>
              <w:snapToGrid/>
              <w:spacing w:line="276" w:lineRule="auto"/>
            </w:pPr>
            <w:r>
              <w:rPr>
                <w:rFonts w:hint="eastAsia"/>
              </w:rPr>
              <w:t>《税收票证管理办法》（国家税务总局令第28号）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713" w:type="dxa"/>
            <w:vAlign w:val="center"/>
          </w:tcPr>
          <w:p>
            <w:pPr>
              <w:pStyle w:val="50"/>
              <w:adjustRightInd/>
              <w:snapToGrid/>
              <w:spacing w:line="276" w:lineRule="auto"/>
            </w:pPr>
            <w:r>
              <w:rPr>
                <w:rFonts w:hint="eastAsia"/>
              </w:rPr>
              <w:t xml:space="preserve">《财政部 税务总局 </w:t>
            </w:r>
            <w:r>
              <w:t>人民银行关于进一步加强代扣代收代征税款手续费管理的通知</w:t>
            </w:r>
            <w:r>
              <w:rPr>
                <w:rFonts w:hint="eastAsia"/>
              </w:rPr>
              <w:t>》（</w:t>
            </w:r>
            <w:r>
              <w:t>财行〔2019〕11号</w:t>
            </w:r>
            <w:r>
              <w:rPr>
                <w:rFonts w:hint="eastAsia"/>
              </w:rPr>
              <w:t>）</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13" w:type="dxa"/>
            <w:vAlign w:val="center"/>
          </w:tcPr>
          <w:p>
            <w:pPr>
              <w:pStyle w:val="50"/>
              <w:adjustRightInd/>
              <w:snapToGrid/>
              <w:spacing w:line="276" w:lineRule="auto"/>
            </w:pPr>
            <w:r>
              <w:rPr>
                <w:rFonts w:hint="eastAsia"/>
              </w:rPr>
              <w:t>《国家税务总局关于发布〈委托代征管理办法〉的公告》（国家税务总局公告</w:t>
            </w:r>
            <w:r>
              <w:t>2013</w:t>
            </w:r>
            <w:r>
              <w:rPr>
                <w:rFonts w:hint="eastAsia"/>
              </w:rPr>
              <w:t>年第</w:t>
            </w:r>
            <w:r>
              <w:t>24</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6</w:t>
            </w:r>
          </w:p>
        </w:tc>
        <w:tc>
          <w:tcPr>
            <w:tcW w:w="5713" w:type="dxa"/>
            <w:vAlign w:val="center"/>
          </w:tcPr>
          <w:p>
            <w:pPr>
              <w:pStyle w:val="50"/>
              <w:adjustRightInd/>
              <w:snapToGrid/>
              <w:spacing w:line="276" w:lineRule="auto"/>
            </w:pPr>
            <w:r>
              <w:t>《国家税务总局关于实施〈税收票证管理办法〉若干问题的公告》（国家税务总局公告2013年第34号）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13"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13" w:type="dxa"/>
            <w:vAlign w:val="center"/>
          </w:tcPr>
          <w:p>
            <w:pPr>
              <w:pStyle w:val="50"/>
              <w:adjustRightInd/>
              <w:snapToGrid/>
              <w:spacing w:line="276" w:lineRule="auto"/>
            </w:pPr>
            <w:r>
              <w:rPr>
                <w:rFonts w:hint="eastAsia"/>
              </w:rPr>
              <w:t>《国家税务总局关于规范纳税人填报涉税文书有关问题的通知》（国税发〔</w:t>
            </w:r>
            <w:r>
              <w:t>2010</w:t>
            </w:r>
            <w:r>
              <w:rPr>
                <w:rFonts w:hint="eastAsia"/>
              </w:rPr>
              <w:t>〕</w:t>
            </w:r>
            <w:r>
              <w:t>106</w:t>
            </w:r>
            <w:r>
              <w:rPr>
                <w:rFonts w:hint="eastAsia"/>
              </w:rPr>
              <w:t>号）</w:t>
            </w:r>
          </w:p>
        </w:tc>
        <w:tc>
          <w:tcPr>
            <w:tcW w:w="173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9</w:t>
            </w:r>
          </w:p>
        </w:tc>
        <w:tc>
          <w:tcPr>
            <w:tcW w:w="571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10</w:t>
            </w:r>
          </w:p>
        </w:tc>
        <w:tc>
          <w:tcPr>
            <w:tcW w:w="571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11</w:t>
            </w:r>
          </w:p>
        </w:tc>
        <w:tc>
          <w:tcPr>
            <w:tcW w:w="571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737" w:type="dxa"/>
            <w:vAlign w:val="center"/>
          </w:tcPr>
          <w:p>
            <w:pPr>
              <w:pStyle w:val="50"/>
              <w:adjustRightInd/>
              <w:snapToGrid/>
              <w:spacing w:line="276" w:lineRule="auto"/>
            </w:pPr>
            <w:r>
              <w:rPr>
                <w:rFonts w:hint="eastAsia"/>
              </w:rPr>
              <w:t>依申请公开</w:t>
            </w:r>
          </w:p>
        </w:tc>
      </w:tr>
    </w:tbl>
    <w:p>
      <w:pPr>
        <w:pStyle w:val="4"/>
        <w:keepNext w:val="0"/>
        <w:wordWrap w:val="0"/>
        <w:topLinePunct w:val="0"/>
        <w:adjustRightInd/>
        <w:snapToGrid/>
        <w:spacing w:before="390" w:after="390"/>
        <w:ind w:firstLine="562"/>
        <w:rPr>
          <w:color w:val="000000" w:themeColor="text1"/>
        </w:rPr>
      </w:pPr>
      <w:bookmarkStart w:id="214" w:name="_Toc28090"/>
      <w:bookmarkStart w:id="215" w:name="_Toc18096169"/>
      <w:r>
        <w:rPr>
          <w:rFonts w:hint="eastAsia"/>
          <w:color w:val="000000" w:themeColor="text1"/>
        </w:rPr>
        <w:t>3.20.2—10</w:t>
      </w:r>
      <w:r>
        <w:rPr>
          <w:color w:val="000000" w:themeColor="text1"/>
        </w:rPr>
        <w:t>4</w:t>
      </w:r>
      <w:r>
        <w:rPr>
          <w:rFonts w:hint="eastAsia"/>
          <w:color w:val="000000" w:themeColor="text1"/>
        </w:rPr>
        <w:t>　</w:t>
      </w:r>
      <w:r>
        <w:rPr>
          <w:color w:val="000000" w:themeColor="text1"/>
        </w:rPr>
        <w:t>　</w:t>
      </w:r>
      <w:r>
        <w:rPr>
          <w:rFonts w:hint="eastAsia"/>
          <w:color w:val="000000" w:themeColor="text1"/>
        </w:rPr>
        <w:t>印花税票代售报告</w:t>
      </w:r>
      <w:bookmarkEnd w:id="214"/>
      <w:bookmarkEnd w:id="215"/>
    </w:p>
    <w:p>
      <w:pPr>
        <w:pStyle w:val="31"/>
        <w:wordWrap w:val="0"/>
        <w:adjustRightInd/>
        <w:snapToGrid/>
        <w:rPr>
          <w:color w:val="000000" w:themeColor="text1"/>
        </w:rPr>
      </w:pPr>
      <w:r>
        <w:rPr>
          <w:rFonts w:hint="eastAsia"/>
          <w:color w:val="000000" w:themeColor="text1"/>
        </w:rPr>
        <w:t>【事项名称】</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印花税票代售报告</w:t>
      </w:r>
    </w:p>
    <w:p>
      <w:pPr>
        <w:pStyle w:val="31"/>
        <w:wordWrap w:val="0"/>
        <w:adjustRightInd/>
        <w:snapToGrid/>
        <w:rPr>
          <w:color w:val="000000" w:themeColor="text1"/>
        </w:rPr>
      </w:pPr>
      <w:r>
        <w:rPr>
          <w:rFonts w:hint="eastAsia"/>
          <w:color w:val="000000" w:themeColor="text1"/>
        </w:rPr>
        <w:t>【业务描述】</w:t>
      </w:r>
    </w:p>
    <w:p>
      <w:pPr>
        <w:pStyle w:val="31"/>
        <w:wordWrap w:val="0"/>
        <w:adjustRightInd/>
        <w:snapToGrid/>
        <w:rPr>
          <w:rFonts w:ascii="宋体" w:hAnsi="宋体" w:eastAsia="宋体"/>
          <w:color w:val="000000" w:themeColor="text1"/>
        </w:rPr>
      </w:pPr>
      <w:r>
        <w:rPr>
          <w:rFonts w:hint="eastAsia" w:ascii="宋体" w:hAnsi="宋体" w:eastAsia="宋体"/>
          <w:color w:val="000000" w:themeColor="text1"/>
        </w:rPr>
        <w:t>依法接受税务机关代售印花税票的单位或者个人，按照规定的期限，填报《印花税票代售报告表》，向税务机关报告并结报税款，或者填开专用缴款书直接向银行缴纳。</w:t>
      </w:r>
    </w:p>
    <w:p>
      <w:pPr>
        <w:pStyle w:val="31"/>
        <w:wordWrap w:val="0"/>
        <w:adjustRightInd/>
        <w:snapToGrid/>
        <w:rPr>
          <w:color w:val="000000" w:themeColor="text1"/>
        </w:rPr>
      </w:pPr>
      <w:r>
        <w:rPr>
          <w:rFonts w:hint="eastAsia"/>
          <w:color w:val="000000" w:themeColor="text1"/>
        </w:rPr>
        <w:t>【设定依据】</w:t>
      </w:r>
    </w:p>
    <w:p>
      <w:pPr>
        <w:pStyle w:val="31"/>
        <w:wordWrap w:val="0"/>
        <w:adjustRightInd/>
        <w:snapToGrid/>
        <w:rPr>
          <w:rFonts w:ascii="宋体" w:hAnsi="宋体" w:eastAsia="宋体" w:cs="宋体"/>
          <w:color w:val="000000" w:themeColor="text1"/>
        </w:rPr>
      </w:pPr>
      <w:r>
        <w:rPr>
          <w:rFonts w:hint="eastAsia" w:ascii="Times New Roman" w:hAnsi="Times New Roman" w:eastAsia="宋体"/>
          <w:color w:val="000000" w:themeColor="text1"/>
        </w:rPr>
        <w:t>1.</w:t>
      </w:r>
      <w:r>
        <w:rPr>
          <w:rFonts w:hint="eastAsia" w:ascii="宋体" w:hAnsi="宋体" w:eastAsia="宋体" w:cs="宋体"/>
          <w:color w:val="000000" w:themeColor="text1"/>
        </w:rPr>
        <w:t>《中华人民共和国税收征收管理法》第二十五条第一款</w:t>
      </w:r>
    </w:p>
    <w:p>
      <w:pPr>
        <w:pStyle w:val="31"/>
        <w:wordWrap w:val="0"/>
        <w:adjustRightInd/>
        <w:snapToGrid/>
        <w:rPr>
          <w:color w:val="000000" w:themeColor="text1"/>
        </w:rPr>
      </w:pPr>
      <w:r>
        <w:rPr>
          <w:rFonts w:hint="eastAsia" w:ascii="Times New Roman" w:hAnsi="Times New Roman" w:eastAsia="宋体"/>
          <w:color w:val="000000" w:themeColor="text1"/>
        </w:rPr>
        <w:t>2.</w:t>
      </w:r>
      <w:r>
        <w:rPr>
          <w:rFonts w:hint="eastAsia" w:ascii="宋体" w:hAnsi="宋体" w:eastAsia="宋体" w:cs="宋体"/>
          <w:color w:val="000000" w:themeColor="text1"/>
        </w:rPr>
        <w:t>《中华人民共和国印花税暂行条例施行细则》第三十一条</w:t>
      </w:r>
    </w:p>
    <w:p>
      <w:pPr>
        <w:pStyle w:val="31"/>
        <w:wordWrap w:val="0"/>
        <w:adjustRightInd/>
        <w:snapToGrid/>
        <w:rPr>
          <w:color w:val="000000" w:themeColor="text1"/>
        </w:rPr>
      </w:pPr>
      <w:r>
        <w:rPr>
          <w:rFonts w:hint="eastAsia"/>
          <w:color w:val="000000" w:themeColor="text1"/>
        </w:rPr>
        <w:t>【办理材料】</w:t>
      </w:r>
    </w:p>
    <w:tbl>
      <w:tblPr>
        <w:tblStyle w:val="18"/>
        <w:tblW w:w="8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6"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《印花税票代售报告表》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6"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53965" cy="1718310"/>
            <wp:effectExtent l="0" t="0" r="635" b="0"/>
            <wp:docPr id="59" name="图片 13" descr="C:\Users\baoqianyu\Desktop\流程图\即办\代售人.png代售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3" descr="C:\Users\baoqianyu\Desktop\流程图\即办\代售人.png代售人"/>
                    <pic:cNvPicPr>
                      <a:picLocks noChangeAspect="1"/>
                    </pic:cNvPicPr>
                  </pic:nvPicPr>
                  <pic:blipFill>
                    <a:blip r:embed="rId17"/>
                    <a:srcRect/>
                    <a:stretch>
                      <a:fillRect/>
                    </a:stretch>
                  </pic:blipFill>
                  <pic:spPr>
                    <a:xfrm>
                      <a:off x="0" y="0"/>
                      <a:ext cx="5053965" cy="1718310"/>
                    </a:xfrm>
                    <a:prstGeom prst="rect">
                      <a:avLst/>
                    </a:prstGeom>
                    <a:noFill/>
                    <a:ln>
                      <a:noFill/>
                    </a:ln>
                  </pic:spPr>
                </pic:pic>
              </a:graphicData>
            </a:graphic>
          </wp:inline>
        </w:drawing>
      </w:r>
    </w:p>
    <w:p>
      <w:pPr>
        <w:wordWrap w:val="0"/>
        <w:spacing w:line="360" w:lineRule="auto"/>
        <w:ind w:firstLine="420" w:firstLineChars="0"/>
        <w:rPr>
          <w:rFonts w:hint="default" w:ascii="黑体" w:hAnsi="黑体" w:eastAsia="黑体" w:cs="Times New Roman"/>
          <w:bCs/>
          <w:color w:val="000000" w:themeColor="text1"/>
        </w:rPr>
      </w:pPr>
      <w:r>
        <w:rPr>
          <w:rFonts w:ascii="黑体" w:hAnsi="黑体" w:eastAsia="黑体" w:cs="Times New Roman"/>
          <w:bCs/>
          <w:color w:val="000000" w:themeColor="text1"/>
        </w:rPr>
        <w:t>【代售人注意事项】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代售人对报送材料的真实性和合法性承担责任。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税务机关提供“最多跑一次”服务。代售人在资料完整且符合法定受理条件的前提下，最多只需要到税务机关跑一次。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代售人</w:t>
      </w:r>
      <w:r>
        <w:rPr>
          <w:rFonts w:hint="default" w:ascii="宋体" w:hAnsi="宋体" w:cs="Times New Roman"/>
          <w:color w:val="000000" w:themeColor="text1"/>
        </w:rPr>
        <w:t>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代售人所售印花税票取得的税款，须专户存储。不得逾期不缴或者挪作他用。</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）按照代售人报送资料录入数据。根据信息系统的提示信息，提醒代售人更正纠错。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w:t>
      </w:r>
      <w:r>
        <w:rPr>
          <w:rFonts w:ascii="宋体" w:hAnsi="宋体" w:cs="Times New Roman"/>
          <w:color w:val="000000" w:themeColor="text1"/>
        </w:rPr>
        <w:t>代售人</w:t>
      </w:r>
      <w:r>
        <w:rPr>
          <w:rFonts w:hint="default" w:ascii="宋体" w:hAnsi="宋体" w:cs="Times New Roman"/>
          <w:color w:val="000000" w:themeColor="text1"/>
        </w:rPr>
        <w:t>；电子税务局办理的，将办理结果通过电子税务局反馈给</w:t>
      </w:r>
      <w:r>
        <w:rPr>
          <w:rFonts w:ascii="宋体" w:hAnsi="宋体" w:cs="Times New Roman"/>
          <w:color w:val="000000" w:themeColor="text1"/>
        </w:rPr>
        <w:t>代售人</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w:t>
      </w:r>
      <w:r>
        <w:rPr>
          <w:rFonts w:ascii="宋体" w:hAnsi="宋体" w:cs="Times New Roman"/>
          <w:color w:val="000000" w:themeColor="text1"/>
        </w:rPr>
        <w:t>代售人</w:t>
      </w:r>
      <w:r>
        <w:rPr>
          <w:rFonts w:hint="default" w:ascii="宋体" w:hAnsi="宋体" w:cs="Times New Roman"/>
          <w:color w:val="000000" w:themeColor="text1"/>
        </w:rPr>
        <w:t>的办理材料用于与政务服务无关的用途。</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【升级规范】</w:t>
      </w:r>
    </w:p>
    <w:p>
      <w:pPr>
        <w:wordWrap w:val="0"/>
        <w:spacing w:line="360" w:lineRule="auto"/>
        <w:ind w:firstLine="480"/>
        <w:rPr>
          <w:rFonts w:hint="default" w:cs="Times New Roman"/>
          <w:color w:val="000000" w:themeColor="text1"/>
        </w:rPr>
      </w:pPr>
      <w:r>
        <w:rPr>
          <w:rFonts w:hint="default" w:cs="Times New Roman"/>
          <w:color w:val="000000" w:themeColor="text1"/>
        </w:rPr>
        <w:t>利用数字证书申报成功的</w:t>
      </w:r>
      <w:r>
        <w:rPr>
          <w:rFonts w:cs="Times New Roman"/>
          <w:color w:val="000000" w:themeColor="text1"/>
        </w:rPr>
        <w:t>代售人，</w:t>
      </w:r>
      <w:r>
        <w:rPr>
          <w:rFonts w:hint="default" w:cs="Times New Roman"/>
          <w:color w:val="000000" w:themeColor="text1"/>
        </w:rPr>
        <w:t>取消纸质资料报送。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hint="default" w:cs="Times New Roman"/>
          <w:color w:val="000000" w:themeColor="text1"/>
        </w:rPr>
        <w:t>进入金三操作系统，通过申报征收岗权限，按</w:t>
      </w:r>
      <w:r>
        <w:rPr>
          <w:rFonts w:hint="default" w:cs="Times New Roman"/>
        </w:rPr>
        <w:t>照【申报征收】—【申报】—【委托代征</w:t>
      </w:r>
      <w:r>
        <w:rPr>
          <w:rFonts w:cs="Times New Roman"/>
        </w:rPr>
        <w:t>、</w:t>
      </w:r>
      <w:r>
        <w:rPr>
          <w:rFonts w:hint="default" w:cs="Times New Roman"/>
        </w:rPr>
        <w:t>代售申报】—【委托代征申报】路</w:t>
      </w:r>
      <w:r>
        <w:rPr>
          <w:rFonts w:hint="default" w:cs="Times New Roman"/>
          <w:color w:val="000000" w:themeColor="text1"/>
        </w:rPr>
        <w:t>径进入功能模块。</w:t>
      </w:r>
    </w:p>
    <w:p>
      <w:pPr>
        <w:adjustRightInd w:val="0"/>
        <w:snapToGrid w:val="0"/>
        <w:spacing w:line="360" w:lineRule="auto"/>
        <w:ind w:firstLine="480"/>
        <w:rPr>
          <w:rFonts w:hint="default" w:ascii="黑体" w:hAnsi="黑体" w:eastAsia="黑体" w:cs="Times New Roman"/>
          <w:bCs/>
        </w:rPr>
      </w:pPr>
      <w:r>
        <w:rPr>
          <w:rFonts w:ascii="黑体" w:hAnsi="黑体" w:eastAsia="黑体" w:cs="Times New Roman"/>
          <w:bCs/>
        </w:rPr>
        <w:t>【政策依据】</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5855"/>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pPr>
              <w:pStyle w:val="33"/>
              <w:adjustRightInd/>
              <w:snapToGrid/>
              <w:spacing w:line="276" w:lineRule="auto"/>
              <w:rPr>
                <w:kern w:val="0"/>
                <w:sz w:val="20"/>
              </w:rPr>
            </w:pPr>
            <w:r>
              <w:rPr>
                <w:rFonts w:hint="eastAsia"/>
                <w:kern w:val="0"/>
                <w:sz w:val="20"/>
              </w:rPr>
              <w:t>序号</w:t>
            </w:r>
          </w:p>
        </w:tc>
        <w:tc>
          <w:tcPr>
            <w:tcW w:w="5855" w:type="dxa"/>
            <w:vAlign w:val="center"/>
          </w:tcPr>
          <w:p>
            <w:pPr>
              <w:pStyle w:val="33"/>
              <w:adjustRightInd/>
              <w:snapToGrid/>
              <w:spacing w:line="276" w:lineRule="auto"/>
              <w:rPr>
                <w:kern w:val="0"/>
                <w:sz w:val="20"/>
              </w:rPr>
            </w:pPr>
            <w:r>
              <w:rPr>
                <w:rFonts w:hint="eastAsia"/>
                <w:kern w:val="0"/>
                <w:sz w:val="20"/>
              </w:rPr>
              <w:t>文件名称</w:t>
            </w:r>
          </w:p>
        </w:tc>
        <w:tc>
          <w:tcPr>
            <w:tcW w:w="1708" w:type="dxa"/>
            <w:vAlign w:val="center"/>
          </w:tcPr>
          <w:p>
            <w:pPr>
              <w:pStyle w:val="33"/>
              <w:adjustRightInd/>
              <w:snapToGrid/>
              <w:spacing w:line="276" w:lineRule="auto"/>
              <w:rPr>
                <w:kern w:val="0"/>
                <w:sz w:val="20"/>
              </w:rPr>
            </w:pPr>
            <w:r>
              <w:rPr>
                <w:rFonts w:hint="eastAsia"/>
                <w:kern w:val="0"/>
                <w:sz w:val="20"/>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pPr>
              <w:pStyle w:val="50"/>
              <w:adjustRightInd/>
              <w:snapToGrid/>
              <w:spacing w:line="276" w:lineRule="auto"/>
              <w:rPr>
                <w:kern w:val="0"/>
                <w:sz w:val="20"/>
              </w:rPr>
            </w:pPr>
            <w:r>
              <w:rPr>
                <w:rFonts w:hint="eastAsia"/>
                <w:kern w:val="0"/>
                <w:sz w:val="20"/>
              </w:rPr>
              <w:t>1</w:t>
            </w:r>
          </w:p>
        </w:tc>
        <w:tc>
          <w:tcPr>
            <w:tcW w:w="5855" w:type="dxa"/>
            <w:vAlign w:val="center"/>
          </w:tcPr>
          <w:p>
            <w:pPr>
              <w:pStyle w:val="50"/>
              <w:adjustRightInd/>
              <w:snapToGrid/>
              <w:spacing w:line="276" w:lineRule="auto"/>
              <w:rPr>
                <w:kern w:val="0"/>
                <w:sz w:val="20"/>
              </w:rPr>
            </w:pPr>
            <w:r>
              <w:rPr>
                <w:rFonts w:hint="eastAsia"/>
                <w:kern w:val="0"/>
                <w:sz w:val="20"/>
              </w:rPr>
              <w:t>《中华人民共和国税收征收管理法》</w:t>
            </w:r>
          </w:p>
        </w:tc>
        <w:tc>
          <w:tcPr>
            <w:tcW w:w="1708" w:type="dxa"/>
            <w:vAlign w:val="center"/>
          </w:tcPr>
          <w:p>
            <w:pPr>
              <w:pStyle w:val="50"/>
              <w:adjustRightInd/>
              <w:snapToGrid/>
              <w:spacing w:line="276" w:lineRule="auto"/>
              <w:rPr>
                <w:kern w:val="0"/>
                <w:sz w:val="20"/>
              </w:rPr>
            </w:pPr>
            <w:r>
              <w:rPr>
                <w:rFonts w:hint="eastAsia"/>
                <w:kern w:val="0"/>
                <w:sz w:val="20"/>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pPr>
              <w:pStyle w:val="50"/>
              <w:adjustRightInd/>
              <w:snapToGrid/>
              <w:spacing w:line="276" w:lineRule="auto"/>
              <w:rPr>
                <w:kern w:val="0"/>
                <w:sz w:val="20"/>
              </w:rPr>
            </w:pPr>
            <w:r>
              <w:rPr>
                <w:rFonts w:hint="eastAsia"/>
                <w:kern w:val="0"/>
                <w:sz w:val="20"/>
              </w:rPr>
              <w:t>2</w:t>
            </w:r>
          </w:p>
        </w:tc>
        <w:tc>
          <w:tcPr>
            <w:tcW w:w="5855" w:type="dxa"/>
            <w:vAlign w:val="center"/>
          </w:tcPr>
          <w:p>
            <w:pPr>
              <w:pStyle w:val="50"/>
              <w:adjustRightInd/>
              <w:snapToGrid/>
              <w:spacing w:line="276" w:lineRule="auto"/>
              <w:rPr>
                <w:kern w:val="0"/>
                <w:sz w:val="20"/>
              </w:rPr>
            </w:pPr>
            <w:r>
              <w:rPr>
                <w:rFonts w:hint="eastAsia"/>
                <w:kern w:val="0"/>
                <w:sz w:val="20"/>
              </w:rPr>
              <w:t>《中华人民共和国印花税暂行条例施行细则》</w:t>
            </w:r>
          </w:p>
        </w:tc>
        <w:tc>
          <w:tcPr>
            <w:tcW w:w="1708" w:type="dxa"/>
            <w:vAlign w:val="center"/>
          </w:tcPr>
          <w:p>
            <w:pPr>
              <w:pStyle w:val="50"/>
              <w:adjustRightInd/>
              <w:snapToGrid/>
              <w:spacing w:line="276" w:lineRule="auto"/>
              <w:rPr>
                <w:kern w:val="0"/>
                <w:sz w:val="20"/>
              </w:rPr>
            </w:pPr>
            <w:r>
              <w:rPr>
                <w:rFonts w:hint="eastAsia"/>
                <w:kern w:val="0"/>
                <w:sz w:val="20"/>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9" w:type="dxa"/>
            <w:vAlign w:val="center"/>
          </w:tcPr>
          <w:p>
            <w:pPr>
              <w:pStyle w:val="50"/>
              <w:adjustRightInd/>
              <w:snapToGrid/>
              <w:spacing w:line="276" w:lineRule="auto"/>
              <w:rPr>
                <w:kern w:val="0"/>
                <w:sz w:val="20"/>
              </w:rPr>
            </w:pPr>
            <w:r>
              <w:rPr>
                <w:rFonts w:hint="eastAsia"/>
                <w:kern w:val="0"/>
                <w:sz w:val="20"/>
              </w:rPr>
              <w:t>3</w:t>
            </w:r>
          </w:p>
        </w:tc>
        <w:tc>
          <w:tcPr>
            <w:tcW w:w="5855" w:type="dxa"/>
            <w:vAlign w:val="center"/>
          </w:tcPr>
          <w:p>
            <w:pPr>
              <w:pStyle w:val="50"/>
              <w:adjustRightInd/>
              <w:snapToGrid/>
              <w:spacing w:line="276" w:lineRule="auto"/>
              <w:rPr>
                <w:kern w:val="0"/>
                <w:sz w:val="20"/>
              </w:rPr>
            </w:pPr>
            <w:r>
              <w:rPr>
                <w:rFonts w:hint="eastAsia"/>
                <w:kern w:val="0"/>
                <w:sz w:val="20"/>
              </w:rPr>
              <w:t>《税收票证管理办法》（国家税务总局令第28号）</w:t>
            </w:r>
          </w:p>
        </w:tc>
        <w:tc>
          <w:tcPr>
            <w:tcW w:w="1708" w:type="dxa"/>
            <w:vAlign w:val="center"/>
          </w:tcPr>
          <w:p>
            <w:pPr>
              <w:pStyle w:val="50"/>
              <w:adjustRightInd/>
              <w:snapToGrid/>
              <w:spacing w:line="276" w:lineRule="auto"/>
              <w:rPr>
                <w:kern w:val="0"/>
                <w:sz w:val="20"/>
              </w:rPr>
            </w:pPr>
            <w:r>
              <w:rPr>
                <w:rFonts w:hint="eastAsia"/>
                <w:kern w:val="0"/>
                <w:sz w:val="20"/>
              </w:rPr>
              <w:t>主动公开</w:t>
            </w:r>
          </w:p>
        </w:tc>
      </w:tr>
      <w:bookmarkEnd w:id="93"/>
    </w:tbl>
    <w:p>
      <w:pPr>
        <w:pStyle w:val="29"/>
        <w:wordWrap w:val="0"/>
        <w:spacing w:before="936" w:after="468"/>
        <w:ind w:firstLine="630" w:firstLineChars="196"/>
        <w:rPr>
          <w:color w:val="000000" w:themeColor="text1"/>
        </w:rPr>
      </w:pPr>
      <w:bookmarkStart w:id="216" w:name="_Toc18096170"/>
      <w:r>
        <w:rPr>
          <w:rFonts w:hint="eastAsia"/>
          <w:color w:val="000000" w:themeColor="text1"/>
        </w:rPr>
        <w:t>3.21　　代收代缴、代扣代缴申报</w:t>
      </w:r>
      <w:bookmarkEnd w:id="216"/>
    </w:p>
    <w:p>
      <w:pPr>
        <w:pStyle w:val="4"/>
        <w:keepNext w:val="0"/>
        <w:wordWrap w:val="0"/>
        <w:topLinePunct w:val="0"/>
        <w:adjustRightInd/>
        <w:snapToGrid/>
        <w:spacing w:before="390" w:after="390"/>
        <w:ind w:firstLine="562"/>
        <w:rPr>
          <w:color w:val="000000" w:themeColor="text1"/>
        </w:rPr>
      </w:pPr>
      <w:bookmarkStart w:id="217" w:name="_Toc17675"/>
      <w:bookmarkStart w:id="218" w:name="_Toc18096171"/>
      <w:r>
        <w:rPr>
          <w:rFonts w:hint="eastAsia"/>
          <w:color w:val="000000" w:themeColor="text1"/>
        </w:rPr>
        <w:t>3.21.1—10</w:t>
      </w:r>
      <w:r>
        <w:rPr>
          <w:color w:val="000000" w:themeColor="text1"/>
        </w:rPr>
        <w:t>5</w:t>
      </w:r>
      <w:r>
        <w:rPr>
          <w:rFonts w:hint="eastAsia"/>
          <w:color w:val="000000" w:themeColor="text1"/>
        </w:rPr>
        <w:t>　</w:t>
      </w:r>
      <w:r>
        <w:rPr>
          <w:color w:val="000000" w:themeColor="text1"/>
        </w:rPr>
        <w:t>　</w:t>
      </w:r>
      <w:r>
        <w:rPr>
          <w:rFonts w:hint="eastAsia"/>
          <w:color w:val="000000" w:themeColor="text1"/>
        </w:rPr>
        <w:t>代收代缴车船税申报</w:t>
      </w:r>
      <w:bookmarkEnd w:id="217"/>
      <w:bookmarkEnd w:id="218"/>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代收代缴车船税申报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扣缴义务人依照税收法律、法规、规章及其他有关规定，在规定的纳税期限内，履行代收</w:t>
      </w:r>
      <w:r>
        <w:rPr>
          <w:rFonts w:hint="default" w:ascii="宋体" w:hAnsi="宋体" w:cs="Times New Roman"/>
          <w:color w:val="000000" w:themeColor="text1"/>
        </w:rPr>
        <w:t>代缴车船税义务，填报《车船税代收代缴报告表》</w:t>
      </w:r>
      <w:r>
        <w:rPr>
          <w:rFonts w:ascii="宋体" w:hAnsi="宋体" w:cs="Times New Roman"/>
          <w:color w:val="000000" w:themeColor="text1"/>
        </w:rPr>
        <w:t>，</w:t>
      </w:r>
      <w:r>
        <w:rPr>
          <w:rFonts w:hint="default" w:ascii="宋体" w:hAnsi="宋体" w:cs="Times New Roman"/>
          <w:color w:val="000000" w:themeColor="text1"/>
        </w:rPr>
        <w:t>向税务机关进行纳税申报。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《中华人民共和国车船税法》第六条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《中华人民共和国车船税法实施条例》第十八条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3543"/>
        <w:gridCol w:w="1472"/>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0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354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1472"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数量</w:t>
            </w:r>
          </w:p>
        </w:tc>
        <w:tc>
          <w:tcPr>
            <w:tcW w:w="2041"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354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bookmarkStart w:id="219" w:name="_Toc398185980"/>
            <w:r>
              <w:rPr>
                <w:rFonts w:hint="eastAsia"/>
                <w:color w:val="000000" w:themeColor="text1"/>
              </w:rPr>
              <w:t>《车船税代收代缴报告表</w:t>
            </w:r>
            <w:bookmarkEnd w:id="219"/>
            <w:r>
              <w:rPr>
                <w:rFonts w:hint="eastAsia"/>
                <w:color w:val="000000" w:themeColor="text1"/>
              </w:rPr>
              <w:t>》</w:t>
            </w:r>
          </w:p>
        </w:tc>
        <w:tc>
          <w:tcPr>
            <w:tcW w:w="147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04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59680" cy="1710690"/>
            <wp:effectExtent l="0" t="0" r="7620" b="0"/>
            <wp:docPr id="33" name="图片 52" descr="C:\Users\baoqianyu\Desktop\流程图\即办\扣缴义务人.png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2" descr="C:\Users\baoqianyu\Desktop\流程图\即办\扣缴义务人.png扣缴义务人"/>
                    <pic:cNvPicPr>
                      <a:picLocks noChangeAspect="1"/>
                    </pic:cNvPicPr>
                  </pic:nvPicPr>
                  <pic:blipFill>
                    <a:blip r:embed="rId18"/>
                    <a:srcRect/>
                    <a:stretch>
                      <a:fillRect/>
                    </a:stretch>
                  </pic:blipFill>
                  <pic:spPr>
                    <a:xfrm>
                      <a:off x="0" y="0"/>
                      <a:ext cx="5059680" cy="171069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扣缴义务人使用符合电子签名法规定条件的电子签名，与手写签名或者盖章具有同等法律效力。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扣缴义务人</w:t>
      </w:r>
      <w:r>
        <w:rPr>
          <w:rFonts w:hint="default" w:ascii="宋体" w:hAnsi="宋体" w:cs="Times New Roman"/>
          <w:color w:val="000000" w:themeColor="text1"/>
        </w:rPr>
        <w:t>未按照规定的期限办理</w:t>
      </w:r>
      <w:r>
        <w:rPr>
          <w:rFonts w:ascii="宋体" w:hAnsi="宋体" w:cs="Times New Roman"/>
          <w:color w:val="000000" w:themeColor="text1"/>
        </w:rPr>
        <w:t>代收代缴</w:t>
      </w:r>
      <w:r>
        <w:rPr>
          <w:rFonts w:hint="default" w:ascii="宋体" w:hAnsi="宋体" w:cs="Times New Roman"/>
          <w:color w:val="000000" w:themeColor="text1"/>
        </w:rPr>
        <w:t>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扣缴义务人在代收车船税并开具增值税发票时，应当在增值税发票备注栏中注明代收车船税税款信息。</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扣缴义务人代收车船税后，纳税人需要换开正式完税凭证的，可以向税务机关申请开具。</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从事机动车交通事故责任强制保险业务的保险机构已代收代缴车船税的，纳税人不再向车辆登记地的主管税务机关申报缴纳车船税。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w:t>
      </w:r>
      <w:r>
        <w:rPr>
          <w:rFonts w:ascii="宋体" w:hAnsi="宋体" w:cs="Times New Roman"/>
          <w:color w:val="000000" w:themeColor="text1"/>
        </w:rPr>
        <w:t>或电子税务局</w:t>
      </w:r>
      <w:r>
        <w:rPr>
          <w:rFonts w:hint="default" w:ascii="宋体" w:hAnsi="宋体" w:cs="Times New Roman"/>
          <w:color w:val="000000" w:themeColor="text1"/>
        </w:rPr>
        <w:t>接收资料，核对资料是否齐全、是否符合法定形式、填写内容是否完整，符合的即时</w:t>
      </w:r>
      <w:r>
        <w:rPr>
          <w:rFonts w:ascii="宋体" w:hAnsi="宋体" w:cs="Times New Roman"/>
          <w:color w:val="000000" w:themeColor="text1"/>
        </w:rPr>
        <w:t>受理</w:t>
      </w:r>
      <w:r>
        <w:rPr>
          <w:rFonts w:hint="default" w:ascii="宋体" w:hAnsi="宋体" w:cs="Times New Roman"/>
          <w:color w:val="000000" w:themeColor="text1"/>
        </w:rPr>
        <w:t>；对资料不齐全、不符合法定形式或填写内容不完整的，一次性告知应补正资料或不予受理原因。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）按照扣缴义务人报送资料录入数据。根据信息系统的提示信息，提醒纳税人更正纠错。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w:t>
      </w:r>
      <w:r>
        <w:rPr>
          <w:rFonts w:ascii="宋体" w:hAnsi="宋体" w:cs="Times New Roman"/>
          <w:color w:val="000000" w:themeColor="text1"/>
        </w:rPr>
        <w:t>扣缴义务人</w:t>
      </w:r>
      <w:r>
        <w:rPr>
          <w:rFonts w:hint="default" w:ascii="宋体" w:hAnsi="宋体" w:cs="Times New Roman"/>
          <w:color w:val="000000" w:themeColor="text1"/>
        </w:rPr>
        <w:t>；电子税务局办理的，将办理结果通过电子税务局反馈给</w:t>
      </w:r>
      <w:r>
        <w:rPr>
          <w:rFonts w:ascii="宋体" w:hAnsi="宋体" w:cs="Times New Roman"/>
          <w:color w:val="000000" w:themeColor="text1"/>
        </w:rPr>
        <w:t>扣缴义务人</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w:t>
      </w:r>
      <w:r>
        <w:rPr>
          <w:rFonts w:ascii="宋体" w:hAnsi="宋体" w:cs="Times New Roman"/>
          <w:color w:val="000000" w:themeColor="text1"/>
        </w:rPr>
        <w:t>扣缴义务人</w:t>
      </w:r>
      <w:r>
        <w:rPr>
          <w:rFonts w:hint="default" w:ascii="宋体" w:hAnsi="宋体" w:cs="Times New Roman"/>
          <w:color w:val="000000" w:themeColor="text1"/>
        </w:rPr>
        <w:t>的办理材料用于与政务服务无关的用途。</w:t>
      </w:r>
    </w:p>
    <w:p>
      <w:pPr>
        <w:wordWrap w:val="0"/>
        <w:spacing w:line="360" w:lineRule="auto"/>
        <w:ind w:firstLine="480"/>
        <w:rPr>
          <w:rFonts w:hint="default"/>
        </w:rPr>
      </w:pPr>
      <w:r>
        <w:rPr>
          <w:rFonts w:ascii="黑体" w:hAnsi="黑体" w:eastAsia="黑体" w:cs="Times New Roman"/>
          <w:bCs/>
        </w:rPr>
        <w:t>【操作规范】</w:t>
      </w:r>
    </w:p>
    <w:p>
      <w:pPr>
        <w:pStyle w:val="16"/>
        <w:spacing w:beforeLines="0" w:afterLines="0"/>
        <w:jc w:val="both"/>
        <w:rPr>
          <w:color w:val="000000" w:themeColor="text1"/>
          <w:kern w:val="2"/>
        </w:rPr>
      </w:pPr>
      <w:r>
        <w:rPr>
          <w:rFonts w:hint="eastAsia"/>
          <w:color w:val="000000" w:themeColor="text1"/>
          <w:kern w:val="2"/>
        </w:rPr>
        <w:t>1.受理环节</w:t>
      </w:r>
    </w:p>
    <w:p>
      <w:pPr>
        <w:pStyle w:val="16"/>
        <w:spacing w:beforeLines="0" w:afterLines="0"/>
        <w:jc w:val="both"/>
        <w:rPr>
          <w:color w:val="000000" w:themeColor="text1"/>
          <w:kern w:val="2"/>
        </w:rPr>
      </w:pPr>
      <w:r>
        <w:rPr>
          <w:rFonts w:hint="eastAsia"/>
          <w:color w:val="000000" w:themeColor="text1"/>
          <w:kern w:val="2"/>
        </w:rPr>
        <w:t>进入金三操作系统，通过申报征收岗权限，按照【申报征收】—【申报】—【其他代扣代缴、代收代缴申报】—【代收代缴车船税申报】路径进入功能模块。</w:t>
      </w:r>
    </w:p>
    <w:p>
      <w:pPr>
        <w:pStyle w:val="16"/>
        <w:spacing w:beforeLines="0" w:afterLines="0"/>
        <w:jc w:val="both"/>
        <w:rPr>
          <w:color w:val="000000" w:themeColor="text1"/>
          <w:kern w:val="2"/>
        </w:rPr>
      </w:pPr>
      <w:r>
        <w:rPr>
          <w:rFonts w:hint="eastAsia"/>
          <w:color w:val="000000" w:themeColor="text1"/>
          <w:kern w:val="2"/>
        </w:rPr>
        <w:t>2.提示事项</w:t>
      </w:r>
    </w:p>
    <w:p>
      <w:pPr>
        <w:pStyle w:val="16"/>
        <w:spacing w:beforeLines="0" w:afterLines="0"/>
        <w:jc w:val="both"/>
        <w:rPr>
          <w:color w:val="000000" w:themeColor="text1"/>
          <w:kern w:val="2"/>
        </w:rPr>
      </w:pPr>
      <w:r>
        <w:rPr>
          <w:rFonts w:hint="eastAsia"/>
          <w:color w:val="000000" w:themeColor="text1"/>
          <w:kern w:val="2"/>
        </w:rPr>
        <w:t>车船税代收代缴申报的前置条件是先进行扣缴税款登记、代收代缴车船税税种认定。</w:t>
      </w:r>
    </w:p>
    <w:p>
      <w:pPr>
        <w:pStyle w:val="31"/>
        <w:adjustRightInd/>
        <w:snapToGrid/>
      </w:pPr>
      <w:r>
        <w:rPr>
          <w:rFonts w:hint="eastAsia"/>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4" w:type="dxa"/>
            <w:vAlign w:val="center"/>
          </w:tcPr>
          <w:p>
            <w:pPr>
              <w:pStyle w:val="33"/>
              <w:adjustRightInd/>
              <w:snapToGrid/>
              <w:spacing w:line="276" w:lineRule="auto"/>
            </w:pPr>
            <w:r>
              <w:rPr>
                <w:rFonts w:hint="eastAsia"/>
              </w:rPr>
              <w:t>文件名称</w:t>
            </w:r>
          </w:p>
        </w:tc>
        <w:tc>
          <w:tcPr>
            <w:tcW w:w="1683"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4" w:type="dxa"/>
            <w:vAlign w:val="center"/>
          </w:tcPr>
          <w:p>
            <w:pPr>
              <w:pStyle w:val="50"/>
              <w:adjustRightInd/>
              <w:snapToGrid/>
              <w:spacing w:line="276" w:lineRule="auto"/>
            </w:pPr>
            <w:r>
              <w:rPr>
                <w:rFonts w:hint="eastAsia"/>
              </w:rPr>
              <w:t>《中华人民共和国税收征收管理法》</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4" w:type="dxa"/>
            <w:vAlign w:val="center"/>
          </w:tcPr>
          <w:p>
            <w:pPr>
              <w:pStyle w:val="50"/>
              <w:adjustRightInd/>
              <w:snapToGrid/>
              <w:spacing w:line="276" w:lineRule="auto"/>
            </w:pPr>
            <w:r>
              <w:rPr>
                <w:rFonts w:hint="eastAsia"/>
              </w:rPr>
              <w:t>《中华人民共和国车船税法》</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654" w:type="dxa"/>
            <w:vAlign w:val="center"/>
          </w:tcPr>
          <w:p>
            <w:pPr>
              <w:pStyle w:val="50"/>
              <w:adjustRightInd/>
              <w:snapToGrid/>
              <w:spacing w:line="276" w:lineRule="auto"/>
            </w:pPr>
            <w:r>
              <w:rPr>
                <w:rFonts w:hint="eastAsia"/>
              </w:rPr>
              <w:t>《中华人民共和国车船税法实施条例》</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4</w:t>
            </w:r>
          </w:p>
        </w:tc>
        <w:tc>
          <w:tcPr>
            <w:tcW w:w="5654" w:type="dxa"/>
            <w:vAlign w:val="center"/>
          </w:tcPr>
          <w:p>
            <w:pPr>
              <w:pStyle w:val="50"/>
              <w:adjustRightInd/>
              <w:snapToGrid/>
              <w:spacing w:line="276" w:lineRule="auto"/>
            </w:pPr>
            <w:r>
              <w:rPr>
                <w:rFonts w:hint="eastAsia"/>
              </w:rPr>
              <w:t>《国家税务总局关于发布〈车船税管理规程（试行）〉的公告》（国家税务总局公告</w:t>
            </w:r>
            <w:r>
              <w:t>2015</w:t>
            </w:r>
            <w:r>
              <w:rPr>
                <w:rFonts w:hint="eastAsia"/>
              </w:rPr>
              <w:t>年第</w:t>
            </w:r>
            <w:r>
              <w:t>83</w:t>
            </w:r>
            <w:r>
              <w:rPr>
                <w:rFonts w:hint="eastAsia"/>
              </w:rPr>
              <w:t>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5</w:t>
            </w:r>
          </w:p>
        </w:tc>
        <w:tc>
          <w:tcPr>
            <w:tcW w:w="5654" w:type="dxa"/>
            <w:vAlign w:val="center"/>
          </w:tcPr>
          <w:p>
            <w:pPr>
              <w:pStyle w:val="50"/>
              <w:adjustRightInd/>
              <w:snapToGrid/>
              <w:spacing w:line="276" w:lineRule="auto"/>
            </w:pPr>
            <w:r>
              <w:rPr>
                <w:rFonts w:hint="eastAsia"/>
              </w:rPr>
              <w:t>《国家税务总局关于保险机构代收车船税开具增值税发票问题的公告》（国家税务总局公告</w:t>
            </w:r>
            <w:r>
              <w:t>2016</w:t>
            </w:r>
            <w:r>
              <w:rPr>
                <w:rFonts w:hint="eastAsia"/>
              </w:rPr>
              <w:t>年第</w:t>
            </w:r>
            <w:r>
              <w:t>51</w:t>
            </w:r>
            <w:r>
              <w:rPr>
                <w:rFonts w:hint="eastAsia"/>
              </w:rPr>
              <w:t>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6</w:t>
            </w:r>
          </w:p>
        </w:tc>
        <w:tc>
          <w:tcPr>
            <w:tcW w:w="5654"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7</w:t>
            </w:r>
          </w:p>
        </w:tc>
        <w:tc>
          <w:tcPr>
            <w:tcW w:w="5654" w:type="dxa"/>
            <w:vAlign w:val="center"/>
          </w:tcPr>
          <w:p>
            <w:pPr>
              <w:pStyle w:val="50"/>
              <w:adjustRightInd/>
              <w:snapToGrid/>
              <w:spacing w:line="276" w:lineRule="auto"/>
            </w:pPr>
            <w:r>
              <w:rPr>
                <w:rFonts w:hint="eastAsia"/>
              </w:rPr>
              <w:t>《国家税务总局关于印发〈全国县级税务机关纳税服务规范（1</w:t>
            </w:r>
            <w:r>
              <w:rPr>
                <w:rFonts w:hint="eastAsia" w:ascii="Times New Roman" w:hAnsi="Times New Roman"/>
              </w:rPr>
              <w:t>.</w:t>
            </w:r>
            <w:r>
              <w:rPr>
                <w:rFonts w:hint="eastAsia"/>
              </w:rPr>
              <w:t>0版）〉相关表证单书的通知》（税总发〔2014〕109号）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8</w:t>
            </w:r>
          </w:p>
        </w:tc>
        <w:tc>
          <w:tcPr>
            <w:tcW w:w="5654"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3"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9</w:t>
            </w:r>
          </w:p>
        </w:tc>
        <w:tc>
          <w:tcPr>
            <w:tcW w:w="5654"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3"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0</w:t>
            </w:r>
          </w:p>
        </w:tc>
        <w:tc>
          <w:tcPr>
            <w:tcW w:w="5654"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3" w:type="dxa"/>
            <w:vAlign w:val="center"/>
          </w:tcPr>
          <w:p>
            <w:pPr>
              <w:pStyle w:val="50"/>
              <w:adjustRightInd/>
              <w:snapToGrid/>
              <w:spacing w:line="276" w:lineRule="auto"/>
            </w:pPr>
            <w:r>
              <w:rPr>
                <w:rFonts w:hint="eastAsia"/>
              </w:rPr>
              <w:t>依申请公开</w:t>
            </w:r>
          </w:p>
        </w:tc>
      </w:tr>
    </w:tbl>
    <w:p>
      <w:pPr>
        <w:pStyle w:val="37"/>
        <w:tabs>
          <w:tab w:val="right" w:leader="dot" w:pos="8278"/>
        </w:tabs>
        <w:wordWrap w:val="0"/>
        <w:topLinePunct w:val="0"/>
        <w:spacing w:before="312" w:after="312"/>
        <w:rPr>
          <w:color w:val="000000" w:themeColor="text1"/>
        </w:rPr>
      </w:pPr>
      <w:bookmarkStart w:id="220" w:name="_Toc18096172"/>
      <w:bookmarkStart w:id="221" w:name="_Toc24152"/>
      <w:r>
        <w:rPr>
          <w:rFonts w:hint="eastAsia"/>
          <w:color w:val="000000" w:themeColor="text1"/>
        </w:rPr>
        <w:t>3.21.2—10</w:t>
      </w:r>
      <w:r>
        <w:rPr>
          <w:color w:val="000000" w:themeColor="text1"/>
        </w:rPr>
        <w:t>6　　居民个人取得综合所得个人所得税预扣预缴申报</w:t>
      </w:r>
      <w:bookmarkEnd w:id="220"/>
      <w:bookmarkEnd w:id="221"/>
    </w:p>
    <w:p>
      <w:pPr>
        <w:pStyle w:val="31"/>
        <w:wordWrap w:val="0"/>
        <w:adjustRightInd/>
        <w:snapToGrid/>
        <w:rPr>
          <w:color w:val="000000" w:themeColor="text1"/>
        </w:rPr>
      </w:pPr>
      <w:r>
        <w:rPr>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居民个人取得综合所得个人所得税预扣预缴申报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个人所得税以向个人支付所得的单位或者个人为扣缴义务人。居民个人取得综合所得，按年计算个人所得税；有扣缴义务人的，由扣缴义务人按月或者按次预扣预缴税款。扣缴义务人每月或者每次预扣、代扣的税款，应当在次月</w:t>
      </w:r>
      <w:r>
        <w:rPr>
          <w:rFonts w:cs="Times New Roman"/>
          <w:color w:val="000000" w:themeColor="text1"/>
        </w:rPr>
        <w:t>15</w:t>
      </w:r>
      <w:r>
        <w:rPr>
          <w:rFonts w:hint="default" w:ascii="宋体" w:hAnsi="宋体" w:cs="Times New Roman"/>
          <w:color w:val="000000" w:themeColor="text1"/>
        </w:rPr>
        <w:t>日内</w:t>
      </w:r>
      <w:r>
        <w:rPr>
          <w:rFonts w:ascii="宋体" w:hAnsi="宋体" w:cs="Times New Roman"/>
          <w:color w:val="000000" w:themeColor="text1"/>
        </w:rPr>
        <w:t>，填报</w:t>
      </w:r>
      <w:r>
        <w:rPr>
          <w:rFonts w:hint="default" w:ascii="宋体" w:hAnsi="宋体" w:cs="Times New Roman"/>
          <w:color w:val="000000" w:themeColor="text1"/>
        </w:rPr>
        <w:t>《个人所得税扣缴申报表》</w:t>
      </w:r>
      <w:r>
        <w:rPr>
          <w:rFonts w:ascii="宋体" w:hAnsi="宋体" w:cs="Times New Roman"/>
          <w:color w:val="000000" w:themeColor="text1"/>
        </w:rPr>
        <w:t>及其他相关资料，向税务机关纳税申报并</w:t>
      </w:r>
      <w:r>
        <w:rPr>
          <w:rFonts w:hint="default" w:ascii="宋体" w:hAnsi="宋体" w:cs="Times New Roman"/>
          <w:color w:val="000000" w:themeColor="text1"/>
        </w:rPr>
        <w:t>缴入国库。</w:t>
      </w:r>
    </w:p>
    <w:p>
      <w:pPr>
        <w:pStyle w:val="31"/>
        <w:wordWrap w:val="0"/>
        <w:adjustRightInd/>
        <w:snapToGrid/>
        <w:rPr>
          <w:color w:val="000000" w:themeColor="text1"/>
        </w:rPr>
      </w:pPr>
      <w:r>
        <w:rPr>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《中华人民共和国个人所得税法》第十条第二款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《中华人民共和国个人所得税法实施条例》第二十四条、第二十六条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《国家税务总局关于发布〈个人所得税扣缴申报管理办法（试行）〉的公告》（国家税务总局公告</w:t>
      </w:r>
      <w:r>
        <w:rPr>
          <w:rFonts w:cs="Times New Roman"/>
          <w:color w:val="000000" w:themeColor="text1"/>
        </w:rPr>
        <w:t>2018</w:t>
      </w:r>
      <w:r>
        <w:rPr>
          <w:rFonts w:hint="default" w:ascii="宋体" w:hAnsi="宋体" w:cs="Times New Roman"/>
          <w:color w:val="000000" w:themeColor="text1"/>
        </w:rPr>
        <w:t>年第</w:t>
      </w:r>
      <w:r>
        <w:rPr>
          <w:rFonts w:cs="Times New Roman"/>
          <w:color w:val="000000" w:themeColor="text1"/>
        </w:rPr>
        <w:t>61</w:t>
      </w:r>
      <w:r>
        <w:rPr>
          <w:rFonts w:hint="default" w:ascii="宋体" w:hAnsi="宋体" w:cs="Times New Roman"/>
          <w:color w:val="000000" w:themeColor="text1"/>
        </w:rPr>
        <w:t>号）</w:t>
      </w:r>
    </w:p>
    <w:p>
      <w:pPr>
        <w:pStyle w:val="31"/>
        <w:wordWrap w:val="0"/>
        <w:adjustRightInd/>
        <w:snapToGrid/>
        <w:rPr>
          <w:color w:val="000000" w:themeColor="text1"/>
        </w:rPr>
      </w:pPr>
      <w:r>
        <w:rPr>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01"/>
        <w:gridCol w:w="3669"/>
        <w:gridCol w:w="780"/>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序号</w:t>
            </w:r>
          </w:p>
        </w:tc>
        <w:tc>
          <w:tcPr>
            <w:tcW w:w="537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7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133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537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《个人所得税扣缴申报表》</w:t>
            </w:r>
          </w:p>
        </w:tc>
        <w:tc>
          <w:tcPr>
            <w:tcW w:w="7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133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2"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适用情形</w:t>
            </w:r>
          </w:p>
        </w:tc>
        <w:tc>
          <w:tcPr>
            <w:tcW w:w="366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7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1333"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szCs w:val="21"/>
              </w:rPr>
            </w:pPr>
            <w:r>
              <w:rPr>
                <w:color w:val="000000" w:themeColor="text1"/>
              </w:rPr>
              <w:t>首次办理扣缴申报时或被扣缴义务人信息变更后</w:t>
            </w:r>
          </w:p>
        </w:tc>
        <w:tc>
          <w:tcPr>
            <w:tcW w:w="366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《个人所得税基础信息表（A表）》</w:t>
            </w:r>
          </w:p>
        </w:tc>
        <w:tc>
          <w:tcPr>
            <w:tcW w:w="7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133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有依法确定的其他扣除</w:t>
            </w:r>
          </w:p>
        </w:tc>
        <w:tc>
          <w:tcPr>
            <w:tcW w:w="366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《商业健康保险税前扣除情况明细表》《个人税收递延型商业养老保险税前扣除情况明细表》等相关扣除资料</w:t>
            </w:r>
          </w:p>
        </w:tc>
        <w:tc>
          <w:tcPr>
            <w:tcW w:w="7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133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选择在工资、薪金所得预扣预缴个人所得税时享受的</w:t>
            </w:r>
            <w:r>
              <w:rPr>
                <w:rFonts w:hint="eastAsia"/>
                <w:color w:val="000000" w:themeColor="text1"/>
              </w:rPr>
              <w:t>六项专项附加扣除</w:t>
            </w:r>
          </w:p>
        </w:tc>
        <w:tc>
          <w:tcPr>
            <w:tcW w:w="366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《个人所得税专项附加扣除信息表》</w:t>
            </w:r>
          </w:p>
        </w:tc>
        <w:tc>
          <w:tcPr>
            <w:tcW w:w="7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133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企业存在股权激励和股票期权职工行权</w:t>
            </w:r>
          </w:p>
        </w:tc>
        <w:tc>
          <w:tcPr>
            <w:tcW w:w="366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公司股权激励人员名单</w:t>
            </w:r>
          </w:p>
        </w:tc>
        <w:tc>
          <w:tcPr>
            <w:tcW w:w="7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133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纳税人存在减免个人所得税情形</w:t>
            </w:r>
          </w:p>
        </w:tc>
        <w:tc>
          <w:tcPr>
            <w:tcW w:w="366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《个人所得税减免税事项报告表》</w:t>
            </w:r>
          </w:p>
        </w:tc>
        <w:tc>
          <w:tcPr>
            <w:tcW w:w="7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1333"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可通过办税服务厅（场所）、</w:t>
      </w:r>
      <w:bookmarkStart w:id="222" w:name="_Hlk16362287"/>
      <w:r>
        <w:rPr>
          <w:rFonts w:hint="default" w:ascii="宋体" w:hAnsi="宋体" w:cs="Times New Roman"/>
          <w:color w:val="000000" w:themeColor="text1"/>
        </w:rPr>
        <w:t>自然人税收管理系统</w:t>
      </w:r>
      <w:bookmarkEnd w:id="222"/>
      <w:r>
        <w:rPr>
          <w:rFonts w:hint="default" w:ascii="宋体" w:hAnsi="宋体" w:cs="Times New Roman"/>
          <w:color w:val="000000" w:themeColor="text1"/>
        </w:rPr>
        <w:t>（扣缴客户端）办理，办税服务厅（场所）的具体地点可从国家税务总局湖南省税务局网站“纳税服务”栏目查询。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color w:val="000000" w:themeColor="text1"/>
        </w:rPr>
        <w:t>【办理机构】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扣缴义务人主管税务机关</w:t>
      </w:r>
    </w:p>
    <w:p>
      <w:pPr>
        <w:pStyle w:val="31"/>
        <w:wordWrap w:val="0"/>
        <w:adjustRightInd/>
        <w:snapToGrid/>
        <w:rPr>
          <w:color w:val="000000" w:themeColor="text1"/>
        </w:rPr>
      </w:pPr>
      <w:r>
        <w:rPr>
          <w:color w:val="000000" w:themeColor="text1"/>
        </w:rPr>
        <w:t>【收费标准】</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不收费</w:t>
      </w:r>
    </w:p>
    <w:p>
      <w:pPr>
        <w:pStyle w:val="31"/>
        <w:wordWrap w:val="0"/>
        <w:adjustRightInd/>
        <w:snapToGrid/>
        <w:rPr>
          <w:color w:val="000000" w:themeColor="text1"/>
        </w:rPr>
      </w:pPr>
      <w:r>
        <w:rPr>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即时办结</w:t>
      </w:r>
    </w:p>
    <w:p>
      <w:pPr>
        <w:pStyle w:val="31"/>
        <w:wordWrap w:val="0"/>
        <w:adjustRightInd/>
        <w:snapToGrid/>
        <w:rPr>
          <w:color w:val="000000" w:themeColor="text1"/>
        </w:rPr>
      </w:pPr>
      <w:r>
        <w:rPr>
          <w:color w:val="000000" w:themeColor="text1"/>
        </w:rPr>
        <w:t>【联系电话】</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59680" cy="1710690"/>
            <wp:effectExtent l="0" t="0" r="7620" b="0"/>
            <wp:docPr id="83" name="图片 52" descr="C:\Users\baoqianyu\Desktop\流程图\即办\扣缴义务人.png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2" descr="C:\Users\baoqianyu\Desktop\流程图\即办\扣缴义务人.png扣缴义务人"/>
                    <pic:cNvPicPr>
                      <a:picLocks noChangeAspect="1"/>
                    </pic:cNvPicPr>
                  </pic:nvPicPr>
                  <pic:blipFill>
                    <a:blip r:embed="rId18"/>
                    <a:srcRect/>
                    <a:stretch>
                      <a:fillRect/>
                    </a:stretch>
                  </pic:blipFill>
                  <pic:spPr>
                    <a:xfrm>
                      <a:off x="0" y="0"/>
                      <a:ext cx="5059680" cy="1710690"/>
                    </a:xfrm>
                    <a:prstGeom prst="rect">
                      <a:avLst/>
                    </a:prstGeom>
                    <a:noFill/>
                    <a:ln>
                      <a:noFill/>
                    </a:ln>
                  </pic:spPr>
                </pic:pic>
              </a:graphicData>
            </a:graphic>
          </wp:inline>
        </w:drawing>
      </w:r>
    </w:p>
    <w:p>
      <w:pPr>
        <w:pStyle w:val="31"/>
        <w:wordWrap w:val="0"/>
        <w:adjustRightInd/>
        <w:snapToGrid/>
        <w:rPr>
          <w:color w:val="000000" w:themeColor="text1"/>
        </w:rPr>
      </w:pPr>
      <w:r>
        <w:rPr>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1.纳税人、</w:t>
      </w:r>
      <w:r>
        <w:rPr>
          <w:rFonts w:hint="default"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扣缴义务人使用符合电子签名法规定条件的电子签名，与手写签名或者盖章具有同等法律效力。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扣缴义务人应依照税收法律、法规、规章及其他有关规定，向居民个人支付综合所得时，不论其是否属于本单位人员、支付的应税所得是否达到纳税标准，应当办理全员全额扣缴申报，在代扣税款的次月</w:t>
      </w:r>
      <w:r>
        <w:rPr>
          <w:rFonts w:cs="Times New Roman"/>
          <w:color w:val="000000" w:themeColor="text1"/>
        </w:rPr>
        <w:t>15</w:t>
      </w:r>
      <w:r>
        <w:rPr>
          <w:rFonts w:hint="default" w:ascii="宋体" w:hAnsi="宋体" w:cs="Times New Roman"/>
          <w:color w:val="000000" w:themeColor="text1"/>
        </w:rPr>
        <w:t>日内，向主管税务机关报送其支付所得的所有个人的有关信息、支付所得数额、扣除事项和数额、扣缴税款的具体数额和总额以及其他相关涉税信息资料。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扣缴义务人向居民个人支付工资、薪金所得时，应当按照累计预扣法计算预扣税款，并按月办理扣缴申报。扣缴义务人向居民个人支付劳务报酬所得、稿酬所得、特许权使用费所得时，应当按次或者按月预扣预缴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享受子女教育、继续教育、住房贷款利息或者住房租金、赡养老人专项附加扣除的纳税人，自符合条件开始，可以向支付工资、薪金所得的扣缴义务人提供上述专项附加扣除有关信息，由扣缴义务人在预扣预缴税款时，按其在本单位本年可享受的累计扣除额办理扣除；也可以在次年</w:t>
      </w:r>
      <w:r>
        <w:rPr>
          <w:rFonts w:cs="Times New Roman"/>
          <w:color w:val="000000" w:themeColor="text1"/>
        </w:rPr>
        <w:t>3</w:t>
      </w:r>
      <w:r>
        <w:rPr>
          <w:rFonts w:hint="default" w:ascii="宋体" w:hAnsi="宋体" w:cs="Times New Roman"/>
          <w:color w:val="000000" w:themeColor="text1"/>
        </w:rPr>
        <w:t>月</w:t>
      </w:r>
      <w:r>
        <w:rPr>
          <w:rFonts w:cs="Times New Roman"/>
          <w:color w:val="000000" w:themeColor="text1"/>
        </w:rPr>
        <w:t>1</w:t>
      </w:r>
      <w:r>
        <w:rPr>
          <w:rFonts w:hint="default" w:ascii="宋体" w:hAnsi="宋体" w:cs="Times New Roman"/>
          <w:color w:val="000000" w:themeColor="text1"/>
        </w:rPr>
        <w:t>日至</w:t>
      </w:r>
      <w:r>
        <w:rPr>
          <w:rFonts w:cs="Times New Roman"/>
          <w:color w:val="000000" w:themeColor="text1"/>
        </w:rPr>
        <w:t>6</w:t>
      </w:r>
      <w:r>
        <w:rPr>
          <w:rFonts w:hint="default" w:ascii="宋体" w:hAnsi="宋体" w:cs="Times New Roman"/>
          <w:color w:val="000000" w:themeColor="text1"/>
        </w:rPr>
        <w:t>月</w:t>
      </w:r>
      <w:r>
        <w:rPr>
          <w:rFonts w:cs="Times New Roman"/>
          <w:color w:val="000000" w:themeColor="text1"/>
        </w:rPr>
        <w:t>30</w:t>
      </w:r>
      <w:r>
        <w:rPr>
          <w:rFonts w:hint="default" w:ascii="宋体" w:hAnsi="宋体" w:cs="Times New Roman"/>
          <w:color w:val="000000" w:themeColor="text1"/>
        </w:rPr>
        <w:t>日内，向汇缴地主管税务机关办理汇算清缴申报时扣除。居民个人向扣缴义务人提供有关信息并依法要求办理专项附加扣除的，扣缴义务人应当按照规定在工资、薪金所得按月预扣预缴税款时予以扣除，不得拒绝。</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hint="default" w:ascii="宋体" w:hAnsi="宋体" w:cs="Times New Roman"/>
          <w:color w:val="000000" w:themeColor="text1"/>
        </w:rPr>
        <w:t>纳税人同时从两处以上取得工资、薪金所得，并由扣缴义务人减除专项附加扣除的，对同一专项附加扣除项目，在一个纳税年度内只能选择从一处取得的所得中减除。</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hint="default" w:ascii="宋体" w:hAnsi="宋体" w:cs="Times New Roman"/>
          <w:color w:val="000000" w:themeColor="text1"/>
        </w:rPr>
        <w:t>支付工资、薪金所得的扣缴义务人应当于年度终了后</w:t>
      </w:r>
      <w:r>
        <w:rPr>
          <w:rFonts w:ascii="宋体" w:hAnsi="宋体" w:cs="Times New Roman"/>
          <w:color w:val="000000" w:themeColor="text1"/>
        </w:rPr>
        <w:t>两</w:t>
      </w:r>
      <w:r>
        <w:rPr>
          <w:rFonts w:hint="default" w:ascii="宋体" w:hAnsi="宋体" w:cs="Times New Roman"/>
          <w:color w:val="000000" w:themeColor="text1"/>
        </w:rPr>
        <w:t>个月内，向纳税人提供其个人所得和已扣缴税款等信息。纳税人年度中间需要提供上述信息的，扣缴义务人应当提供。纳税人取得除工资、薪金所得以外的其他所得，扣缴义务人应当在扣缴税款后，及时向纳税人提供其个人所得和已扣缴税款等信息。</w:t>
      </w:r>
    </w:p>
    <w:p>
      <w:pPr>
        <w:wordWrap w:val="0"/>
        <w:spacing w:line="360" w:lineRule="auto"/>
        <w:ind w:firstLine="480"/>
        <w:rPr>
          <w:rFonts w:hint="default" w:ascii="宋体" w:hAnsi="宋体" w:cs="Times New Roman"/>
          <w:color w:val="000000" w:themeColor="text1"/>
        </w:rPr>
      </w:pPr>
      <w:r>
        <w:rPr>
          <w:rFonts w:cs="Times New Roman"/>
          <w:color w:val="000000" w:themeColor="text1"/>
        </w:rPr>
        <w:t>12.</w:t>
      </w:r>
      <w:r>
        <w:rPr>
          <w:rFonts w:hint="default" w:ascii="宋体" w:hAnsi="宋体" w:cs="Times New Roman"/>
          <w:color w:val="000000" w:themeColor="text1"/>
        </w:rPr>
        <w:t>纳税人年度中间更换工作单位的，在原单位任职、受雇期间已享受的专项附加扣除金额，不得在新任职、受雇单位扣除。原扣缴义务人应当自纳税人离职不再发放工资薪金所得的当月起，停止为其办理专项附加扣除。</w:t>
      </w:r>
    </w:p>
    <w:p>
      <w:pPr>
        <w:wordWrap w:val="0"/>
        <w:spacing w:line="360" w:lineRule="auto"/>
        <w:ind w:firstLine="480"/>
        <w:rPr>
          <w:rFonts w:hint="default" w:ascii="宋体" w:hAnsi="宋体" w:cs="Times New Roman"/>
          <w:color w:val="000000" w:themeColor="text1"/>
        </w:rPr>
      </w:pPr>
      <w:r>
        <w:rPr>
          <w:rFonts w:cs="Times New Roman"/>
          <w:color w:val="000000" w:themeColor="text1"/>
        </w:rPr>
        <w:t>13.</w:t>
      </w:r>
      <w:r>
        <w:rPr>
          <w:rFonts w:hint="default" w:ascii="宋体" w:hAnsi="宋体" w:cs="Times New Roman"/>
          <w:color w:val="000000" w:themeColor="text1"/>
        </w:rPr>
        <w:t>纳税人可以通过远程办税端、电子或者纸质报表等方式，向扣缴义务人报送个人专项附加扣除信息。</w:t>
      </w:r>
    </w:p>
    <w:p>
      <w:pPr>
        <w:wordWrap w:val="0"/>
        <w:spacing w:line="360" w:lineRule="auto"/>
        <w:ind w:firstLine="480"/>
        <w:rPr>
          <w:rFonts w:hint="default" w:ascii="宋体" w:hAnsi="宋体" w:cs="Times New Roman"/>
          <w:color w:val="000000" w:themeColor="text1"/>
        </w:rPr>
      </w:pPr>
      <w:r>
        <w:rPr>
          <w:rFonts w:cs="Times New Roman"/>
          <w:color w:val="000000" w:themeColor="text1"/>
        </w:rPr>
        <w:t>14.</w:t>
      </w:r>
      <w:r>
        <w:rPr>
          <w:rFonts w:hint="default" w:ascii="宋体" w:hAnsi="宋体" w:cs="Times New Roman"/>
          <w:color w:val="000000" w:themeColor="text1"/>
        </w:rPr>
        <w:t>扣缴义务人应当按照纳税人提供的信息计算税款、办理扣缴申报，不得擅自更改纳税人提供的信息。扣缴义务人发现纳税人提供的信息与实际情况不符，纳税人拒绝修改的，扣缴义务人应当报告税务机关。纳税人拒绝扣缴义务人依法履行代扣代缴义务的，扣缴义务人应当及时报告税务机关。</w:t>
      </w:r>
    </w:p>
    <w:p>
      <w:pPr>
        <w:wordWrap w:val="0"/>
        <w:spacing w:line="360" w:lineRule="auto"/>
        <w:ind w:firstLine="480"/>
        <w:rPr>
          <w:rFonts w:hint="default" w:ascii="宋体" w:hAnsi="宋体" w:cs="Times New Roman"/>
          <w:color w:val="000000" w:themeColor="text1"/>
        </w:rPr>
      </w:pPr>
      <w:r>
        <w:rPr>
          <w:rFonts w:cs="Times New Roman"/>
          <w:color w:val="000000" w:themeColor="text1"/>
        </w:rPr>
        <w:t>15.</w:t>
      </w:r>
      <w:r>
        <w:rPr>
          <w:rFonts w:hint="default" w:ascii="宋体" w:hAnsi="宋体" w:cs="Times New Roman"/>
          <w:color w:val="000000" w:themeColor="text1"/>
        </w:rPr>
        <w:t>扣缴义务人对纳税人提供的《个人所得税专项附加扣除信息表》，应当按照规定妥善保存备查，并依法对纳税人报送的专项附加扣除等相关涉税信息和资料保密。纳税人报送给扣缴义务人的《个人所得税专项附加扣除信息表》，扣缴义务人应当自预扣预缴年度的次年起留存</w:t>
      </w:r>
      <w:r>
        <w:rPr>
          <w:rFonts w:ascii="宋体" w:hAnsi="宋体" w:cs="Times New Roman"/>
          <w:color w:val="000000" w:themeColor="text1"/>
        </w:rPr>
        <w:t>五</w:t>
      </w:r>
      <w:r>
        <w:rPr>
          <w:rFonts w:hint="default" w:ascii="宋体" w:hAnsi="宋体" w:cs="Times New Roman"/>
          <w:color w:val="000000" w:themeColor="text1"/>
        </w:rPr>
        <w:t>年。</w:t>
      </w:r>
    </w:p>
    <w:p>
      <w:pPr>
        <w:wordWrap w:val="0"/>
        <w:spacing w:line="360" w:lineRule="auto"/>
        <w:ind w:firstLine="480"/>
        <w:rPr>
          <w:rFonts w:hint="default" w:ascii="宋体" w:hAnsi="宋体" w:cs="Times New Roman"/>
          <w:color w:val="000000" w:themeColor="text1"/>
        </w:rPr>
      </w:pPr>
      <w:r>
        <w:rPr>
          <w:rFonts w:cs="Times New Roman"/>
          <w:color w:val="000000" w:themeColor="text1"/>
        </w:rPr>
        <w:t>16.</w:t>
      </w:r>
      <w:r>
        <w:rPr>
          <w:rFonts w:hint="default" w:ascii="宋体" w:hAnsi="宋体" w:cs="Times New Roman"/>
          <w:color w:val="000000" w:themeColor="text1"/>
        </w:rPr>
        <w:t>扣缴义务人有未按照规定向税务机关报送资料和信息、未按照纳税人提供信息虚报虚扣专项附加扣除、应扣未扣税款、不缴或少缴已扣税款、借用或冒用他人身份等行为的，依照《中华人民共和国税收征收管理法》等相关法律、行政法规处理。</w:t>
      </w:r>
    </w:p>
    <w:p>
      <w:pPr>
        <w:pStyle w:val="31"/>
        <w:wordWrap w:val="0"/>
        <w:adjustRightInd/>
        <w:snapToGrid/>
        <w:rPr>
          <w:color w:val="000000" w:themeColor="text1"/>
        </w:rPr>
      </w:pPr>
      <w:r>
        <w:rPr>
          <w:color w:val="000000" w:themeColor="text1"/>
        </w:rPr>
        <w:t>【基本规范】</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1.</w:t>
      </w:r>
      <w:r>
        <w:rPr>
          <w:rFonts w:ascii="宋体" w:hAnsi="宋体" w:eastAsia="宋体"/>
          <w:bCs w:val="0"/>
          <w:color w:val="000000" w:themeColor="text1"/>
        </w:rPr>
        <w:t>受理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办税服务厅或自然人税收管理系统接收资料信息，核对资料信息是否齐全、是否符合法定形式、填写内容是否完整，符合的即时受理；对资料不齐全、不符合法定形式或填写内容不完整的，一次性告知应补正资料或不予受理原因。</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）不得违规受理申报。</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2.</w:t>
      </w:r>
      <w:r>
        <w:rPr>
          <w:rFonts w:ascii="宋体" w:hAnsi="宋体" w:eastAsia="宋体"/>
          <w:bCs w:val="0"/>
          <w:color w:val="000000" w:themeColor="text1"/>
        </w:rPr>
        <w:t>办理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）按照</w:t>
      </w:r>
      <w:r>
        <w:rPr>
          <w:rFonts w:hint="eastAsia" w:ascii="宋体" w:hAnsi="宋体" w:eastAsia="宋体"/>
          <w:bCs w:val="0"/>
          <w:color w:val="000000" w:themeColor="text1"/>
        </w:rPr>
        <w:t>扣缴义务人</w:t>
      </w:r>
      <w:r>
        <w:rPr>
          <w:rFonts w:ascii="宋体" w:hAnsi="宋体" w:eastAsia="宋体"/>
          <w:bCs w:val="0"/>
          <w:color w:val="000000" w:themeColor="text1"/>
        </w:rPr>
        <w:t>报送材料录入数据。根据信息系统的提示信息，提醒</w:t>
      </w:r>
      <w:r>
        <w:rPr>
          <w:rFonts w:hint="eastAsia" w:ascii="宋体" w:hAnsi="宋体" w:eastAsia="宋体"/>
          <w:bCs w:val="0"/>
          <w:color w:val="000000" w:themeColor="text1"/>
        </w:rPr>
        <w:t>扣缴义务人</w:t>
      </w:r>
      <w:r>
        <w:rPr>
          <w:rFonts w:ascii="宋体" w:hAnsi="宋体" w:eastAsia="宋体"/>
          <w:bCs w:val="0"/>
          <w:color w:val="000000" w:themeColor="text1"/>
        </w:rPr>
        <w:t>更正纠错。</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）按规定开具税收票证。</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3.</w:t>
      </w:r>
      <w:r>
        <w:rPr>
          <w:rFonts w:ascii="宋体" w:hAnsi="宋体" w:eastAsia="宋体"/>
          <w:bCs w:val="0"/>
          <w:color w:val="000000" w:themeColor="text1"/>
        </w:rPr>
        <w:t>反馈</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办理结束后，在申报表上加盖印章，一份返还</w:t>
      </w:r>
      <w:r>
        <w:rPr>
          <w:rFonts w:hint="eastAsia" w:ascii="宋体" w:hAnsi="宋体" w:eastAsia="宋体"/>
          <w:bCs w:val="0"/>
          <w:color w:val="000000" w:themeColor="text1"/>
        </w:rPr>
        <w:t>扣缴义务人</w:t>
      </w:r>
      <w:r>
        <w:rPr>
          <w:rFonts w:ascii="宋体" w:hAnsi="宋体" w:eastAsia="宋体"/>
          <w:bCs w:val="0"/>
          <w:color w:val="000000" w:themeColor="text1"/>
        </w:rPr>
        <w:t>；自然人税收管理系统办理的，将办理结果通过自然人税收管理系统反馈给</w:t>
      </w:r>
      <w:r>
        <w:rPr>
          <w:rFonts w:hint="eastAsia" w:ascii="宋体" w:hAnsi="宋体" w:eastAsia="宋体"/>
          <w:bCs w:val="0"/>
          <w:color w:val="000000" w:themeColor="text1"/>
        </w:rPr>
        <w:t>扣缴义务人</w:t>
      </w:r>
      <w:r>
        <w:rPr>
          <w:rFonts w:ascii="宋体" w:hAnsi="宋体" w:eastAsia="宋体"/>
          <w:bCs w:val="0"/>
          <w:color w:val="000000" w:themeColor="text1"/>
        </w:rPr>
        <w:t>。</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4.</w:t>
      </w:r>
      <w:r>
        <w:rPr>
          <w:rFonts w:ascii="宋体" w:hAnsi="宋体" w:eastAsia="宋体"/>
          <w:bCs w:val="0"/>
          <w:color w:val="000000" w:themeColor="text1"/>
        </w:rPr>
        <w:t>归档</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将资料进行归档。不得将</w:t>
      </w:r>
      <w:r>
        <w:rPr>
          <w:rFonts w:hint="eastAsia" w:ascii="宋体" w:hAnsi="宋体" w:eastAsia="宋体"/>
          <w:bCs w:val="0"/>
          <w:color w:val="000000" w:themeColor="text1"/>
        </w:rPr>
        <w:t>扣缴义务人</w:t>
      </w:r>
      <w:r>
        <w:rPr>
          <w:rFonts w:ascii="宋体" w:hAnsi="宋体" w:eastAsia="宋体"/>
          <w:bCs w:val="0"/>
          <w:color w:val="000000" w:themeColor="text1"/>
        </w:rPr>
        <w:t>的办理材料用于与政务服务无关的用途。</w:t>
      </w:r>
    </w:p>
    <w:p>
      <w:pPr>
        <w:wordWrap w:val="0"/>
        <w:spacing w:line="360" w:lineRule="auto"/>
        <w:ind w:firstLine="480"/>
        <w:rPr>
          <w:rFonts w:hint="default"/>
        </w:rPr>
      </w:pPr>
      <w:r>
        <w:rPr>
          <w:rFonts w:ascii="黑体" w:hAnsi="黑体" w:eastAsia="黑体" w:cs="Times New Roman"/>
          <w:bCs/>
        </w:rPr>
        <w:t>【操作规范】</w:t>
      </w:r>
    </w:p>
    <w:p>
      <w:pPr>
        <w:pStyle w:val="16"/>
        <w:spacing w:beforeLines="0" w:afterLines="0"/>
        <w:jc w:val="both"/>
        <w:rPr>
          <w:color w:val="000000" w:themeColor="text1"/>
          <w:kern w:val="2"/>
        </w:rPr>
      </w:pPr>
      <w:r>
        <w:rPr>
          <w:rFonts w:hint="eastAsia"/>
          <w:color w:val="000000" w:themeColor="text1"/>
          <w:kern w:val="2"/>
        </w:rPr>
        <w:t>1.受理环节</w:t>
      </w:r>
    </w:p>
    <w:p>
      <w:pPr>
        <w:pStyle w:val="16"/>
        <w:spacing w:beforeLines="0" w:afterLines="0"/>
        <w:jc w:val="both"/>
        <w:rPr>
          <w:color w:val="000000" w:themeColor="text1"/>
          <w:kern w:val="2"/>
        </w:rPr>
      </w:pPr>
      <w:r>
        <w:rPr>
          <w:rFonts w:hint="eastAsia"/>
          <w:color w:val="000000" w:themeColor="text1"/>
          <w:kern w:val="2"/>
        </w:rPr>
        <w:t>进入金三操作系统，通过申报征收岗权限，按照【自然人税收管理系统（ITS）】—【申报】—【代扣代缴申报】—【综合所得个人所得税预扣预缴申报表（ITS）】的路径进入功能模块。</w:t>
      </w:r>
    </w:p>
    <w:p>
      <w:pPr>
        <w:pStyle w:val="16"/>
        <w:spacing w:beforeLines="0" w:afterLines="0"/>
        <w:jc w:val="both"/>
        <w:rPr>
          <w:color w:val="000000" w:themeColor="text1"/>
          <w:kern w:val="2"/>
        </w:rPr>
      </w:pPr>
      <w:r>
        <w:rPr>
          <w:rFonts w:hint="eastAsia"/>
          <w:color w:val="000000" w:themeColor="text1"/>
          <w:kern w:val="2"/>
        </w:rPr>
        <w:t>2.提示事项</w:t>
      </w:r>
    </w:p>
    <w:p>
      <w:pPr>
        <w:pStyle w:val="16"/>
        <w:spacing w:beforeLines="0" w:afterLines="0"/>
        <w:jc w:val="both"/>
        <w:rPr>
          <w:color w:val="000000" w:themeColor="text1"/>
          <w:kern w:val="2"/>
        </w:rPr>
      </w:pPr>
      <w:r>
        <w:rPr>
          <w:rFonts w:hint="eastAsia"/>
          <w:color w:val="000000" w:themeColor="text1"/>
          <w:kern w:val="2"/>
        </w:rPr>
        <w:t>（1）扣缴义务人为自然人时，扣缴义务人须已经进行过自然人信息采集；扣缴义务人身份验证状态满足条件。</w:t>
      </w:r>
    </w:p>
    <w:p>
      <w:pPr>
        <w:pStyle w:val="16"/>
        <w:spacing w:beforeLines="0" w:afterLines="0"/>
        <w:jc w:val="both"/>
        <w:rPr>
          <w:color w:val="000000" w:themeColor="text1"/>
          <w:kern w:val="2"/>
        </w:rPr>
      </w:pPr>
      <w:r>
        <w:rPr>
          <w:rFonts w:hint="eastAsia"/>
          <w:color w:val="000000" w:themeColor="text1"/>
          <w:kern w:val="2"/>
        </w:rPr>
        <w:t>（2）扣缴义务人为企业时，扣缴义务人须已进行过扣缴税务登记，且状态正常。</w:t>
      </w:r>
    </w:p>
    <w:p>
      <w:pPr>
        <w:pStyle w:val="31"/>
      </w:pPr>
      <w: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spacing w:line="276" w:lineRule="auto"/>
            </w:pPr>
            <w:r>
              <w:t>序号</w:t>
            </w:r>
          </w:p>
        </w:tc>
        <w:tc>
          <w:tcPr>
            <w:tcW w:w="5654" w:type="dxa"/>
            <w:vAlign w:val="center"/>
          </w:tcPr>
          <w:p>
            <w:pPr>
              <w:pStyle w:val="33"/>
              <w:spacing w:line="276" w:lineRule="auto"/>
            </w:pPr>
            <w:r>
              <w:t>文件名称</w:t>
            </w:r>
          </w:p>
        </w:tc>
        <w:tc>
          <w:tcPr>
            <w:tcW w:w="1683" w:type="dxa"/>
            <w:vAlign w:val="center"/>
          </w:tcPr>
          <w:p>
            <w:pPr>
              <w:pStyle w:val="33"/>
              <w:spacing w:line="276" w:lineRule="auto"/>
            </w:pPr>
            <w: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w:t>
            </w:r>
          </w:p>
        </w:tc>
        <w:tc>
          <w:tcPr>
            <w:tcW w:w="5654" w:type="dxa"/>
            <w:vAlign w:val="center"/>
          </w:tcPr>
          <w:p>
            <w:pPr>
              <w:pStyle w:val="50"/>
              <w:spacing w:line="276" w:lineRule="auto"/>
            </w:pPr>
            <w:r>
              <w:t>《中华人民共和国税收征收管理法》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2</w:t>
            </w:r>
          </w:p>
        </w:tc>
        <w:tc>
          <w:tcPr>
            <w:tcW w:w="5654" w:type="dxa"/>
            <w:vAlign w:val="center"/>
          </w:tcPr>
          <w:p>
            <w:pPr>
              <w:pStyle w:val="50"/>
              <w:spacing w:line="276" w:lineRule="auto"/>
            </w:pPr>
            <w:r>
              <w:t>《中华人民共和国个人所得税法》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3</w:t>
            </w:r>
          </w:p>
        </w:tc>
        <w:tc>
          <w:tcPr>
            <w:tcW w:w="5654" w:type="dxa"/>
            <w:vAlign w:val="center"/>
          </w:tcPr>
          <w:p>
            <w:pPr>
              <w:pStyle w:val="50"/>
              <w:spacing w:line="276" w:lineRule="auto"/>
            </w:pPr>
            <w:r>
              <w:t>《中华人民共和国个人所得税法实施条例》</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4</w:t>
            </w:r>
          </w:p>
        </w:tc>
        <w:tc>
          <w:tcPr>
            <w:tcW w:w="5654" w:type="dxa"/>
            <w:vAlign w:val="center"/>
          </w:tcPr>
          <w:p>
            <w:pPr>
              <w:pStyle w:val="50"/>
              <w:spacing w:line="276" w:lineRule="auto"/>
            </w:pPr>
            <w:r>
              <w:t>《国务院关于印发个人所得税专项附加扣除暂行办法的通知》（国发〔2018〕41号）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5</w:t>
            </w:r>
          </w:p>
        </w:tc>
        <w:tc>
          <w:tcPr>
            <w:tcW w:w="5654" w:type="dxa"/>
            <w:vAlign w:val="center"/>
          </w:tcPr>
          <w:p>
            <w:pPr>
              <w:pStyle w:val="50"/>
              <w:spacing w:line="276" w:lineRule="auto"/>
            </w:pPr>
            <w:r>
              <w:t>《财政部 税务总局关于继续有效的个人所得税优惠政策目录的公告》（财政部税务总局公告2018年第177号）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6</w:t>
            </w:r>
          </w:p>
        </w:tc>
        <w:tc>
          <w:tcPr>
            <w:tcW w:w="5654" w:type="dxa"/>
            <w:vAlign w:val="center"/>
          </w:tcPr>
          <w:p>
            <w:pPr>
              <w:pStyle w:val="50"/>
              <w:spacing w:line="276" w:lineRule="auto"/>
            </w:pPr>
            <w:r>
              <w:t>《财政部 税务总局关于个人取得有关收入适用个人所得税应税所得项目的公告》（财政部税务总局公告2019年第74号）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7</w:t>
            </w:r>
          </w:p>
        </w:tc>
        <w:tc>
          <w:tcPr>
            <w:tcW w:w="5654" w:type="dxa"/>
            <w:vAlign w:val="center"/>
          </w:tcPr>
          <w:p>
            <w:pPr>
              <w:pStyle w:val="50"/>
              <w:spacing w:line="276" w:lineRule="auto"/>
            </w:pPr>
            <w:r>
              <w:t>《国家税务总局关于发布&lt;办税事项“最多跑一次”清单&gt;的公告》（国家税务总局公告2018年第12号）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8</w:t>
            </w:r>
          </w:p>
        </w:tc>
        <w:tc>
          <w:tcPr>
            <w:tcW w:w="5654" w:type="dxa"/>
            <w:vAlign w:val="center"/>
          </w:tcPr>
          <w:p>
            <w:pPr>
              <w:pStyle w:val="50"/>
              <w:spacing w:line="276" w:lineRule="auto"/>
            </w:pPr>
            <w:r>
              <w:t>《国家税务总局关于发布〈个人所得税专项附加扣除操作办法（试行）〉的公告》（国家税务总局公告2018年第60号）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9</w:t>
            </w:r>
          </w:p>
        </w:tc>
        <w:tc>
          <w:tcPr>
            <w:tcW w:w="5654" w:type="dxa"/>
            <w:vAlign w:val="center"/>
          </w:tcPr>
          <w:p>
            <w:pPr>
              <w:pStyle w:val="50"/>
              <w:spacing w:line="276" w:lineRule="auto"/>
            </w:pPr>
            <w:r>
              <w:t>《国家税务总局关于发布〈个人所得税扣缴申报管理办法（试行）〉的公告》（国家税务总局公告2018年第61号）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10</w:t>
            </w:r>
          </w:p>
        </w:tc>
        <w:tc>
          <w:tcPr>
            <w:tcW w:w="5654" w:type="dxa"/>
            <w:vAlign w:val="center"/>
          </w:tcPr>
          <w:p>
            <w:pPr>
              <w:pStyle w:val="50"/>
              <w:spacing w:line="276" w:lineRule="auto"/>
            </w:pPr>
            <w:r>
              <w:t>《国家税务总局关于修订个人所得税申报表的公告》（国家税务总局公告2019年第7号）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11</w:t>
            </w:r>
          </w:p>
        </w:tc>
        <w:tc>
          <w:tcPr>
            <w:tcW w:w="5654" w:type="dxa"/>
            <w:vAlign w:val="center"/>
          </w:tcPr>
          <w:p>
            <w:pPr>
              <w:pStyle w:val="50"/>
              <w:spacing w:line="276" w:lineRule="auto"/>
            </w:pPr>
            <w:r>
              <w:t>《国家税务总局关于印发&lt;全国税务系统进一步优化税收营商环境行动方案（2018年—2022年）&gt;的通知》（税总发〔2018〕145号）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12</w:t>
            </w:r>
          </w:p>
        </w:tc>
        <w:tc>
          <w:tcPr>
            <w:tcW w:w="5654" w:type="dxa"/>
            <w:vAlign w:val="center"/>
          </w:tcPr>
          <w:p>
            <w:pPr>
              <w:pStyle w:val="50"/>
              <w:spacing w:line="276" w:lineRule="auto"/>
            </w:pPr>
            <w:r>
              <w:t>《国家税务总局关于印发&lt;办税服务厅管理办法&gt;的通知》（税总发〔2018〕189号）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13</w:t>
            </w:r>
          </w:p>
        </w:tc>
        <w:tc>
          <w:tcPr>
            <w:tcW w:w="5654" w:type="dxa"/>
            <w:vAlign w:val="center"/>
          </w:tcPr>
          <w:p>
            <w:pPr>
              <w:pStyle w:val="50"/>
              <w:spacing w:line="276" w:lineRule="auto"/>
            </w:pPr>
            <w:r>
              <w:t>《国家税务总局关于印发&lt;全国税务系统深化“放管服”改革五年工作方案（2018年—2022年）&gt;的通知》（税总发〔2018〕199号）</w:t>
            </w:r>
          </w:p>
        </w:tc>
        <w:tc>
          <w:tcPr>
            <w:tcW w:w="1683" w:type="dxa"/>
            <w:vAlign w:val="center"/>
          </w:tcPr>
          <w:p>
            <w:pPr>
              <w:pStyle w:val="50"/>
              <w:spacing w:line="276" w:lineRule="auto"/>
            </w:pPr>
            <w:r>
              <w:t>依申请公开</w:t>
            </w:r>
          </w:p>
        </w:tc>
      </w:tr>
    </w:tbl>
    <w:p>
      <w:pPr>
        <w:pStyle w:val="37"/>
        <w:wordWrap w:val="0"/>
        <w:topLinePunct w:val="0"/>
        <w:spacing w:before="312" w:after="312"/>
        <w:rPr>
          <w:color w:val="000000" w:themeColor="text1"/>
        </w:rPr>
      </w:pPr>
      <w:bookmarkStart w:id="223" w:name="_Toc18096173"/>
      <w:r>
        <w:rPr>
          <w:rFonts w:hint="eastAsia"/>
          <w:color w:val="000000" w:themeColor="text1"/>
        </w:rPr>
        <w:t>3.21.3—10</w:t>
      </w:r>
      <w:r>
        <w:rPr>
          <w:color w:val="000000" w:themeColor="text1"/>
        </w:rPr>
        <w:t>7　　居民个人取得分类所得个人所得税代扣代缴申报</w:t>
      </w:r>
      <w:bookmarkEnd w:id="223"/>
    </w:p>
    <w:p>
      <w:pPr>
        <w:pStyle w:val="31"/>
        <w:wordWrap w:val="0"/>
        <w:adjustRightInd/>
        <w:snapToGrid/>
        <w:rPr>
          <w:color w:val="000000" w:themeColor="text1"/>
        </w:rPr>
      </w:pPr>
      <w:r>
        <w:rPr>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居民个人取得分类所得个人所得税代扣代缴申报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wordWrap w:val="0"/>
        <w:spacing w:line="360" w:lineRule="auto"/>
        <w:ind w:firstLine="480"/>
        <w:jc w:val="left"/>
        <w:rPr>
          <w:rFonts w:hint="default" w:ascii="宋体" w:hAnsi="宋体" w:cs="Times New Roman"/>
          <w:color w:val="000000" w:themeColor="text1"/>
        </w:rPr>
      </w:pPr>
      <w:r>
        <w:rPr>
          <w:rFonts w:hint="default" w:ascii="宋体" w:hAnsi="宋体" w:cs="Times New Roman"/>
          <w:color w:val="000000" w:themeColor="text1"/>
        </w:rPr>
        <w:t>个人所得税以向个人支付所得的单位或者个人为扣缴义务人。扣缴义务人向居民个人支付利息、股息、红利所得，财产租赁所得，财产转让所得或者偶然所得时，应当按月或按次代扣代缴个人所得税，在次月</w:t>
      </w:r>
      <w:r>
        <w:rPr>
          <w:rFonts w:cs="Times New Roman"/>
          <w:color w:val="000000" w:themeColor="text1"/>
        </w:rPr>
        <w:t>15</w:t>
      </w:r>
      <w:r>
        <w:rPr>
          <w:rFonts w:hint="default" w:ascii="宋体" w:hAnsi="宋体" w:cs="Times New Roman"/>
          <w:color w:val="000000" w:themeColor="text1"/>
        </w:rPr>
        <w:t>日</w:t>
      </w:r>
      <w:r>
        <w:rPr>
          <w:rFonts w:ascii="宋体" w:hAnsi="宋体" w:cs="Times New Roman"/>
          <w:color w:val="000000" w:themeColor="text1"/>
        </w:rPr>
        <w:t>填报</w:t>
      </w:r>
      <w:r>
        <w:rPr>
          <w:rFonts w:hint="default" w:ascii="宋体" w:hAnsi="宋体" w:cs="Times New Roman"/>
          <w:color w:val="000000" w:themeColor="text1"/>
        </w:rPr>
        <w:t>《个人所得税扣缴申报表》</w:t>
      </w:r>
      <w:r>
        <w:rPr>
          <w:rFonts w:ascii="宋体" w:hAnsi="宋体" w:cs="Times New Roman"/>
          <w:color w:val="000000" w:themeColor="text1"/>
        </w:rPr>
        <w:t>及其他相关资料，</w:t>
      </w:r>
      <w:r>
        <w:rPr>
          <w:rFonts w:hint="default" w:ascii="宋体" w:hAnsi="宋体" w:cs="Times New Roman"/>
          <w:color w:val="000000" w:themeColor="text1"/>
        </w:rPr>
        <w:t>向主管税务机关</w:t>
      </w:r>
      <w:r>
        <w:rPr>
          <w:rFonts w:ascii="宋体" w:hAnsi="宋体" w:cs="Times New Roman"/>
          <w:color w:val="000000" w:themeColor="text1"/>
        </w:rPr>
        <w:t>纳税申报</w:t>
      </w:r>
      <w:r>
        <w:rPr>
          <w:rFonts w:hint="default" w:ascii="宋体" w:hAnsi="宋体" w:cs="Times New Roman"/>
          <w:color w:val="000000" w:themeColor="text1"/>
        </w:rPr>
        <w:t>。</w:t>
      </w:r>
    </w:p>
    <w:p>
      <w:pPr>
        <w:pStyle w:val="31"/>
        <w:wordWrap w:val="0"/>
        <w:adjustRightInd/>
        <w:snapToGrid/>
        <w:rPr>
          <w:color w:val="000000" w:themeColor="text1"/>
        </w:rPr>
      </w:pPr>
      <w:r>
        <w:rPr>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《中华人民共和国个人所得税法》第十条第二款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《中华人民共和国个人所得税法实施条例》第二十四条、第二十六条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《国家税务总局关于发布〈个人所得税扣缴申报管理办法（试行）〉的公告》（国家税务总局公告</w:t>
      </w:r>
      <w:r>
        <w:rPr>
          <w:rFonts w:cs="Times New Roman"/>
          <w:color w:val="000000" w:themeColor="text1"/>
        </w:rPr>
        <w:t>2018</w:t>
      </w:r>
      <w:r>
        <w:rPr>
          <w:rFonts w:hint="default" w:ascii="宋体" w:hAnsi="宋体" w:cs="Times New Roman"/>
          <w:color w:val="000000" w:themeColor="text1"/>
        </w:rPr>
        <w:t>年第</w:t>
      </w:r>
      <w:r>
        <w:rPr>
          <w:rFonts w:cs="Times New Roman"/>
          <w:color w:val="000000" w:themeColor="text1"/>
        </w:rPr>
        <w:t>61</w:t>
      </w:r>
      <w:r>
        <w:rPr>
          <w:rFonts w:hint="default" w:ascii="宋体" w:hAnsi="宋体" w:cs="Times New Roman"/>
          <w:color w:val="000000" w:themeColor="text1"/>
        </w:rPr>
        <w:t>号）</w:t>
      </w:r>
    </w:p>
    <w:p>
      <w:pPr>
        <w:pStyle w:val="31"/>
        <w:wordWrap w:val="0"/>
        <w:adjustRightInd/>
        <w:snapToGrid/>
        <w:rPr>
          <w:color w:val="000000" w:themeColor="text1"/>
        </w:rPr>
      </w:pPr>
      <w:r>
        <w:rPr>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01"/>
        <w:gridCol w:w="2835"/>
        <w:gridCol w:w="680"/>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《个人所得税扣缴申报表》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2"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适用情形</w:t>
            </w:r>
          </w:p>
        </w:tc>
        <w:tc>
          <w:tcPr>
            <w:tcW w:w="28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仿宋" w:hAnsi="仿宋" w:eastAsia="仿宋" w:cs="Times New Roman"/>
                <w:color w:val="000000" w:themeColor="text1"/>
                <w:szCs w:val="21"/>
              </w:rPr>
            </w:pPr>
            <w:r>
              <w:rPr>
                <w:rFonts w:hint="default" w:ascii="黑体" w:hAnsi="黑体" w:eastAsia="黑体" w:cs="Times New Roman"/>
                <w:color w:val="000000" w:themeColor="text1"/>
                <w:sz w:val="18"/>
                <w:szCs w:val="18"/>
              </w:rPr>
              <w:t>首次办理扣缴申报时或被扣缴义务人信息变更后</w:t>
            </w:r>
          </w:p>
        </w:tc>
        <w:tc>
          <w:tcPr>
            <w:tcW w:w="28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《个人所得税基础信息表（A表）》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纳税人存在减免个人所得税情形</w:t>
            </w:r>
          </w:p>
        </w:tc>
        <w:tc>
          <w:tcPr>
            <w:tcW w:w="28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《个人所得税减免税事项报告表》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color w:val="000000" w:themeColor="text1"/>
        </w:rPr>
        <w:t>【办理地点】</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1.</w:t>
      </w:r>
      <w:r>
        <w:rPr>
          <w:rFonts w:ascii="宋体" w:hAnsi="宋体" w:eastAsia="宋体"/>
          <w:color w:val="000000" w:themeColor="text1"/>
        </w:rPr>
        <w:t>可通过办税服务厅（场所）、自然人税收管理系统</w:t>
      </w:r>
      <w:r>
        <w:rPr>
          <w:rFonts w:hint="eastAsia" w:ascii="宋体" w:hAnsi="宋体" w:eastAsia="宋体"/>
          <w:color w:val="000000" w:themeColor="text1"/>
        </w:rPr>
        <w:t>（</w:t>
      </w:r>
      <w:r>
        <w:rPr>
          <w:rFonts w:ascii="宋体" w:hAnsi="宋体" w:eastAsia="宋体"/>
          <w:color w:val="000000" w:themeColor="text1"/>
        </w:rPr>
        <w:t>扣缴客户端</w:t>
      </w:r>
      <w:r>
        <w:rPr>
          <w:rFonts w:hint="eastAsia" w:ascii="宋体" w:hAnsi="宋体" w:eastAsia="宋体"/>
          <w:color w:val="000000" w:themeColor="text1"/>
        </w:rPr>
        <w:t>）</w:t>
      </w:r>
      <w:r>
        <w:rPr>
          <w:rFonts w:ascii="宋体" w:hAnsi="宋体" w:eastAsia="宋体"/>
          <w:color w:val="000000" w:themeColor="text1"/>
        </w:rPr>
        <w:t>办理，办税服务厅（场所）的具体地点可从国家税务总局湖南省税务局网站“纳税服务”栏目查询。</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2.</w:t>
      </w:r>
      <w:r>
        <w:rPr>
          <w:rFonts w:ascii="宋体" w:hAnsi="宋体" w:eastAsia="宋体"/>
          <w:color w:val="000000" w:themeColor="text1"/>
        </w:rPr>
        <w:t>此事项可同城通办。</w:t>
      </w:r>
    </w:p>
    <w:p>
      <w:pPr>
        <w:pStyle w:val="31"/>
        <w:wordWrap w:val="0"/>
        <w:adjustRightInd/>
        <w:snapToGrid/>
        <w:rPr>
          <w:color w:val="000000" w:themeColor="text1"/>
        </w:rPr>
      </w:pPr>
      <w:r>
        <w:rPr>
          <w:color w:val="000000" w:themeColor="text1"/>
        </w:rPr>
        <w:t>【办理机构】</w:t>
      </w:r>
    </w:p>
    <w:p>
      <w:pPr>
        <w:pStyle w:val="31"/>
        <w:wordWrap w:val="0"/>
        <w:adjustRightInd/>
        <w:snapToGrid/>
        <w:rPr>
          <w:rFonts w:ascii="宋体" w:hAnsi="宋体" w:eastAsia="宋体"/>
          <w:color w:val="000000" w:themeColor="text1"/>
        </w:rPr>
      </w:pPr>
      <w:r>
        <w:rPr>
          <w:rFonts w:ascii="宋体" w:hAnsi="宋体" w:eastAsia="宋体"/>
          <w:color w:val="000000" w:themeColor="text1"/>
        </w:rPr>
        <w:t>扣缴义务人主管税务机关</w:t>
      </w:r>
    </w:p>
    <w:p>
      <w:pPr>
        <w:pStyle w:val="31"/>
        <w:wordWrap w:val="0"/>
        <w:adjustRightInd/>
        <w:snapToGrid/>
        <w:rPr>
          <w:color w:val="000000" w:themeColor="text1"/>
        </w:rPr>
      </w:pPr>
      <w:r>
        <w:rPr>
          <w:color w:val="000000" w:themeColor="text1"/>
        </w:rPr>
        <w:t>【收费标准】</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不收费</w:t>
      </w:r>
    </w:p>
    <w:p>
      <w:pPr>
        <w:pStyle w:val="31"/>
        <w:wordWrap w:val="0"/>
        <w:adjustRightInd/>
        <w:snapToGrid/>
        <w:rPr>
          <w:color w:val="000000" w:themeColor="text1"/>
        </w:rPr>
      </w:pPr>
      <w:r>
        <w:rPr>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即时办结</w:t>
      </w:r>
    </w:p>
    <w:p>
      <w:pPr>
        <w:pStyle w:val="31"/>
        <w:wordWrap w:val="0"/>
        <w:adjustRightInd/>
        <w:snapToGrid/>
        <w:rPr>
          <w:color w:val="000000" w:themeColor="text1"/>
        </w:rPr>
      </w:pPr>
      <w:r>
        <w:rPr>
          <w:color w:val="000000" w:themeColor="text1"/>
        </w:rPr>
        <w:t>【联系电话】</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59680" cy="1710690"/>
            <wp:effectExtent l="0" t="0" r="7620" b="0"/>
            <wp:docPr id="84" name="图片 52" descr="C:\Users\baoqianyu\Desktop\流程图\即办\扣缴义务人.png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52" descr="C:\Users\baoqianyu\Desktop\流程图\即办\扣缴义务人.png扣缴义务人"/>
                    <pic:cNvPicPr>
                      <a:picLocks noChangeAspect="1"/>
                    </pic:cNvPicPr>
                  </pic:nvPicPr>
                  <pic:blipFill>
                    <a:blip r:embed="rId18"/>
                    <a:srcRect/>
                    <a:stretch>
                      <a:fillRect/>
                    </a:stretch>
                  </pic:blipFill>
                  <pic:spPr>
                    <a:xfrm>
                      <a:off x="0" y="0"/>
                      <a:ext cx="5059680" cy="1710690"/>
                    </a:xfrm>
                    <a:prstGeom prst="rect">
                      <a:avLst/>
                    </a:prstGeom>
                    <a:noFill/>
                    <a:ln>
                      <a:noFill/>
                    </a:ln>
                  </pic:spPr>
                </pic:pic>
              </a:graphicData>
            </a:graphic>
          </wp:inline>
        </w:drawing>
      </w:r>
    </w:p>
    <w:p>
      <w:pPr>
        <w:pStyle w:val="31"/>
        <w:wordWrap w:val="0"/>
        <w:adjustRightInd/>
        <w:snapToGrid/>
        <w:rPr>
          <w:color w:val="000000" w:themeColor="text1"/>
        </w:rPr>
      </w:pPr>
      <w:r>
        <w:rPr>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1.纳税人、</w:t>
      </w:r>
      <w:r>
        <w:rPr>
          <w:rFonts w:hint="default"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扣缴义务人使用符合电子签名法规定条件的电子签名，与手写签名或者盖章具有同等法律效力。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strike/>
          <w:color w:val="000000" w:themeColor="text1"/>
        </w:rPr>
      </w:pPr>
      <w:r>
        <w:rPr>
          <w:rFonts w:cs="Times New Roman"/>
          <w:color w:val="000000" w:themeColor="text1"/>
        </w:rPr>
        <w:t>7.</w:t>
      </w:r>
      <w:r>
        <w:rPr>
          <w:rFonts w:hint="default" w:ascii="宋体" w:hAnsi="宋体" w:cs="Times New Roman"/>
          <w:color w:val="000000" w:themeColor="text1"/>
        </w:rPr>
        <w:t>纳税人取得除工资、薪金所得以外的其他所得，扣缴义务人应当在扣缴税款后，及时向纳税人提供其个人所得和已扣缴税款等信息。</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扣缴义务人应当按照纳税人提供的信息计算税款、办理扣缴申报，不得擅自更改纳税人提供的信息。扣缴义务人发现纳税人提供的信息与实际情况不符，纳税人拒绝修改的，扣缴义务人应当报告税务机关。纳税人拒绝扣缴义务人依法履行代扣代缴义务的，扣缴义务人应当及时报告税务机关。</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扣缴义务人有未按照规定向税务机关报送资料和信息、应扣未扣税款、不缴或少缴已扣税款、借用或冒用他人身份等行为的，依照《中华人民共和国税收征收管理法》等相关法律、行政法规处理。</w:t>
      </w:r>
    </w:p>
    <w:p>
      <w:pPr>
        <w:pStyle w:val="31"/>
        <w:wordWrap w:val="0"/>
        <w:adjustRightInd/>
        <w:snapToGrid/>
        <w:rPr>
          <w:color w:val="000000" w:themeColor="text1"/>
        </w:rPr>
      </w:pPr>
      <w:r>
        <w:rPr>
          <w:color w:val="000000" w:themeColor="text1"/>
        </w:rPr>
        <w:t>【基本规范】</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1.</w:t>
      </w:r>
      <w:r>
        <w:rPr>
          <w:rFonts w:ascii="宋体" w:hAnsi="宋体" w:eastAsia="宋体"/>
          <w:bCs w:val="0"/>
          <w:color w:val="000000" w:themeColor="text1"/>
        </w:rPr>
        <w:t>受理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办税服务厅或自然人税收管理系统接收资料信息，核对资料信息是否齐全、是否符合法定形式、填写内容是否完整，符合的即时受理；对资料不齐全、不符合法定形式或填写内容不完整的，一次性告知应补正资料或不予受理原因。</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）不得违规受理申报。</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2.</w:t>
      </w:r>
      <w:r>
        <w:rPr>
          <w:rFonts w:ascii="宋体" w:hAnsi="宋体" w:eastAsia="宋体"/>
          <w:bCs w:val="0"/>
          <w:color w:val="000000" w:themeColor="text1"/>
        </w:rPr>
        <w:t>办理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）按照</w:t>
      </w:r>
      <w:r>
        <w:rPr>
          <w:rFonts w:hint="eastAsia" w:ascii="宋体" w:hAnsi="宋体" w:eastAsia="宋体"/>
          <w:bCs w:val="0"/>
          <w:color w:val="000000" w:themeColor="text1"/>
        </w:rPr>
        <w:t>扣缴义务人</w:t>
      </w:r>
      <w:r>
        <w:rPr>
          <w:rFonts w:ascii="宋体" w:hAnsi="宋体" w:eastAsia="宋体"/>
          <w:bCs w:val="0"/>
          <w:color w:val="000000" w:themeColor="text1"/>
        </w:rPr>
        <w:t>报送材料录入数据。根据信息系统的提示信息，提醒</w:t>
      </w:r>
      <w:r>
        <w:rPr>
          <w:rFonts w:hint="eastAsia" w:ascii="宋体" w:hAnsi="宋体" w:eastAsia="宋体"/>
          <w:bCs w:val="0"/>
          <w:color w:val="000000" w:themeColor="text1"/>
        </w:rPr>
        <w:t>扣缴义务人</w:t>
      </w:r>
      <w:r>
        <w:rPr>
          <w:rFonts w:ascii="宋体" w:hAnsi="宋体" w:eastAsia="宋体"/>
          <w:bCs w:val="0"/>
          <w:color w:val="000000" w:themeColor="text1"/>
        </w:rPr>
        <w:t>更正纠错。</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）按规定开具税收票证。</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3.</w:t>
      </w:r>
      <w:r>
        <w:rPr>
          <w:rFonts w:ascii="宋体" w:hAnsi="宋体" w:eastAsia="宋体"/>
          <w:bCs w:val="0"/>
          <w:color w:val="000000" w:themeColor="text1"/>
        </w:rPr>
        <w:t>反馈</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办理结束后，在申报表上加盖印章，一份返还</w:t>
      </w:r>
      <w:r>
        <w:rPr>
          <w:rFonts w:hint="eastAsia" w:ascii="宋体" w:hAnsi="宋体" w:eastAsia="宋体"/>
          <w:bCs w:val="0"/>
          <w:color w:val="000000" w:themeColor="text1"/>
        </w:rPr>
        <w:t>扣缴义务人</w:t>
      </w:r>
      <w:r>
        <w:rPr>
          <w:rFonts w:ascii="宋体" w:hAnsi="宋体" w:eastAsia="宋体"/>
          <w:bCs w:val="0"/>
          <w:color w:val="000000" w:themeColor="text1"/>
        </w:rPr>
        <w:t>；自然人税收管理系统办理的，将办理结果通过自然人税收管理系统反馈给</w:t>
      </w:r>
      <w:r>
        <w:rPr>
          <w:rFonts w:hint="eastAsia" w:ascii="宋体" w:hAnsi="宋体" w:eastAsia="宋体"/>
          <w:bCs w:val="0"/>
          <w:color w:val="000000" w:themeColor="text1"/>
        </w:rPr>
        <w:t>扣缴义务人</w:t>
      </w:r>
      <w:r>
        <w:rPr>
          <w:rFonts w:ascii="宋体" w:hAnsi="宋体" w:eastAsia="宋体"/>
          <w:bCs w:val="0"/>
          <w:color w:val="000000" w:themeColor="text1"/>
        </w:rPr>
        <w:t>。</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4.</w:t>
      </w:r>
      <w:r>
        <w:rPr>
          <w:rFonts w:ascii="宋体" w:hAnsi="宋体" w:eastAsia="宋体"/>
          <w:bCs w:val="0"/>
          <w:color w:val="000000" w:themeColor="text1"/>
        </w:rPr>
        <w:t>归档</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将资料进行归档。不得将</w:t>
      </w:r>
      <w:r>
        <w:rPr>
          <w:rFonts w:hint="eastAsia" w:ascii="宋体" w:hAnsi="宋体" w:eastAsia="宋体"/>
          <w:bCs w:val="0"/>
          <w:color w:val="000000" w:themeColor="text1"/>
        </w:rPr>
        <w:t>扣缴义务人</w:t>
      </w:r>
      <w:r>
        <w:rPr>
          <w:rFonts w:ascii="宋体" w:hAnsi="宋体" w:eastAsia="宋体"/>
          <w:bCs w:val="0"/>
          <w:color w:val="000000" w:themeColor="text1"/>
        </w:rPr>
        <w:t>的办理材料用于与政务服务无关的用途。</w:t>
      </w:r>
    </w:p>
    <w:p>
      <w:pPr>
        <w:wordWrap w:val="0"/>
        <w:spacing w:line="360" w:lineRule="auto"/>
        <w:ind w:firstLine="480"/>
        <w:rPr>
          <w:rFonts w:hint="default"/>
        </w:rPr>
      </w:pPr>
      <w:r>
        <w:rPr>
          <w:rFonts w:ascii="黑体" w:hAnsi="黑体" w:eastAsia="黑体" w:cs="Times New Roman"/>
          <w:bCs/>
        </w:rPr>
        <w:t>【操作规范】</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1.受理环节</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进入金三操作系统，通过申报征收岗权限，按照【自然人税收管理系统（ITS）】—【申报】—【代扣代缴申报】—【分类所得个人所得税代扣代缴申报表（ITS）】路径进入功能模块。</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2.提示事项</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（1）</w:t>
      </w:r>
      <w:r>
        <w:rPr>
          <w:rFonts w:ascii="宋体" w:hAnsi="宋体" w:eastAsia="宋体"/>
          <w:bCs w:val="0"/>
          <w:color w:val="000000" w:themeColor="text1"/>
        </w:rPr>
        <w:t>扣缴义务人为自然人时，扣缴义务人须已经进行过自然人信息采集；扣缴义务人身份验证状态满足条件。</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（2）</w:t>
      </w:r>
      <w:r>
        <w:rPr>
          <w:rFonts w:ascii="宋体" w:hAnsi="宋体" w:eastAsia="宋体"/>
          <w:bCs w:val="0"/>
          <w:color w:val="000000" w:themeColor="text1"/>
        </w:rPr>
        <w:t>扣缴义务人为组织时，扣缴义务人须已进行过扣缴税务登记，且状态正常。</w:t>
      </w:r>
    </w:p>
    <w:p>
      <w:pPr>
        <w:pStyle w:val="31"/>
      </w:pPr>
      <w: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spacing w:line="276" w:lineRule="auto"/>
            </w:pPr>
            <w:r>
              <w:t>序号</w:t>
            </w:r>
          </w:p>
        </w:tc>
        <w:tc>
          <w:tcPr>
            <w:tcW w:w="5654" w:type="dxa"/>
            <w:vAlign w:val="center"/>
          </w:tcPr>
          <w:p>
            <w:pPr>
              <w:pStyle w:val="33"/>
              <w:spacing w:line="276" w:lineRule="auto"/>
            </w:pPr>
            <w:r>
              <w:t>文件名称</w:t>
            </w:r>
          </w:p>
        </w:tc>
        <w:tc>
          <w:tcPr>
            <w:tcW w:w="1683" w:type="dxa"/>
            <w:vAlign w:val="center"/>
          </w:tcPr>
          <w:p>
            <w:pPr>
              <w:pStyle w:val="33"/>
              <w:spacing w:line="276" w:lineRule="auto"/>
            </w:pPr>
            <w: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w:t>
            </w:r>
          </w:p>
        </w:tc>
        <w:tc>
          <w:tcPr>
            <w:tcW w:w="5654" w:type="dxa"/>
            <w:vAlign w:val="center"/>
          </w:tcPr>
          <w:p>
            <w:pPr>
              <w:pStyle w:val="50"/>
              <w:spacing w:line="276" w:lineRule="auto"/>
            </w:pPr>
            <w:r>
              <w:t>《中华人民共和国税收征收管理法》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2</w:t>
            </w:r>
          </w:p>
        </w:tc>
        <w:tc>
          <w:tcPr>
            <w:tcW w:w="5654" w:type="dxa"/>
            <w:vAlign w:val="center"/>
          </w:tcPr>
          <w:p>
            <w:pPr>
              <w:pStyle w:val="50"/>
              <w:spacing w:line="276" w:lineRule="auto"/>
            </w:pPr>
            <w:r>
              <w:t>《中华人民共和国个人所得税法》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3</w:t>
            </w:r>
          </w:p>
        </w:tc>
        <w:tc>
          <w:tcPr>
            <w:tcW w:w="5654" w:type="dxa"/>
            <w:vAlign w:val="center"/>
          </w:tcPr>
          <w:p>
            <w:pPr>
              <w:pStyle w:val="50"/>
              <w:spacing w:line="276" w:lineRule="auto"/>
            </w:pPr>
            <w:r>
              <w:t>《中华人民共和国个人所得税法实施条例》</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4</w:t>
            </w:r>
          </w:p>
        </w:tc>
        <w:tc>
          <w:tcPr>
            <w:tcW w:w="5654" w:type="dxa"/>
            <w:vAlign w:val="center"/>
          </w:tcPr>
          <w:p>
            <w:pPr>
              <w:pStyle w:val="50"/>
              <w:spacing w:line="276" w:lineRule="auto"/>
              <w:rPr>
                <w:strike/>
              </w:rPr>
            </w:pPr>
            <w:r>
              <w:t>《财政部 税务总局关于继续有效的个人所得税优惠政策目录的公告》（财政部税务总局公告2018年第177号）</w:t>
            </w:r>
          </w:p>
        </w:tc>
        <w:tc>
          <w:tcPr>
            <w:tcW w:w="1683" w:type="dxa"/>
            <w:vAlign w:val="center"/>
          </w:tcPr>
          <w:p>
            <w:pPr>
              <w:pStyle w:val="50"/>
              <w:spacing w:line="276" w:lineRule="auto"/>
              <w:rPr>
                <w:strike/>
              </w:rPr>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5</w:t>
            </w:r>
          </w:p>
        </w:tc>
        <w:tc>
          <w:tcPr>
            <w:tcW w:w="5654" w:type="dxa"/>
            <w:vAlign w:val="center"/>
          </w:tcPr>
          <w:p>
            <w:pPr>
              <w:pStyle w:val="50"/>
              <w:spacing w:line="276" w:lineRule="auto"/>
            </w:pPr>
            <w:r>
              <w:t>《财政部 税务总局关于个人取得有关收入适用个人所得税应税所得项目的公告》（财政部税务总局公告2019年第74号）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6</w:t>
            </w:r>
          </w:p>
        </w:tc>
        <w:tc>
          <w:tcPr>
            <w:tcW w:w="5654" w:type="dxa"/>
            <w:vAlign w:val="center"/>
          </w:tcPr>
          <w:p>
            <w:pPr>
              <w:pStyle w:val="50"/>
              <w:spacing w:line="276" w:lineRule="auto"/>
            </w:pPr>
            <w:r>
              <w:t>《国家税务总局关于发布&lt;办税事项“最多跑一次”清单&gt;的公告》（国家税务总局公告2018年第12号）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7</w:t>
            </w:r>
          </w:p>
        </w:tc>
        <w:tc>
          <w:tcPr>
            <w:tcW w:w="5654" w:type="dxa"/>
            <w:vAlign w:val="center"/>
          </w:tcPr>
          <w:p>
            <w:pPr>
              <w:pStyle w:val="50"/>
              <w:spacing w:line="276" w:lineRule="auto"/>
            </w:pPr>
            <w:r>
              <w:t>《国家税务总局关于发布〈个人所得税扣缴申报管理办法（试行）〉的公告》（国家税务总局公告2018年第61号）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8</w:t>
            </w:r>
          </w:p>
        </w:tc>
        <w:tc>
          <w:tcPr>
            <w:tcW w:w="5654" w:type="dxa"/>
            <w:vAlign w:val="center"/>
          </w:tcPr>
          <w:p>
            <w:pPr>
              <w:pStyle w:val="50"/>
              <w:spacing w:line="276" w:lineRule="auto"/>
            </w:pPr>
            <w:r>
              <w:t>《国家税务总局关于修订个人所得税申报表的公告》（国家税务总局公告2019年第7号）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9</w:t>
            </w:r>
          </w:p>
        </w:tc>
        <w:tc>
          <w:tcPr>
            <w:tcW w:w="5654" w:type="dxa"/>
            <w:vAlign w:val="center"/>
          </w:tcPr>
          <w:p>
            <w:pPr>
              <w:pStyle w:val="50"/>
              <w:spacing w:line="276" w:lineRule="auto"/>
              <w:rPr>
                <w:strike/>
              </w:rPr>
            </w:pPr>
            <w:r>
              <w:t>《国家税务总局关于印发&lt;全国税务系统进一步优化税收营商环境行动方案（2018年—2022年）&gt;的通知》（税总发〔2018〕145号）</w:t>
            </w:r>
          </w:p>
        </w:tc>
        <w:tc>
          <w:tcPr>
            <w:tcW w:w="1683" w:type="dxa"/>
            <w:vAlign w:val="center"/>
          </w:tcPr>
          <w:p>
            <w:pPr>
              <w:pStyle w:val="50"/>
              <w:spacing w:line="276" w:lineRule="auto"/>
              <w:rPr>
                <w:strike/>
              </w:rPr>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10</w:t>
            </w:r>
          </w:p>
        </w:tc>
        <w:tc>
          <w:tcPr>
            <w:tcW w:w="5654" w:type="dxa"/>
            <w:vAlign w:val="center"/>
          </w:tcPr>
          <w:p>
            <w:pPr>
              <w:pStyle w:val="50"/>
              <w:spacing w:line="276" w:lineRule="auto"/>
            </w:pPr>
            <w:r>
              <w:t>《国家税务总局关于印发&lt;办税服务厅管理办法&gt;的通知》（税总发〔2018〕189号）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11</w:t>
            </w:r>
          </w:p>
        </w:tc>
        <w:tc>
          <w:tcPr>
            <w:tcW w:w="5654" w:type="dxa"/>
            <w:vAlign w:val="center"/>
          </w:tcPr>
          <w:p>
            <w:pPr>
              <w:pStyle w:val="50"/>
              <w:spacing w:line="276" w:lineRule="auto"/>
            </w:pPr>
            <w:r>
              <w:t>《国家税务总局关于印发&lt;全国税务系统深化“放管服”改革五年工作方案（2018年—2022年）&gt;的通知》（税总发〔2018〕199号）</w:t>
            </w:r>
          </w:p>
        </w:tc>
        <w:tc>
          <w:tcPr>
            <w:tcW w:w="1683" w:type="dxa"/>
            <w:vAlign w:val="center"/>
          </w:tcPr>
          <w:p>
            <w:pPr>
              <w:pStyle w:val="50"/>
              <w:spacing w:line="276" w:lineRule="auto"/>
            </w:pPr>
            <w:r>
              <w:t>依申请公开</w:t>
            </w:r>
          </w:p>
        </w:tc>
      </w:tr>
    </w:tbl>
    <w:p>
      <w:pPr>
        <w:pStyle w:val="37"/>
        <w:wordWrap w:val="0"/>
        <w:topLinePunct w:val="0"/>
        <w:spacing w:before="312" w:after="312"/>
        <w:rPr>
          <w:color w:val="000000" w:themeColor="text1"/>
        </w:rPr>
      </w:pPr>
      <w:bookmarkStart w:id="224" w:name="_Toc32036"/>
      <w:bookmarkStart w:id="225" w:name="_Toc18096174"/>
      <w:r>
        <w:rPr>
          <w:rFonts w:hint="eastAsia"/>
          <w:color w:val="000000" w:themeColor="text1"/>
        </w:rPr>
        <w:t>3.21.4—10</w:t>
      </w:r>
      <w:r>
        <w:rPr>
          <w:color w:val="000000" w:themeColor="text1"/>
        </w:rPr>
        <w:t>8　　非居民个人所得税代扣代缴申报</w:t>
      </w:r>
      <w:bookmarkEnd w:id="224"/>
      <w:bookmarkEnd w:id="225"/>
    </w:p>
    <w:p>
      <w:pPr>
        <w:pStyle w:val="31"/>
        <w:wordWrap w:val="0"/>
        <w:adjustRightInd/>
        <w:snapToGrid/>
        <w:rPr>
          <w:color w:val="000000" w:themeColor="text1"/>
        </w:rPr>
      </w:pPr>
      <w:r>
        <w:rPr>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非居民个人所得税代扣代缴申报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扣缴义务人向非居民个人支付应税所得时，履行代扣代缴应税所得个人所得税的义务，并在次月</w:t>
      </w:r>
      <w:r>
        <w:rPr>
          <w:rFonts w:hint="eastAsia" w:ascii="Times New Roman" w:hAnsi="Times New Roman" w:eastAsia="宋体"/>
          <w:bCs w:val="0"/>
          <w:color w:val="000000" w:themeColor="text1"/>
        </w:rPr>
        <w:t>15</w:t>
      </w:r>
      <w:r>
        <w:rPr>
          <w:rFonts w:ascii="宋体" w:hAnsi="宋体" w:eastAsia="宋体"/>
          <w:bCs w:val="0"/>
          <w:color w:val="000000" w:themeColor="text1"/>
        </w:rPr>
        <w:t>日内</w:t>
      </w:r>
      <w:r>
        <w:rPr>
          <w:rFonts w:hint="eastAsia" w:ascii="宋体" w:hAnsi="宋体" w:eastAsia="宋体"/>
          <w:bCs w:val="0"/>
          <w:color w:val="000000" w:themeColor="text1"/>
        </w:rPr>
        <w:t>填报《个人所得税扣缴申报表》和</w:t>
      </w:r>
      <w:r>
        <w:rPr>
          <w:rFonts w:ascii="宋体" w:hAnsi="宋体" w:eastAsia="宋体"/>
          <w:bCs w:val="0"/>
          <w:color w:val="000000" w:themeColor="text1"/>
        </w:rPr>
        <w:t>向主管税务机关报送《个人所得税扣缴申报表》和主管税务机关要求报送的其他有关资料。</w:t>
      </w:r>
    </w:p>
    <w:p>
      <w:pPr>
        <w:pStyle w:val="31"/>
        <w:wordWrap w:val="0"/>
        <w:adjustRightInd/>
        <w:snapToGrid/>
        <w:rPr>
          <w:color w:val="000000" w:themeColor="text1"/>
        </w:rPr>
      </w:pPr>
      <w:r>
        <w:rPr>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《中华人民共和国个人所得税法》第十条第二款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《中华人民共和国个人所得税法实施条例》第二十四条、第二十六条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《国家税务总局关于发布〈个人所得税扣缴申报管理办法（试行）〉的公告》（国家税务总局公告</w:t>
      </w:r>
      <w:r>
        <w:rPr>
          <w:rFonts w:cs="Times New Roman"/>
          <w:color w:val="000000" w:themeColor="text1"/>
        </w:rPr>
        <w:t>2018</w:t>
      </w:r>
      <w:r>
        <w:rPr>
          <w:rFonts w:hint="default" w:ascii="宋体" w:hAnsi="宋体" w:cs="Times New Roman"/>
          <w:color w:val="000000" w:themeColor="text1"/>
        </w:rPr>
        <w:t>年第</w:t>
      </w:r>
      <w:r>
        <w:rPr>
          <w:rFonts w:cs="Times New Roman"/>
          <w:color w:val="000000" w:themeColor="text1"/>
        </w:rPr>
        <w:t>61</w:t>
      </w:r>
      <w:r>
        <w:rPr>
          <w:rFonts w:hint="default" w:ascii="宋体" w:hAnsi="宋体" w:cs="Times New Roman"/>
          <w:color w:val="000000" w:themeColor="text1"/>
        </w:rPr>
        <w:t>号）</w:t>
      </w:r>
    </w:p>
    <w:p>
      <w:pPr>
        <w:pStyle w:val="31"/>
        <w:wordWrap w:val="0"/>
        <w:adjustRightInd/>
        <w:snapToGrid/>
        <w:rPr>
          <w:color w:val="000000" w:themeColor="text1"/>
        </w:rPr>
      </w:pPr>
      <w:r>
        <w:rPr>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01"/>
        <w:gridCol w:w="2835"/>
        <w:gridCol w:w="680"/>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序号</w:t>
            </w:r>
          </w:p>
        </w:tc>
        <w:tc>
          <w:tcPr>
            <w:tcW w:w="4536"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《个人所得税扣缴申报表》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2"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适用情形</w:t>
            </w:r>
          </w:p>
        </w:tc>
        <w:tc>
          <w:tcPr>
            <w:tcW w:w="28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仿宋" w:hAnsi="仿宋" w:eastAsia="仿宋" w:cs="Times New Roman"/>
                <w:color w:val="000000" w:themeColor="text1"/>
                <w:szCs w:val="21"/>
              </w:rPr>
            </w:pPr>
            <w:r>
              <w:rPr>
                <w:rFonts w:hint="default" w:ascii="黑体" w:hAnsi="黑体" w:eastAsia="黑体" w:cs="Times New Roman"/>
                <w:color w:val="000000" w:themeColor="text1"/>
                <w:sz w:val="18"/>
                <w:szCs w:val="18"/>
              </w:rPr>
              <w:t>首次办理扣缴申报时或被扣缴义务人信息变更后</w:t>
            </w:r>
          </w:p>
        </w:tc>
        <w:tc>
          <w:tcPr>
            <w:tcW w:w="28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《个人所得税基础信息表（A表）》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纳税人存在减免个人所得税情形</w:t>
            </w:r>
          </w:p>
        </w:tc>
        <w:tc>
          <w:tcPr>
            <w:tcW w:w="28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《个人所得税减免税事项报告表》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可通过办税服务厅（场所）、</w:t>
      </w:r>
      <w:bookmarkStart w:id="226" w:name="_Hlk16364335"/>
      <w:r>
        <w:rPr>
          <w:rFonts w:hint="default" w:ascii="宋体" w:hAnsi="宋体" w:cs="Times New Roman"/>
          <w:color w:val="000000" w:themeColor="text1"/>
        </w:rPr>
        <w:t>自然人税收管理系统</w:t>
      </w:r>
      <w:bookmarkEnd w:id="226"/>
      <w:r>
        <w:rPr>
          <w:rFonts w:hint="default" w:ascii="宋体" w:hAnsi="宋体" w:cs="Times New Roman"/>
          <w:color w:val="000000" w:themeColor="text1"/>
        </w:rPr>
        <w:t>（扣缴客户端）办理，办税服务厅（场所）的具体地点可从国家税务总局湖南省税务局网站“纳税服务”栏目查询。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color w:val="000000" w:themeColor="text1"/>
        </w:rPr>
        <w:t>【办理机构】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扣缴义务人主管税务机关</w:t>
      </w:r>
    </w:p>
    <w:p>
      <w:pPr>
        <w:pStyle w:val="31"/>
        <w:wordWrap w:val="0"/>
        <w:adjustRightInd/>
        <w:snapToGrid/>
        <w:rPr>
          <w:color w:val="000000" w:themeColor="text1"/>
        </w:rPr>
      </w:pPr>
      <w:r>
        <w:rPr>
          <w:color w:val="000000" w:themeColor="text1"/>
        </w:rPr>
        <w:t>【收费标准】</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不收费</w:t>
      </w:r>
    </w:p>
    <w:p>
      <w:pPr>
        <w:pStyle w:val="31"/>
        <w:wordWrap w:val="0"/>
        <w:adjustRightInd/>
        <w:snapToGrid/>
        <w:rPr>
          <w:color w:val="000000" w:themeColor="text1"/>
        </w:rPr>
      </w:pPr>
      <w:r>
        <w:rPr>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即时办结</w:t>
      </w:r>
    </w:p>
    <w:p>
      <w:pPr>
        <w:pStyle w:val="31"/>
        <w:wordWrap w:val="0"/>
        <w:adjustRightInd/>
        <w:snapToGrid/>
        <w:rPr>
          <w:color w:val="000000" w:themeColor="text1"/>
        </w:rPr>
      </w:pPr>
      <w:r>
        <w:rPr>
          <w:color w:val="000000" w:themeColor="text1"/>
        </w:rPr>
        <w:t>【联系电话】</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059680" cy="1710690"/>
            <wp:effectExtent l="0" t="0" r="7620" b="0"/>
            <wp:docPr id="85" name="图片 52" descr="C:\Users\baoqianyu\Desktop\流程图\即办\扣缴义务人.png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2" descr="C:\Users\baoqianyu\Desktop\流程图\即办\扣缴义务人.png扣缴义务人"/>
                    <pic:cNvPicPr>
                      <a:picLocks noChangeAspect="1"/>
                    </pic:cNvPicPr>
                  </pic:nvPicPr>
                  <pic:blipFill>
                    <a:blip r:embed="rId18"/>
                    <a:srcRect/>
                    <a:stretch>
                      <a:fillRect/>
                    </a:stretch>
                  </pic:blipFill>
                  <pic:spPr>
                    <a:xfrm>
                      <a:off x="0" y="0"/>
                      <a:ext cx="5059680" cy="1710690"/>
                    </a:xfrm>
                    <a:prstGeom prst="rect">
                      <a:avLst/>
                    </a:prstGeom>
                    <a:noFill/>
                    <a:ln>
                      <a:noFill/>
                    </a:ln>
                  </pic:spPr>
                </pic:pic>
              </a:graphicData>
            </a:graphic>
          </wp:inline>
        </w:drawing>
      </w:r>
    </w:p>
    <w:p>
      <w:pPr>
        <w:pStyle w:val="31"/>
        <w:wordWrap w:val="0"/>
        <w:adjustRightInd/>
        <w:snapToGrid/>
        <w:rPr>
          <w:color w:val="000000" w:themeColor="text1"/>
        </w:rPr>
      </w:pPr>
      <w:r>
        <w:rPr>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1.纳税人、</w:t>
      </w:r>
      <w:r>
        <w:rPr>
          <w:rFonts w:hint="default"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bCs/>
          <w:color w:val="000000" w:themeColor="text1"/>
        </w:rPr>
        <w:t>扣缴义务人</w:t>
      </w:r>
      <w:r>
        <w:rPr>
          <w:rFonts w:hint="default" w:ascii="宋体" w:hAnsi="宋体" w:cs="Times New Roman"/>
          <w:color w:val="000000" w:themeColor="text1"/>
        </w:rPr>
        <w:t>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bCs/>
          <w:color w:val="000000" w:themeColor="text1"/>
        </w:rPr>
        <w:t>6.</w:t>
      </w:r>
      <w:r>
        <w:rPr>
          <w:rFonts w:hint="default" w:ascii="宋体" w:hAnsi="宋体" w:cs="Times New Roman"/>
          <w:bCs/>
          <w:color w:val="000000" w:themeColor="text1"/>
        </w:rPr>
        <w:t>在中国境内无住所又不居住，或者无住所而一个纳税年度内在中国境内居住累计不满</w:t>
      </w:r>
      <w:r>
        <w:rPr>
          <w:rFonts w:cs="Times New Roman"/>
          <w:bCs/>
          <w:color w:val="000000" w:themeColor="text1"/>
        </w:rPr>
        <w:t>183</w:t>
      </w:r>
      <w:r>
        <w:rPr>
          <w:rFonts w:hint="default" w:ascii="宋体" w:hAnsi="宋体" w:cs="Times New Roman"/>
          <w:bCs/>
          <w:color w:val="000000" w:themeColor="text1"/>
        </w:rPr>
        <w:t>天的个人，为非居民个人。</w:t>
      </w:r>
    </w:p>
    <w:p>
      <w:pPr>
        <w:pStyle w:val="31"/>
        <w:wordWrap w:val="0"/>
        <w:adjustRightInd/>
        <w:snapToGrid/>
        <w:rPr>
          <w:color w:val="000000" w:themeColor="text1"/>
        </w:rPr>
      </w:pPr>
      <w:r>
        <w:rPr>
          <w:rFonts w:hint="eastAsia" w:ascii="Times New Roman" w:hAnsi="Times New Roman" w:eastAsia="宋体"/>
          <w:color w:val="000000" w:themeColor="text1"/>
        </w:rPr>
        <w:t>7.</w:t>
      </w:r>
      <w:r>
        <w:rPr>
          <w:rFonts w:ascii="宋体" w:hAnsi="宋体" w:eastAsia="宋体"/>
          <w:bCs w:val="0"/>
          <w:color w:val="000000" w:themeColor="text1"/>
        </w:rPr>
        <w:t>实行非居民个人所得税代扣代缴申报的应税所得包括：工资薪金所得，劳务报酬所得，稿酬所得，特许权使用费所得，财产租赁所得，财产转让所得，利息、股息、红利所得，偶然所得。</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8.</w:t>
      </w:r>
      <w:r>
        <w:rPr>
          <w:rFonts w:ascii="宋体" w:hAnsi="宋体" w:eastAsia="宋体"/>
          <w:bCs w:val="0"/>
          <w:color w:val="000000" w:themeColor="text1"/>
        </w:rPr>
        <w:t>扣缴义务人向非居民个人支付工资、薪金所得，劳务报酬所得，稿酬所得和特许权使用费所得的，在一个纳税年度内扣缴方法保持不变。非居民个人达到居民个人条件时，应当告知扣缴义务人基础信息变化情况，年度终了后按照居民个人有关规定办理汇算清缴。</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strike/>
          <w:color w:val="000000" w:themeColor="text1"/>
        </w:rPr>
      </w:pPr>
      <w:r>
        <w:rPr>
          <w:rFonts w:cs="Times New Roman"/>
          <w:color w:val="000000" w:themeColor="text1"/>
        </w:rPr>
        <w:t>10.</w:t>
      </w:r>
      <w:r>
        <w:rPr>
          <w:rFonts w:hint="default" w:ascii="宋体" w:hAnsi="宋体" w:cs="Times New Roman"/>
          <w:color w:val="000000" w:themeColor="text1"/>
        </w:rPr>
        <w:t>支付工资、薪金所得的扣缴义务人应当于年度终了后两个月内，向纳税人提供其个人所得和已扣缴税款等信息。纳税人年度中间需要提供上述信息的，扣缴义务人应当提供。纳税人取得除工资、薪金所得以外的其他所得，扣缴义务人应当在扣缴税款后，及时向纳税人提供其个人所得和已扣缴税款等信息。</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hint="default" w:ascii="宋体" w:hAnsi="宋体" w:cs="Times New Roman"/>
          <w:color w:val="000000" w:themeColor="text1"/>
        </w:rPr>
        <w:t>扣缴义务人应当按照纳税人提供的信息计算税款、办理扣缴申报，不得擅自更改纳税人提供的信息。扣缴义务人发现纳税人提供的信息与实际情况不符，纳税人拒绝修改的，扣缴义务人应当报告税务机关。纳税人拒绝扣缴义务人依法履行代扣代缴义务的，扣缴义务人应当及时报告税务机关。</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12.</w:t>
      </w:r>
      <w:r>
        <w:rPr>
          <w:rFonts w:hint="default" w:ascii="宋体" w:hAnsi="宋体" w:cs="Times New Roman"/>
          <w:color w:val="000000" w:themeColor="text1"/>
        </w:rPr>
        <w:t>当应税所得个人既存在优惠减免，又存在非居民享受税收协定待遇减免时，扣缴义务人可以根据应税所得个人选择优惠度最高的享受减免进行申报。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13.</w:t>
      </w:r>
      <w:r>
        <w:rPr>
          <w:rFonts w:hint="default" w:ascii="宋体" w:hAnsi="宋体" w:cs="Times New Roman"/>
          <w:color w:val="000000" w:themeColor="text1"/>
        </w:rPr>
        <w:t>扣缴义务人有未按照规定向税务机关报送资料和信息、应扣未扣税款、不缴或少缴已扣税款、借用或冒用他人身份等行为的，依照《中华人民共和国税收征收管理法》等相关法律、行政法规处理。</w:t>
      </w:r>
    </w:p>
    <w:p>
      <w:pPr>
        <w:pStyle w:val="31"/>
        <w:wordWrap w:val="0"/>
        <w:adjustRightInd/>
        <w:snapToGrid/>
        <w:rPr>
          <w:color w:val="000000" w:themeColor="text1"/>
        </w:rPr>
      </w:pPr>
      <w:r>
        <w:rPr>
          <w:color w:val="000000" w:themeColor="text1"/>
        </w:rPr>
        <w:t>【基本规范】</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1.</w:t>
      </w:r>
      <w:r>
        <w:rPr>
          <w:rFonts w:ascii="宋体" w:hAnsi="宋体" w:eastAsia="宋体"/>
          <w:bCs w:val="0"/>
          <w:color w:val="000000" w:themeColor="text1"/>
        </w:rPr>
        <w:t>受理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办税服务厅或自然人税收管理系统接收资料信息，核对资料信息是否齐全、是否符合法定形式、填写内容是否完整，符合的即时受理；对资料不齐全、不符合法定形式或填写内容不完整的，一次性告知应补正资料或不予受理原因。</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）不得违规受理申报。</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2.</w:t>
      </w:r>
      <w:r>
        <w:rPr>
          <w:rFonts w:ascii="宋体" w:hAnsi="宋体" w:eastAsia="宋体"/>
          <w:bCs w:val="0"/>
          <w:color w:val="000000" w:themeColor="text1"/>
        </w:rPr>
        <w:t>办理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）按照</w:t>
      </w:r>
      <w:r>
        <w:rPr>
          <w:rFonts w:hint="eastAsia" w:ascii="宋体" w:hAnsi="宋体" w:eastAsia="宋体"/>
          <w:bCs w:val="0"/>
          <w:color w:val="000000" w:themeColor="text1"/>
        </w:rPr>
        <w:t>扣缴义务人</w:t>
      </w:r>
      <w:r>
        <w:rPr>
          <w:rFonts w:ascii="宋体" w:hAnsi="宋体" w:eastAsia="宋体"/>
          <w:bCs w:val="0"/>
          <w:color w:val="000000" w:themeColor="text1"/>
        </w:rPr>
        <w:t>报送材料录入数据。根据信息系统的提示信息，提醒</w:t>
      </w:r>
      <w:r>
        <w:rPr>
          <w:rFonts w:hint="eastAsia" w:ascii="宋体" w:hAnsi="宋体" w:eastAsia="宋体"/>
          <w:bCs w:val="0"/>
          <w:color w:val="000000" w:themeColor="text1"/>
        </w:rPr>
        <w:t>扣缴义务人</w:t>
      </w:r>
      <w:r>
        <w:rPr>
          <w:rFonts w:ascii="宋体" w:hAnsi="宋体" w:eastAsia="宋体"/>
          <w:bCs w:val="0"/>
          <w:color w:val="000000" w:themeColor="text1"/>
        </w:rPr>
        <w:t>更正纠错。</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）按规定开具税收票证。</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3.</w:t>
      </w:r>
      <w:r>
        <w:rPr>
          <w:rFonts w:ascii="宋体" w:hAnsi="宋体" w:eastAsia="宋体"/>
          <w:bCs w:val="0"/>
          <w:color w:val="000000" w:themeColor="text1"/>
        </w:rPr>
        <w:t>反馈</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办理结束后，在申报表上加盖印章，一份返还</w:t>
      </w:r>
      <w:r>
        <w:rPr>
          <w:rFonts w:hint="eastAsia" w:ascii="宋体" w:hAnsi="宋体" w:eastAsia="宋体"/>
          <w:bCs w:val="0"/>
          <w:color w:val="000000" w:themeColor="text1"/>
        </w:rPr>
        <w:t>扣缴义务人</w:t>
      </w:r>
      <w:r>
        <w:rPr>
          <w:rFonts w:ascii="宋体" w:hAnsi="宋体" w:eastAsia="宋体"/>
          <w:bCs w:val="0"/>
          <w:color w:val="000000" w:themeColor="text1"/>
        </w:rPr>
        <w:t>；自然人税收管理系统办理的，将办理结果通过自然人税收管理系统反馈给</w:t>
      </w:r>
      <w:r>
        <w:rPr>
          <w:rFonts w:hint="eastAsia" w:ascii="宋体" w:hAnsi="宋体" w:eastAsia="宋体"/>
          <w:bCs w:val="0"/>
          <w:color w:val="000000" w:themeColor="text1"/>
        </w:rPr>
        <w:t>扣缴义务人</w:t>
      </w:r>
      <w:r>
        <w:rPr>
          <w:rFonts w:ascii="宋体" w:hAnsi="宋体" w:eastAsia="宋体"/>
          <w:bCs w:val="0"/>
          <w:color w:val="000000" w:themeColor="text1"/>
        </w:rPr>
        <w:t>。</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4.</w:t>
      </w:r>
      <w:r>
        <w:rPr>
          <w:rFonts w:ascii="宋体" w:hAnsi="宋体" w:eastAsia="宋体"/>
          <w:bCs w:val="0"/>
          <w:color w:val="000000" w:themeColor="text1"/>
        </w:rPr>
        <w:t>归档</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将资料进行归档。不得将</w:t>
      </w:r>
      <w:r>
        <w:rPr>
          <w:rFonts w:hint="eastAsia" w:ascii="宋体" w:hAnsi="宋体" w:eastAsia="宋体"/>
          <w:bCs w:val="0"/>
          <w:color w:val="000000" w:themeColor="text1"/>
        </w:rPr>
        <w:t>扣缴义务</w:t>
      </w:r>
      <w:r>
        <w:rPr>
          <w:rFonts w:ascii="宋体" w:hAnsi="宋体" w:eastAsia="宋体"/>
          <w:bCs w:val="0"/>
          <w:color w:val="000000" w:themeColor="text1"/>
        </w:rPr>
        <w:t>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1.受理环节</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进入金三操作系统，通过申报征收岗权限，按照【自然人税收管理系统（ITS）】—【申报】—【代扣代缴申报】—【非居民个人所得税代扣代缴申报表（ITS）】的路径进入功能模块。</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2.提示事项</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扣缴义务人已进行过扣缴登记。</w:t>
      </w:r>
    </w:p>
    <w:p>
      <w:pPr>
        <w:wordWrap w:val="0"/>
        <w:spacing w:line="360" w:lineRule="auto"/>
        <w:ind w:firstLine="480"/>
        <w:rPr>
          <w:rFonts w:hint="default" w:ascii="黑体" w:hAnsi="黑体" w:eastAsia="黑体" w:cs="Times New Roman"/>
          <w:bCs/>
        </w:rPr>
      </w:pPr>
      <w:r>
        <w:rPr>
          <w:rFonts w:ascii="黑体" w:hAnsi="黑体" w:eastAsia="黑体" w:cs="Times New Roman"/>
          <w:bCs/>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spacing w:line="276" w:lineRule="auto"/>
            </w:pPr>
            <w:r>
              <w:t>序号</w:t>
            </w:r>
          </w:p>
        </w:tc>
        <w:tc>
          <w:tcPr>
            <w:tcW w:w="5654" w:type="dxa"/>
            <w:vAlign w:val="center"/>
          </w:tcPr>
          <w:p>
            <w:pPr>
              <w:pStyle w:val="33"/>
              <w:spacing w:line="276" w:lineRule="auto"/>
            </w:pPr>
            <w:r>
              <w:t>文件名称</w:t>
            </w:r>
          </w:p>
        </w:tc>
        <w:tc>
          <w:tcPr>
            <w:tcW w:w="1683" w:type="dxa"/>
            <w:vAlign w:val="center"/>
          </w:tcPr>
          <w:p>
            <w:pPr>
              <w:pStyle w:val="33"/>
              <w:spacing w:line="276" w:lineRule="auto"/>
            </w:pPr>
            <w: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w:t>
            </w:r>
          </w:p>
        </w:tc>
        <w:tc>
          <w:tcPr>
            <w:tcW w:w="5654" w:type="dxa"/>
            <w:vAlign w:val="center"/>
          </w:tcPr>
          <w:p>
            <w:pPr>
              <w:pStyle w:val="50"/>
              <w:spacing w:line="276" w:lineRule="auto"/>
            </w:pPr>
            <w:r>
              <w:t>《中华人民共和国税收征收管理法》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2</w:t>
            </w:r>
          </w:p>
        </w:tc>
        <w:tc>
          <w:tcPr>
            <w:tcW w:w="5654" w:type="dxa"/>
            <w:vAlign w:val="center"/>
          </w:tcPr>
          <w:p>
            <w:pPr>
              <w:pStyle w:val="50"/>
              <w:spacing w:line="276" w:lineRule="auto"/>
            </w:pPr>
            <w:r>
              <w:t>《中华人民共和国个人所得税法》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3</w:t>
            </w:r>
          </w:p>
        </w:tc>
        <w:tc>
          <w:tcPr>
            <w:tcW w:w="5654" w:type="dxa"/>
            <w:vAlign w:val="center"/>
          </w:tcPr>
          <w:p>
            <w:pPr>
              <w:pStyle w:val="50"/>
              <w:spacing w:line="276" w:lineRule="auto"/>
            </w:pPr>
            <w:r>
              <w:t>《中华人民共和国个人所得税法实施条例》</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4</w:t>
            </w:r>
          </w:p>
        </w:tc>
        <w:tc>
          <w:tcPr>
            <w:tcW w:w="5654" w:type="dxa"/>
            <w:vAlign w:val="center"/>
          </w:tcPr>
          <w:p>
            <w:pPr>
              <w:pStyle w:val="50"/>
              <w:spacing w:line="276" w:lineRule="auto"/>
              <w:rPr>
                <w:strike/>
              </w:rPr>
            </w:pPr>
            <w:r>
              <w:t>《财政部 税务总局关于继续有效的个人所得税优惠政策目录的公告》（财政部税务总局公告2018年第177号）</w:t>
            </w:r>
          </w:p>
        </w:tc>
        <w:tc>
          <w:tcPr>
            <w:tcW w:w="1683" w:type="dxa"/>
            <w:vAlign w:val="center"/>
          </w:tcPr>
          <w:p>
            <w:pPr>
              <w:pStyle w:val="50"/>
              <w:spacing w:line="276" w:lineRule="auto"/>
              <w:rPr>
                <w:strike/>
              </w:rPr>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5</w:t>
            </w:r>
          </w:p>
        </w:tc>
        <w:tc>
          <w:tcPr>
            <w:tcW w:w="5654" w:type="dxa"/>
            <w:vAlign w:val="center"/>
          </w:tcPr>
          <w:p>
            <w:pPr>
              <w:pStyle w:val="50"/>
              <w:spacing w:line="276" w:lineRule="auto"/>
            </w:pPr>
            <w:r>
              <w:t>《财政部 税务总局关于在中国境内无住所的个人居住时间判定标准的公告》（财政部 税务总局公告2019年第34号）</w:t>
            </w:r>
          </w:p>
        </w:tc>
        <w:tc>
          <w:tcPr>
            <w:tcW w:w="1683" w:type="dxa"/>
            <w:vAlign w:val="center"/>
          </w:tcPr>
          <w:p>
            <w:pPr>
              <w:pStyle w:val="50"/>
              <w:spacing w:line="276" w:lineRule="auto"/>
              <w:rPr>
                <w:strike/>
              </w:rPr>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6</w:t>
            </w:r>
          </w:p>
        </w:tc>
        <w:tc>
          <w:tcPr>
            <w:tcW w:w="5654" w:type="dxa"/>
            <w:vAlign w:val="center"/>
          </w:tcPr>
          <w:p>
            <w:pPr>
              <w:pStyle w:val="50"/>
              <w:spacing w:line="276" w:lineRule="auto"/>
            </w:pPr>
            <w:r>
              <w:t>《财政部 税务总局关于非居民个人和无住所居民个人有关个人所得税政策的公告》（财政部税务总局公告2019年第35号）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7</w:t>
            </w:r>
          </w:p>
        </w:tc>
        <w:tc>
          <w:tcPr>
            <w:tcW w:w="5654" w:type="dxa"/>
            <w:vAlign w:val="center"/>
          </w:tcPr>
          <w:p>
            <w:pPr>
              <w:pStyle w:val="50"/>
              <w:spacing w:line="276" w:lineRule="auto"/>
            </w:pPr>
            <w:r>
              <w:t>《财政部 税务总局关于个人取得有关收入适用个人所得税应税所得项目的公告》（财政部税务总局公告2019年第74号）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8</w:t>
            </w:r>
          </w:p>
        </w:tc>
        <w:tc>
          <w:tcPr>
            <w:tcW w:w="5654" w:type="dxa"/>
            <w:vAlign w:val="center"/>
          </w:tcPr>
          <w:p>
            <w:pPr>
              <w:pStyle w:val="50"/>
              <w:spacing w:line="276" w:lineRule="auto"/>
            </w:pPr>
            <w:r>
              <w:t>《国家税务总局关于发布&lt;办税事项“最多跑一次”清单&gt;的公告》（国家税务总局公告2018年第12号）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9</w:t>
            </w:r>
          </w:p>
        </w:tc>
        <w:tc>
          <w:tcPr>
            <w:tcW w:w="5654" w:type="dxa"/>
            <w:vAlign w:val="center"/>
          </w:tcPr>
          <w:p>
            <w:pPr>
              <w:pStyle w:val="50"/>
              <w:spacing w:line="276" w:lineRule="auto"/>
            </w:pPr>
            <w:r>
              <w:t>《国家税务总局关于发布〈个人所得税扣缴申报管理办法（试行）〉的公告》（国家税务总局公告2018年第61号）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10</w:t>
            </w:r>
          </w:p>
        </w:tc>
        <w:tc>
          <w:tcPr>
            <w:tcW w:w="5654" w:type="dxa"/>
            <w:vAlign w:val="center"/>
          </w:tcPr>
          <w:p>
            <w:pPr>
              <w:pStyle w:val="50"/>
              <w:spacing w:line="276" w:lineRule="auto"/>
            </w:pPr>
            <w:r>
              <w:t>《国家税务总局关于修订个人所得税申报表的公告》（国家税务总局公告2019年第7号）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11</w:t>
            </w:r>
          </w:p>
        </w:tc>
        <w:tc>
          <w:tcPr>
            <w:tcW w:w="5654" w:type="dxa"/>
            <w:vAlign w:val="center"/>
          </w:tcPr>
          <w:p>
            <w:pPr>
              <w:pStyle w:val="50"/>
              <w:spacing w:line="276" w:lineRule="auto"/>
            </w:pPr>
            <w:r>
              <w:t>《国家税务总局关于印发&lt;全国税务系统进一步优化税收营商环境行动方案（2018年—2022年）&gt;的通知》（税总发〔2018〕145号）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bottom w:val="single" w:color="auto" w:sz="4" w:space="0"/>
            </w:tcBorders>
            <w:vAlign w:val="center"/>
          </w:tcPr>
          <w:p>
            <w:pPr>
              <w:pStyle w:val="50"/>
              <w:spacing w:line="276" w:lineRule="auto"/>
            </w:pPr>
            <w:r>
              <w:t>12</w:t>
            </w:r>
          </w:p>
        </w:tc>
        <w:tc>
          <w:tcPr>
            <w:tcW w:w="5654" w:type="dxa"/>
            <w:tcBorders>
              <w:bottom w:val="single" w:color="auto" w:sz="4" w:space="0"/>
            </w:tcBorders>
            <w:vAlign w:val="center"/>
          </w:tcPr>
          <w:p>
            <w:pPr>
              <w:pStyle w:val="50"/>
              <w:spacing w:line="276" w:lineRule="auto"/>
            </w:pPr>
            <w:r>
              <w:t>《国家税务总局关于印发&lt;办税服务厅管理办法&gt;的通知》（税总发〔2018〕189号）</w:t>
            </w:r>
          </w:p>
        </w:tc>
        <w:tc>
          <w:tcPr>
            <w:tcW w:w="1683" w:type="dxa"/>
            <w:tcBorders>
              <w:bottom w:val="single" w:color="auto" w:sz="4" w:space="0"/>
            </w:tcBorders>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pStyle w:val="50"/>
              <w:spacing w:line="276" w:lineRule="auto"/>
            </w:pPr>
            <w:r>
              <w:t>13</w:t>
            </w:r>
          </w:p>
        </w:tc>
        <w:tc>
          <w:tcPr>
            <w:tcW w:w="5654" w:type="dxa"/>
            <w:tcBorders>
              <w:top w:val="single" w:color="auto" w:sz="4" w:space="0"/>
              <w:left w:val="single" w:color="auto" w:sz="4" w:space="0"/>
              <w:bottom w:val="single" w:color="auto" w:sz="4" w:space="0"/>
              <w:right w:val="single" w:color="auto" w:sz="4" w:space="0"/>
            </w:tcBorders>
            <w:vAlign w:val="center"/>
          </w:tcPr>
          <w:p>
            <w:pPr>
              <w:pStyle w:val="50"/>
              <w:spacing w:line="276" w:lineRule="auto"/>
            </w:pPr>
            <w:r>
              <w:t>《国家税务总局关于印发&lt;全国税务系统深化“放管服”改革五年工作方案（2018年—2022年）&gt;的通知》（税总发〔2018〕199号）</w:t>
            </w:r>
          </w:p>
        </w:tc>
        <w:tc>
          <w:tcPr>
            <w:tcW w:w="1683" w:type="dxa"/>
            <w:tcBorders>
              <w:top w:val="single" w:color="auto" w:sz="4" w:space="0"/>
              <w:left w:val="single" w:color="auto" w:sz="4" w:space="0"/>
              <w:bottom w:val="single" w:color="auto" w:sz="4" w:space="0"/>
              <w:right w:val="single" w:color="auto" w:sz="4" w:space="0"/>
            </w:tcBorders>
            <w:vAlign w:val="center"/>
          </w:tcPr>
          <w:p>
            <w:pPr>
              <w:pStyle w:val="50"/>
              <w:spacing w:line="276" w:lineRule="auto"/>
            </w:pPr>
            <w:r>
              <w:t>依申请公开</w:t>
            </w:r>
          </w:p>
        </w:tc>
      </w:tr>
    </w:tbl>
    <w:p>
      <w:pPr>
        <w:pStyle w:val="37"/>
        <w:wordWrap w:val="0"/>
        <w:topLinePunct w:val="0"/>
        <w:spacing w:before="312" w:after="312"/>
        <w:rPr>
          <w:color w:val="000000" w:themeColor="text1"/>
        </w:rPr>
      </w:pPr>
      <w:bookmarkStart w:id="227" w:name="_Toc18096175"/>
      <w:bookmarkStart w:id="228" w:name="_Toc17299"/>
      <w:r>
        <w:rPr>
          <w:rFonts w:hint="eastAsia"/>
          <w:color w:val="000000" w:themeColor="text1"/>
        </w:rPr>
        <w:t>3.21.5—10</w:t>
      </w:r>
      <w:r>
        <w:rPr>
          <w:color w:val="000000" w:themeColor="text1"/>
        </w:rPr>
        <w:t>9　　限售股转让所得扣缴个人所得税申报</w:t>
      </w:r>
      <w:bookmarkEnd w:id="227"/>
      <w:bookmarkEnd w:id="228"/>
    </w:p>
    <w:p>
      <w:pPr>
        <w:pStyle w:val="31"/>
        <w:wordWrap w:val="0"/>
        <w:adjustRightInd/>
        <w:snapToGrid/>
        <w:rPr>
          <w:color w:val="000000" w:themeColor="text1"/>
        </w:rPr>
      </w:pPr>
      <w:r>
        <w:rPr>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限售股转让所得扣缴个人所得税申报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证券机构技术和制度准备完成前形成的限售股，其转让所得应缴纳的个人所得税采取证券机构预扣预缴、纳税人自行申报清算方式征收。</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证券机构技术和制度准备完成后新上市公司的限售股，纳税人在转让时应缴纳的个人所得税，采取证券机构直接代扣代缴的方式征收。</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证券机构每月所扣个人所得税款，于次月</w:t>
      </w:r>
      <w:r>
        <w:rPr>
          <w:rFonts w:hint="eastAsia" w:ascii="Times New Roman" w:hAnsi="Times New Roman" w:eastAsia="宋体"/>
          <w:bCs w:val="0"/>
          <w:color w:val="000000" w:themeColor="text1"/>
        </w:rPr>
        <w:t>15</w:t>
      </w:r>
      <w:r>
        <w:rPr>
          <w:rFonts w:hint="eastAsia" w:ascii="宋体" w:hAnsi="宋体" w:eastAsia="宋体"/>
          <w:bCs w:val="0"/>
          <w:color w:val="000000" w:themeColor="text1"/>
        </w:rPr>
        <w:t>日内填报《限售股转让所得扣缴个人所得税报告表》，向当地主管税务机关纳税申报。</w:t>
      </w:r>
    </w:p>
    <w:p>
      <w:pPr>
        <w:pStyle w:val="31"/>
        <w:wordWrap w:val="0"/>
        <w:adjustRightInd/>
        <w:snapToGrid/>
        <w:rPr>
          <w:color w:val="000000" w:themeColor="text1"/>
        </w:rPr>
      </w:pPr>
      <w:r>
        <w:rPr>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《中华人民共和国个人所得税法》第十条第二款</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3.</w:t>
      </w:r>
      <w:r>
        <w:rPr>
          <w:rFonts w:ascii="宋体" w:hAnsi="宋体" w:eastAsia="宋体"/>
          <w:color w:val="000000" w:themeColor="text1"/>
        </w:rPr>
        <w:t>《中华人民共和国个人所得税法实施条例》第二十四条、第二十六条</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4.</w:t>
      </w:r>
      <w:r>
        <w:rPr>
          <w:rFonts w:ascii="宋体" w:hAnsi="宋体" w:eastAsia="宋体"/>
          <w:color w:val="000000" w:themeColor="text1"/>
        </w:rPr>
        <w:t>《</w:t>
      </w:r>
      <w:r>
        <w:rPr>
          <w:rFonts w:hint="eastAsia" w:ascii="宋体" w:hAnsi="宋体" w:eastAsia="宋体"/>
          <w:color w:val="000000" w:themeColor="text1"/>
        </w:rPr>
        <w:t>财政部 国家税务总局 证监会</w:t>
      </w:r>
      <w:r>
        <w:rPr>
          <w:rFonts w:ascii="宋体" w:hAnsi="宋体" w:eastAsia="宋体"/>
          <w:color w:val="000000" w:themeColor="text1"/>
        </w:rPr>
        <w:t>关于个人转让上市公司限售股所得征收个人所得税有关问题的通知》（财税〔</w:t>
      </w:r>
      <w:r>
        <w:rPr>
          <w:rFonts w:hint="eastAsia" w:ascii="Times New Roman" w:hAnsi="Times New Roman" w:eastAsia="宋体"/>
          <w:color w:val="000000" w:themeColor="text1"/>
        </w:rPr>
        <w:t>2009</w:t>
      </w:r>
      <w:r>
        <w:rPr>
          <w:rFonts w:ascii="宋体" w:hAnsi="宋体" w:eastAsia="宋体"/>
          <w:color w:val="000000" w:themeColor="text1"/>
        </w:rPr>
        <w:t>〕</w:t>
      </w:r>
      <w:r>
        <w:rPr>
          <w:rFonts w:hint="eastAsia" w:ascii="Times New Roman" w:hAnsi="Times New Roman" w:eastAsia="宋体"/>
          <w:color w:val="000000" w:themeColor="text1"/>
        </w:rPr>
        <w:t>167</w:t>
      </w:r>
      <w:r>
        <w:rPr>
          <w:rFonts w:ascii="宋体" w:hAnsi="宋体" w:eastAsia="宋体"/>
          <w:color w:val="000000" w:themeColor="text1"/>
        </w:rPr>
        <w:t>号）</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5.</w:t>
      </w:r>
      <w:r>
        <w:rPr>
          <w:rFonts w:ascii="宋体" w:hAnsi="宋体" w:eastAsia="宋体"/>
          <w:color w:val="000000" w:themeColor="text1"/>
        </w:rPr>
        <w:t>《</w:t>
      </w:r>
      <w:r>
        <w:rPr>
          <w:rFonts w:hint="eastAsia" w:ascii="宋体" w:hAnsi="宋体" w:eastAsia="宋体"/>
          <w:color w:val="000000" w:themeColor="text1"/>
        </w:rPr>
        <w:t>财政部 国家税务总局 证监会</w:t>
      </w:r>
      <w:r>
        <w:rPr>
          <w:rFonts w:ascii="宋体" w:hAnsi="宋体" w:eastAsia="宋体"/>
          <w:color w:val="000000" w:themeColor="text1"/>
        </w:rPr>
        <w:t>关于个人转让上市公司限售股所得征收个人所得税有关问题的补充通知》（财税〔</w:t>
      </w:r>
      <w:r>
        <w:rPr>
          <w:rFonts w:hint="eastAsia" w:ascii="Times New Roman" w:hAnsi="Times New Roman" w:eastAsia="宋体"/>
          <w:color w:val="000000" w:themeColor="text1"/>
        </w:rPr>
        <w:t>2010</w:t>
      </w:r>
      <w:r>
        <w:rPr>
          <w:rFonts w:ascii="宋体" w:hAnsi="宋体" w:eastAsia="宋体"/>
          <w:color w:val="000000" w:themeColor="text1"/>
        </w:rPr>
        <w:t>〕</w:t>
      </w:r>
      <w:r>
        <w:rPr>
          <w:rFonts w:hint="eastAsia" w:ascii="Times New Roman" w:hAnsi="Times New Roman" w:eastAsia="宋体"/>
          <w:color w:val="000000" w:themeColor="text1"/>
        </w:rPr>
        <w:t>70</w:t>
      </w:r>
      <w:r>
        <w:rPr>
          <w:rFonts w:ascii="宋体" w:hAnsi="宋体" w:eastAsia="宋体"/>
          <w:color w:val="000000" w:themeColor="text1"/>
        </w:rPr>
        <w:t>号）</w:t>
      </w:r>
    </w:p>
    <w:p>
      <w:pPr>
        <w:pStyle w:val="31"/>
        <w:wordWrap w:val="0"/>
        <w:adjustRightInd/>
        <w:snapToGrid/>
        <w:rPr>
          <w:rFonts w:ascii="宋体" w:hAnsi="宋体" w:eastAsia="宋体"/>
          <w:color w:val="000000" w:themeColor="text1"/>
        </w:rPr>
      </w:pPr>
      <w:r>
        <w:rPr>
          <w:rFonts w:hint="eastAsia" w:ascii="Times New Roman" w:hAnsi="Times New Roman" w:eastAsia="宋体"/>
          <w:color w:val="000000" w:themeColor="text1"/>
        </w:rPr>
        <w:t>6.</w:t>
      </w:r>
      <w:r>
        <w:rPr>
          <w:rFonts w:ascii="宋体" w:hAnsi="宋体" w:eastAsia="宋体"/>
          <w:color w:val="000000" w:themeColor="text1"/>
        </w:rPr>
        <w:t>《</w:t>
      </w:r>
      <w:r>
        <w:rPr>
          <w:rFonts w:hint="eastAsia" w:ascii="宋体" w:hAnsi="宋体" w:eastAsia="宋体"/>
          <w:color w:val="000000" w:themeColor="text1"/>
        </w:rPr>
        <w:t>财政部 国家税务总局</w:t>
      </w:r>
      <w:r>
        <w:rPr>
          <w:rFonts w:ascii="宋体" w:hAnsi="宋体" w:eastAsia="宋体"/>
          <w:color w:val="000000" w:themeColor="text1"/>
        </w:rPr>
        <w:t>关于证券机构技术和制度准备完成后个人转让上市公司限售股有关个人所得税问题的通知》（财税〔</w:t>
      </w:r>
      <w:r>
        <w:rPr>
          <w:rFonts w:hint="eastAsia" w:ascii="Times New Roman" w:hAnsi="Times New Roman" w:eastAsia="宋体"/>
          <w:color w:val="000000" w:themeColor="text1"/>
        </w:rPr>
        <w:t>2011</w:t>
      </w:r>
      <w:r>
        <w:rPr>
          <w:rFonts w:ascii="宋体" w:hAnsi="宋体" w:eastAsia="宋体"/>
          <w:color w:val="000000" w:themeColor="text1"/>
        </w:rPr>
        <w:t>〕</w:t>
      </w:r>
      <w:r>
        <w:rPr>
          <w:rFonts w:hint="eastAsia" w:ascii="Times New Roman" w:hAnsi="Times New Roman" w:eastAsia="宋体"/>
          <w:color w:val="000000" w:themeColor="text1"/>
        </w:rPr>
        <w:t>108</w:t>
      </w:r>
      <w:r>
        <w:rPr>
          <w:rFonts w:ascii="宋体" w:hAnsi="宋体" w:eastAsia="宋体"/>
          <w:color w:val="000000" w:themeColor="text1"/>
        </w:rPr>
        <w:t>号）</w:t>
      </w:r>
    </w:p>
    <w:p>
      <w:pPr>
        <w:pStyle w:val="31"/>
        <w:wordWrap w:val="0"/>
        <w:adjustRightInd/>
        <w:snapToGrid/>
        <w:rPr>
          <w:color w:val="000000" w:themeColor="text1"/>
        </w:rPr>
      </w:pPr>
      <w:r>
        <w:rPr>
          <w:color w:val="000000" w:themeColor="text1"/>
        </w:rPr>
        <w:t>【办理材料】</w:t>
      </w:r>
    </w:p>
    <w:tbl>
      <w:tblPr>
        <w:tblStyle w:val="18"/>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4012"/>
        <w:gridCol w:w="1091"/>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9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序号</w:t>
            </w:r>
          </w:p>
        </w:tc>
        <w:tc>
          <w:tcPr>
            <w:tcW w:w="4012"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材料名称</w:t>
            </w:r>
          </w:p>
        </w:tc>
        <w:tc>
          <w:tcPr>
            <w:tcW w:w="1091"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数量</w:t>
            </w:r>
          </w:p>
        </w:tc>
        <w:tc>
          <w:tcPr>
            <w:tcW w:w="174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9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012"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color w:val="000000" w:themeColor="text1"/>
              </w:rPr>
              <w:t>《限售股转让所得扣缴个人所得税报告表》</w:t>
            </w:r>
          </w:p>
        </w:tc>
        <w:tc>
          <w:tcPr>
            <w:tcW w:w="109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color w:val="000000" w:themeColor="text1"/>
              </w:rPr>
              <w:t>份</w:t>
            </w:r>
          </w:p>
        </w:tc>
        <w:tc>
          <w:tcPr>
            <w:tcW w:w="174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可通过办税服务厅（场所）、</w:t>
      </w:r>
      <w:bookmarkStart w:id="229" w:name="_Hlk16368202"/>
      <w:r>
        <w:rPr>
          <w:rFonts w:hint="default" w:ascii="宋体" w:hAnsi="宋体" w:cs="Times New Roman"/>
          <w:color w:val="000000" w:themeColor="text1"/>
        </w:rPr>
        <w:t>自然人税收管理系统</w:t>
      </w:r>
      <w:bookmarkEnd w:id="229"/>
      <w:r>
        <w:rPr>
          <w:rFonts w:hint="default" w:ascii="宋体" w:hAnsi="宋体" w:cs="Times New Roman"/>
          <w:color w:val="000000" w:themeColor="text1"/>
        </w:rPr>
        <w:t>（扣缴客户端）办理，办税服务厅（场所）的具体地点可从国家税务总局湖南省税务局网站“纳税服务”栏目查询。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color w:val="000000" w:themeColor="text1"/>
        </w:rPr>
        <w:t>【办理机构】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扣缴义务人主管税务机关</w:t>
      </w:r>
    </w:p>
    <w:p>
      <w:pPr>
        <w:pStyle w:val="31"/>
        <w:wordWrap w:val="0"/>
        <w:adjustRightInd/>
        <w:snapToGrid/>
        <w:rPr>
          <w:color w:val="000000" w:themeColor="text1"/>
        </w:rPr>
      </w:pPr>
      <w:r>
        <w:rPr>
          <w:color w:val="000000" w:themeColor="text1"/>
        </w:rPr>
        <w:t>【收费标准】</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不收费</w:t>
      </w:r>
    </w:p>
    <w:p>
      <w:pPr>
        <w:pStyle w:val="31"/>
        <w:wordWrap w:val="0"/>
        <w:adjustRightInd/>
        <w:snapToGrid/>
        <w:rPr>
          <w:color w:val="000000" w:themeColor="text1"/>
        </w:rPr>
      </w:pPr>
      <w:r>
        <w:rPr>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即时办结</w:t>
      </w:r>
    </w:p>
    <w:p>
      <w:pPr>
        <w:pStyle w:val="31"/>
        <w:wordWrap w:val="0"/>
        <w:adjustRightInd/>
        <w:snapToGrid/>
        <w:rPr>
          <w:color w:val="000000" w:themeColor="text1"/>
        </w:rPr>
      </w:pPr>
      <w:r>
        <w:rPr>
          <w:color w:val="000000" w:themeColor="text1"/>
        </w:rPr>
        <w:t>【联系电话】</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52600"/>
            <wp:effectExtent l="0" t="0" r="16510" b="0"/>
            <wp:docPr id="86" name="图片 52" descr="C:\Users\baoqianyu\Desktop\流程图\即办\扣缴义务人.png扣缴义务人"/>
            <wp:cNvGraphicFramePr/>
            <a:graphic xmlns:a="http://schemas.openxmlformats.org/drawingml/2006/main">
              <a:graphicData uri="http://schemas.openxmlformats.org/drawingml/2006/picture">
                <pic:pic xmlns:pic="http://schemas.openxmlformats.org/drawingml/2006/picture">
                  <pic:nvPicPr>
                    <pic:cNvPr id="86" name="图片 52" descr="C:\Users\baoqianyu\Desktop\流程图\即办\扣缴义务人.png扣缴义务人"/>
                    <pic:cNvPicPr/>
                  </pic:nvPicPr>
                  <pic:blipFill>
                    <a:blip r:embed="rId18"/>
                    <a:srcRect/>
                    <a:stretch>
                      <a:fillRect/>
                    </a:stretch>
                  </pic:blipFill>
                  <pic:spPr>
                    <a:xfrm>
                      <a:off x="0" y="0"/>
                      <a:ext cx="5184140" cy="1752600"/>
                    </a:xfrm>
                    <a:prstGeom prst="rect">
                      <a:avLst/>
                    </a:prstGeom>
                    <a:noFill/>
                    <a:ln>
                      <a:noFill/>
                    </a:ln>
                  </pic:spPr>
                </pic:pic>
              </a:graphicData>
            </a:graphic>
          </wp:inline>
        </w:drawing>
      </w:r>
    </w:p>
    <w:p>
      <w:pPr>
        <w:pStyle w:val="31"/>
        <w:wordWrap w:val="0"/>
        <w:adjustRightInd/>
        <w:snapToGrid/>
        <w:rPr>
          <w:color w:val="000000" w:themeColor="text1"/>
        </w:rPr>
      </w:pPr>
      <w:r>
        <w:rPr>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1.纳税人、</w:t>
      </w:r>
      <w:r>
        <w:rPr>
          <w:rFonts w:hint="default"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扣缴义务人使用符合电子签名法规定条件的电子签名，与手写签名或者盖章具有同等法律效力。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限售股，包括：</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）上市公司股权分置改革完成后股票复牌日之前股东所持原非流通股股份，以及股票复牌日至解禁日期间由上述股份孳生的送、转股（以下统称股改限售股）；</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cs="Times New Roman"/>
          <w:color w:val="000000" w:themeColor="text1"/>
        </w:rPr>
        <w:t>2006</w:t>
      </w:r>
      <w:r>
        <w:rPr>
          <w:rFonts w:ascii="宋体" w:hAnsi="宋体" w:cs="Times New Roman"/>
          <w:color w:val="000000" w:themeColor="text1"/>
        </w:rPr>
        <w:t>年股权分置改革新老划断后，首次公开发行股票并上市的公司形成的限售股，以及上市首日至解禁日期间由上述股份孳生的送、转股（以下统称新股限售股）；</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）个人从机构或其他个人受让的未解禁限售股；</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）个人因依法继承或家庭财产依法分割取得的限售股；</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）个人持有的从代办股份转让系统转到主板市场（或中小板、创业板市场）的限售股；</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6</w:t>
      </w:r>
      <w:r>
        <w:rPr>
          <w:rFonts w:ascii="宋体" w:hAnsi="宋体" w:cs="Times New Roman"/>
          <w:color w:val="000000" w:themeColor="text1"/>
        </w:rPr>
        <w:t>）上市公司吸收合并中，个人持有的原被合并方公司限售股所转换的合并方公司股份；</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7</w:t>
      </w:r>
      <w:r>
        <w:rPr>
          <w:rFonts w:ascii="宋体" w:hAnsi="宋体" w:cs="Times New Roman"/>
          <w:color w:val="000000" w:themeColor="text1"/>
        </w:rPr>
        <w:t>）上市公司分立中，个人持有的被分立方公司限售股所转换的分立后公司股份；</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8</w:t>
      </w:r>
      <w:r>
        <w:rPr>
          <w:rFonts w:ascii="宋体" w:hAnsi="宋体" w:cs="Times New Roman"/>
          <w:color w:val="000000" w:themeColor="text1"/>
        </w:rPr>
        <w:t>）其他限售股。</w:t>
      </w:r>
    </w:p>
    <w:p>
      <w:pPr>
        <w:pStyle w:val="31"/>
        <w:wordWrap w:val="0"/>
        <w:adjustRightInd/>
        <w:snapToGrid/>
        <w:rPr>
          <w:color w:val="000000" w:themeColor="text1"/>
        </w:rPr>
      </w:pPr>
      <w:r>
        <w:rPr>
          <w:color w:val="000000" w:themeColor="text1"/>
        </w:rPr>
        <w:t>【基本规范】</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1.</w:t>
      </w:r>
      <w:r>
        <w:rPr>
          <w:rFonts w:ascii="宋体" w:hAnsi="宋体" w:eastAsia="宋体"/>
          <w:bCs w:val="0"/>
          <w:color w:val="000000" w:themeColor="text1"/>
        </w:rPr>
        <w:t>受理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办税服务厅或自然人税收管理系统接收资料信息，核对资料信息是否齐全、是否符合法定形式、填写内容是否完整，符合的即时受理；对资料不齐全、不符合法定形式或填写内容不完整的，一次性告知应补正资料或不予受理原因。</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）不得违规受理申报。</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2.</w:t>
      </w:r>
      <w:r>
        <w:rPr>
          <w:rFonts w:ascii="宋体" w:hAnsi="宋体" w:eastAsia="宋体"/>
          <w:bCs w:val="0"/>
          <w:color w:val="000000" w:themeColor="text1"/>
        </w:rPr>
        <w:t>办理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）按照</w:t>
      </w:r>
      <w:r>
        <w:rPr>
          <w:rFonts w:hint="eastAsia" w:ascii="宋体" w:hAnsi="宋体" w:eastAsia="宋体"/>
          <w:bCs w:val="0"/>
          <w:color w:val="000000" w:themeColor="text1"/>
        </w:rPr>
        <w:t>扣缴义务人</w:t>
      </w:r>
      <w:r>
        <w:rPr>
          <w:rFonts w:ascii="宋体" w:hAnsi="宋体" w:eastAsia="宋体"/>
          <w:bCs w:val="0"/>
          <w:color w:val="000000" w:themeColor="text1"/>
        </w:rPr>
        <w:t>报送材料录入数据。根据信息系统的提示信息，提醒</w:t>
      </w:r>
      <w:r>
        <w:rPr>
          <w:rFonts w:hint="eastAsia" w:ascii="宋体" w:hAnsi="宋体" w:eastAsia="宋体"/>
          <w:bCs w:val="0"/>
          <w:color w:val="000000" w:themeColor="text1"/>
        </w:rPr>
        <w:t>扣缴义务人</w:t>
      </w:r>
      <w:r>
        <w:rPr>
          <w:rFonts w:ascii="宋体" w:hAnsi="宋体" w:eastAsia="宋体"/>
          <w:bCs w:val="0"/>
          <w:color w:val="000000" w:themeColor="text1"/>
        </w:rPr>
        <w:t>更正纠错。</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）按规定开具税收票证。</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3.</w:t>
      </w:r>
      <w:r>
        <w:rPr>
          <w:rFonts w:ascii="宋体" w:hAnsi="宋体" w:eastAsia="宋体"/>
          <w:bCs w:val="0"/>
          <w:color w:val="000000" w:themeColor="text1"/>
        </w:rPr>
        <w:t>反馈</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办理结束后，在申报表上加盖印章，一份返还</w:t>
      </w:r>
      <w:r>
        <w:rPr>
          <w:rFonts w:hint="eastAsia" w:ascii="宋体" w:hAnsi="宋体" w:eastAsia="宋体"/>
          <w:bCs w:val="0"/>
          <w:color w:val="000000" w:themeColor="text1"/>
        </w:rPr>
        <w:t>扣缴义务人</w:t>
      </w:r>
      <w:r>
        <w:rPr>
          <w:rFonts w:ascii="宋体" w:hAnsi="宋体" w:eastAsia="宋体"/>
          <w:bCs w:val="0"/>
          <w:color w:val="000000" w:themeColor="text1"/>
        </w:rPr>
        <w:t>；自然人税收管理系统办理的，将办理结果通过自然人税收管理系统反馈给</w:t>
      </w:r>
      <w:r>
        <w:rPr>
          <w:rFonts w:hint="eastAsia" w:ascii="宋体" w:hAnsi="宋体" w:eastAsia="宋体"/>
          <w:bCs w:val="0"/>
          <w:color w:val="000000" w:themeColor="text1"/>
        </w:rPr>
        <w:t>扣缴义务</w:t>
      </w:r>
      <w:r>
        <w:rPr>
          <w:rFonts w:ascii="宋体" w:hAnsi="宋体" w:eastAsia="宋体"/>
          <w:bCs w:val="0"/>
          <w:color w:val="000000" w:themeColor="text1"/>
        </w:rPr>
        <w:t>人。</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4.</w:t>
      </w:r>
      <w:r>
        <w:rPr>
          <w:rFonts w:ascii="宋体" w:hAnsi="宋体" w:eastAsia="宋体"/>
          <w:bCs w:val="0"/>
          <w:color w:val="000000" w:themeColor="text1"/>
        </w:rPr>
        <w:t>归档</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将资料进行归档。不得将</w:t>
      </w:r>
      <w:r>
        <w:rPr>
          <w:rFonts w:hint="eastAsia" w:ascii="宋体" w:hAnsi="宋体" w:eastAsia="宋体"/>
          <w:bCs w:val="0"/>
          <w:color w:val="000000" w:themeColor="text1"/>
        </w:rPr>
        <w:t>扣缴义务</w:t>
      </w:r>
      <w:r>
        <w:rPr>
          <w:rFonts w:ascii="宋体" w:hAnsi="宋体" w:eastAsia="宋体"/>
          <w:bCs w:val="0"/>
          <w:color w:val="000000" w:themeColor="text1"/>
        </w:rPr>
        <w:t>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1.受理环节</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进入金三操作系统，通过申报征收岗权限，按照【自然人税收管理系统（ITS）】—【申报】—【代扣代缴申报】—【限售股转让所得扣缴个人所得税申报（ITS）】的路径进入功能模块。</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2.提示事项</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扣缴义务人已进行过扣缴登记。</w:t>
      </w:r>
    </w:p>
    <w:p>
      <w:pPr>
        <w:wordWrap w:val="0"/>
        <w:spacing w:line="360" w:lineRule="auto"/>
        <w:ind w:firstLine="480"/>
        <w:rPr>
          <w:rFonts w:hint="default" w:ascii="黑体" w:hAnsi="黑体" w:eastAsia="黑体" w:cs="Times New Roman"/>
          <w:bCs/>
        </w:rPr>
      </w:pPr>
      <w:r>
        <w:rPr>
          <w:rFonts w:ascii="黑体" w:hAnsi="黑体" w:eastAsia="黑体" w:cs="Times New Roman"/>
          <w:bCs/>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spacing w:line="276" w:lineRule="auto"/>
            </w:pPr>
            <w:r>
              <w:t>序号</w:t>
            </w:r>
          </w:p>
        </w:tc>
        <w:tc>
          <w:tcPr>
            <w:tcW w:w="5654" w:type="dxa"/>
            <w:vAlign w:val="center"/>
          </w:tcPr>
          <w:p>
            <w:pPr>
              <w:pStyle w:val="33"/>
              <w:spacing w:line="276" w:lineRule="auto"/>
            </w:pPr>
            <w:r>
              <w:t>文件名称</w:t>
            </w:r>
          </w:p>
        </w:tc>
        <w:tc>
          <w:tcPr>
            <w:tcW w:w="1683" w:type="dxa"/>
            <w:vAlign w:val="center"/>
          </w:tcPr>
          <w:p>
            <w:pPr>
              <w:pStyle w:val="33"/>
              <w:spacing w:line="276" w:lineRule="auto"/>
            </w:pPr>
            <w: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w:t>
            </w:r>
          </w:p>
        </w:tc>
        <w:tc>
          <w:tcPr>
            <w:tcW w:w="5654" w:type="dxa"/>
            <w:vAlign w:val="center"/>
          </w:tcPr>
          <w:p>
            <w:pPr>
              <w:pStyle w:val="50"/>
              <w:spacing w:line="276" w:lineRule="auto"/>
            </w:pPr>
            <w:r>
              <w:t>《中华人民共和国税收征收管理法》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2</w:t>
            </w:r>
          </w:p>
        </w:tc>
        <w:tc>
          <w:tcPr>
            <w:tcW w:w="5654" w:type="dxa"/>
            <w:vAlign w:val="center"/>
          </w:tcPr>
          <w:p>
            <w:pPr>
              <w:pStyle w:val="50"/>
              <w:spacing w:line="276" w:lineRule="auto"/>
            </w:pPr>
            <w:r>
              <w:t>《中华人民共和国个人所得税法》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3</w:t>
            </w:r>
          </w:p>
        </w:tc>
        <w:tc>
          <w:tcPr>
            <w:tcW w:w="5654" w:type="dxa"/>
            <w:vAlign w:val="center"/>
          </w:tcPr>
          <w:p>
            <w:pPr>
              <w:pStyle w:val="50"/>
              <w:spacing w:line="276" w:lineRule="auto"/>
            </w:pPr>
            <w:r>
              <w:t>《中华人民共和国个人所得税法实施条例》</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4</w:t>
            </w:r>
          </w:p>
        </w:tc>
        <w:tc>
          <w:tcPr>
            <w:tcW w:w="5654" w:type="dxa"/>
            <w:vAlign w:val="center"/>
          </w:tcPr>
          <w:p>
            <w:pPr>
              <w:pStyle w:val="50"/>
              <w:spacing w:line="276" w:lineRule="auto"/>
            </w:pPr>
            <w:r>
              <w:t>《财政部 税务总局关于继续有效的个人所得税优惠政策目录的公告》（财政部税务总局公告2018年第177号）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5</w:t>
            </w:r>
          </w:p>
        </w:tc>
        <w:tc>
          <w:tcPr>
            <w:tcW w:w="5654" w:type="dxa"/>
            <w:vAlign w:val="center"/>
          </w:tcPr>
          <w:p>
            <w:pPr>
              <w:pStyle w:val="50"/>
              <w:spacing w:line="276" w:lineRule="auto"/>
            </w:pPr>
            <w:r>
              <w:t>《财政部 国家税务总局 证监会关于个人转让上市公司限售股所得征收个人所得税有关问题的通知》</w:t>
            </w:r>
          </w:p>
          <w:p>
            <w:pPr>
              <w:pStyle w:val="50"/>
              <w:spacing w:line="276" w:lineRule="auto"/>
              <w:rPr>
                <w:strike/>
              </w:rPr>
            </w:pPr>
            <w:r>
              <w:t>（财税〔2009〕167号）</w:t>
            </w:r>
          </w:p>
        </w:tc>
        <w:tc>
          <w:tcPr>
            <w:tcW w:w="1683" w:type="dxa"/>
            <w:vAlign w:val="center"/>
          </w:tcPr>
          <w:p>
            <w:pPr>
              <w:pStyle w:val="50"/>
              <w:spacing w:line="276" w:lineRule="auto"/>
              <w:rPr>
                <w:strike/>
              </w:rPr>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6</w:t>
            </w:r>
          </w:p>
        </w:tc>
        <w:tc>
          <w:tcPr>
            <w:tcW w:w="5654" w:type="dxa"/>
            <w:vAlign w:val="center"/>
          </w:tcPr>
          <w:p>
            <w:pPr>
              <w:pStyle w:val="50"/>
              <w:spacing w:line="276" w:lineRule="auto"/>
            </w:pPr>
            <w:r>
              <w:t>《财政部 国家税务总局 证监会关于个人转让上市公司限售股所得征收个人所得税有关问题的补充通知》</w:t>
            </w:r>
          </w:p>
          <w:p>
            <w:pPr>
              <w:pStyle w:val="50"/>
              <w:spacing w:line="276" w:lineRule="auto"/>
            </w:pPr>
            <w:r>
              <w:t>（财税〔2010〕70号）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7</w:t>
            </w:r>
          </w:p>
        </w:tc>
        <w:tc>
          <w:tcPr>
            <w:tcW w:w="5654" w:type="dxa"/>
            <w:vAlign w:val="center"/>
          </w:tcPr>
          <w:p>
            <w:pPr>
              <w:pStyle w:val="50"/>
              <w:spacing w:line="276" w:lineRule="auto"/>
            </w:pPr>
            <w:r>
              <w:t>《财政部 国家税务总局关于证券机构技术和制度准备完成后个人转让上市公司限售股有关个人所得税问题的通知》（财税〔2011〕108号）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8</w:t>
            </w:r>
          </w:p>
        </w:tc>
        <w:tc>
          <w:tcPr>
            <w:tcW w:w="5654" w:type="dxa"/>
            <w:vAlign w:val="center"/>
          </w:tcPr>
          <w:p>
            <w:pPr>
              <w:pStyle w:val="50"/>
              <w:spacing w:line="276" w:lineRule="auto"/>
            </w:pPr>
            <w:r>
              <w:t>《国家税务总局关于发布&lt;办税事项“最多跑一次”清单&gt;的公告》（国家税务总局公告2018年第12号）</w:t>
            </w:r>
          </w:p>
        </w:tc>
        <w:tc>
          <w:tcPr>
            <w:tcW w:w="1683" w:type="dxa"/>
            <w:vAlign w:val="center"/>
          </w:tcPr>
          <w:p>
            <w:pPr>
              <w:pStyle w:val="50"/>
              <w:spacing w:line="276" w:lineRule="auto"/>
              <w:rPr>
                <w:strike/>
              </w:rPr>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9</w:t>
            </w:r>
          </w:p>
        </w:tc>
        <w:tc>
          <w:tcPr>
            <w:tcW w:w="5654" w:type="dxa"/>
            <w:vAlign w:val="center"/>
          </w:tcPr>
          <w:p>
            <w:pPr>
              <w:pStyle w:val="50"/>
              <w:spacing w:line="276" w:lineRule="auto"/>
            </w:pPr>
            <w:r>
              <w:t>《国家税务总局关于发布〈个人所得税扣缴申报管理办法（试行）〉的公告》（国家税务总局公告2018年第61号）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10</w:t>
            </w:r>
          </w:p>
        </w:tc>
        <w:tc>
          <w:tcPr>
            <w:tcW w:w="5654" w:type="dxa"/>
            <w:vAlign w:val="center"/>
          </w:tcPr>
          <w:p>
            <w:pPr>
              <w:pStyle w:val="50"/>
              <w:spacing w:line="276" w:lineRule="auto"/>
            </w:pPr>
            <w:r>
              <w:t>《国家税务总局关于修订个人所得税申报表的公告》（国家税务总局公告2019年第7号）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11</w:t>
            </w:r>
          </w:p>
        </w:tc>
        <w:tc>
          <w:tcPr>
            <w:tcW w:w="5654" w:type="dxa"/>
            <w:vAlign w:val="center"/>
          </w:tcPr>
          <w:p>
            <w:pPr>
              <w:pStyle w:val="50"/>
              <w:spacing w:line="276" w:lineRule="auto"/>
            </w:pPr>
            <w:r>
              <w:t>《国家税务总局关于做好限售股转让所得个人所得税征收管理工作的通知》（国税发〔2010〕8号）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12</w:t>
            </w:r>
          </w:p>
        </w:tc>
        <w:tc>
          <w:tcPr>
            <w:tcW w:w="5654" w:type="dxa"/>
            <w:vAlign w:val="center"/>
          </w:tcPr>
          <w:p>
            <w:pPr>
              <w:pStyle w:val="50"/>
              <w:spacing w:line="276" w:lineRule="auto"/>
            </w:pPr>
            <w:r>
              <w:t>《国家税务总局关于印发&lt;全国税务系统进一步优化税收营商环境行动方案（2018年—2022年）&gt;的通知》（税总发〔2018〕145号）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13</w:t>
            </w:r>
          </w:p>
        </w:tc>
        <w:tc>
          <w:tcPr>
            <w:tcW w:w="5654" w:type="dxa"/>
            <w:vAlign w:val="center"/>
          </w:tcPr>
          <w:p>
            <w:pPr>
              <w:pStyle w:val="50"/>
              <w:spacing w:line="276" w:lineRule="auto"/>
            </w:pPr>
            <w:r>
              <w:t>《国家税务总局关于印发&lt;办税服务厅管理办法&gt;的通知》（税总发〔2018〕189号）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14</w:t>
            </w:r>
          </w:p>
        </w:tc>
        <w:tc>
          <w:tcPr>
            <w:tcW w:w="5654" w:type="dxa"/>
            <w:vAlign w:val="center"/>
          </w:tcPr>
          <w:p>
            <w:pPr>
              <w:pStyle w:val="50"/>
              <w:spacing w:line="276" w:lineRule="auto"/>
            </w:pPr>
            <w:r>
              <w:t>《国家税务总局关于印发&lt;全国税务系统深化“放管服”改革五年工作方案（2018年—2022年）&gt;的通知》（税总发〔2018〕199号）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15</w:t>
            </w:r>
          </w:p>
        </w:tc>
        <w:tc>
          <w:tcPr>
            <w:tcW w:w="5654" w:type="dxa"/>
            <w:vAlign w:val="center"/>
          </w:tcPr>
          <w:p>
            <w:pPr>
              <w:pStyle w:val="50"/>
              <w:spacing w:line="276" w:lineRule="auto"/>
            </w:pPr>
            <w:r>
              <w:t>《国家税务总局关于限售股转让所得个人所得税征缴有关问题的通知》（国税函〔2010〕23号）</w:t>
            </w:r>
          </w:p>
        </w:tc>
        <w:tc>
          <w:tcPr>
            <w:tcW w:w="1683" w:type="dxa"/>
            <w:vAlign w:val="center"/>
          </w:tcPr>
          <w:p>
            <w:pPr>
              <w:pStyle w:val="50"/>
              <w:spacing w:line="276" w:lineRule="auto"/>
            </w:pPr>
            <w:r>
              <w:t>主动公开</w:t>
            </w:r>
          </w:p>
        </w:tc>
      </w:tr>
    </w:tbl>
    <w:p>
      <w:pPr>
        <w:pStyle w:val="4"/>
        <w:keepNext w:val="0"/>
        <w:wordWrap w:val="0"/>
        <w:topLinePunct w:val="0"/>
        <w:adjustRightInd/>
        <w:snapToGrid/>
        <w:spacing w:before="390" w:after="390"/>
        <w:ind w:firstLine="562"/>
        <w:rPr>
          <w:color w:val="000000" w:themeColor="text1"/>
        </w:rPr>
      </w:pPr>
      <w:bookmarkStart w:id="230" w:name="_Toc18096176"/>
      <w:bookmarkStart w:id="231" w:name="_Toc18975"/>
      <w:r>
        <w:rPr>
          <w:rFonts w:hint="eastAsia"/>
          <w:color w:val="000000" w:themeColor="text1"/>
        </w:rPr>
        <w:t>3.21.6—1</w:t>
      </w:r>
      <w:r>
        <w:rPr>
          <w:color w:val="000000" w:themeColor="text1"/>
        </w:rPr>
        <w:t>10　　单一投资基金核算的合伙制创业投资企业个人所得税扣缴申报</w:t>
      </w:r>
      <w:bookmarkEnd w:id="230"/>
      <w:bookmarkEnd w:id="231"/>
    </w:p>
    <w:p>
      <w:pPr>
        <w:pStyle w:val="31"/>
        <w:wordWrap w:val="0"/>
        <w:adjustRightInd/>
        <w:snapToGrid/>
        <w:rPr>
          <w:color w:val="000000" w:themeColor="text1"/>
        </w:rPr>
      </w:pPr>
      <w:r>
        <w:rPr>
          <w:color w:val="000000" w:themeColor="text1"/>
        </w:rPr>
        <w:t>【事项名称】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单一投资基金核算的合伙制创业投资企业个人所得税扣缴申报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创投企业可以选择按单一投资基金核算或者按创投企业年度所得整体核算两种方式之一，对其个人合伙人来源于创投企业的所得计算个人所得税应纳税额。</w:t>
      </w:r>
    </w:p>
    <w:p>
      <w:pPr>
        <w:wordWrap w:val="0"/>
        <w:spacing w:line="360" w:lineRule="auto"/>
        <w:ind w:firstLine="420" w:firstLineChars="0"/>
        <w:rPr>
          <w:rFonts w:hint="default" w:ascii="宋体" w:hAnsi="宋体" w:cs="Times New Roman"/>
          <w:color w:val="000000" w:themeColor="text1"/>
        </w:rPr>
      </w:pPr>
      <w:r>
        <w:rPr>
          <w:rFonts w:hint="default" w:ascii="宋体" w:hAnsi="宋体" w:cs="Times New Roman"/>
          <w:color w:val="000000" w:themeColor="text1"/>
        </w:rPr>
        <w:t>个人合伙人按照其应从基金年度股权转让所得中分得的份额计算其应纳税额，并由创投企业在次年</w:t>
      </w:r>
      <w:r>
        <w:rPr>
          <w:rFonts w:cs="Times New Roman"/>
          <w:color w:val="000000" w:themeColor="text1"/>
        </w:rPr>
        <w:t>3</w:t>
      </w:r>
      <w:r>
        <w:rPr>
          <w:rFonts w:hint="default" w:ascii="宋体" w:hAnsi="宋体" w:cs="Times New Roman"/>
          <w:color w:val="000000" w:themeColor="text1"/>
        </w:rPr>
        <w:t>月</w:t>
      </w:r>
      <w:r>
        <w:rPr>
          <w:rFonts w:cs="Times New Roman"/>
          <w:color w:val="000000" w:themeColor="text1"/>
        </w:rPr>
        <w:t>31</w:t>
      </w:r>
      <w:r>
        <w:rPr>
          <w:rFonts w:hint="default" w:ascii="宋体" w:hAnsi="宋体" w:cs="Times New Roman"/>
          <w:color w:val="000000" w:themeColor="text1"/>
        </w:rPr>
        <w:t>日前代扣代缴个人所得税</w:t>
      </w:r>
      <w:r>
        <w:rPr>
          <w:rFonts w:ascii="宋体" w:hAnsi="宋体" w:cs="Times New Roman"/>
          <w:color w:val="000000" w:themeColor="text1"/>
        </w:rPr>
        <w:t>，填报</w:t>
      </w:r>
      <w:r>
        <w:rPr>
          <w:rFonts w:hint="default" w:ascii="宋体" w:hAnsi="宋体" w:cs="Times New Roman"/>
          <w:color w:val="000000" w:themeColor="text1"/>
        </w:rPr>
        <w:t>《单一投资基金核算的合伙制创业投资企业个人所得税扣缴申报表》</w:t>
      </w:r>
      <w:r>
        <w:rPr>
          <w:rFonts w:ascii="宋体" w:hAnsi="宋体" w:cs="Times New Roman"/>
          <w:color w:val="000000" w:themeColor="text1"/>
        </w:rPr>
        <w:t>，并向税务机关纳税申报</w:t>
      </w:r>
      <w:r>
        <w:rPr>
          <w:rFonts w:hint="default" w:ascii="宋体" w:hAnsi="宋体" w:cs="Times New Roman"/>
          <w:color w:val="000000" w:themeColor="text1"/>
        </w:rPr>
        <w:t>。</w:t>
      </w:r>
    </w:p>
    <w:p>
      <w:pPr>
        <w:pStyle w:val="31"/>
        <w:wordWrap w:val="0"/>
        <w:adjustRightInd/>
        <w:snapToGrid/>
        <w:rPr>
          <w:color w:val="000000" w:themeColor="text1"/>
        </w:rPr>
      </w:pPr>
      <w:r>
        <w:rPr>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《中华人民共和国个人所得税法》第十条第二款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《中华人民共和国个人所得税法实施条例》第二十四条、第二十六条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w:t>
      </w:r>
      <w:r>
        <w:rPr>
          <w:rFonts w:ascii="宋体" w:hAnsi="宋体" w:cs="Times New Roman"/>
          <w:color w:val="000000" w:themeColor="text1"/>
        </w:rPr>
        <w:t>财政部 税务总局 发展改革委 证监会</w:t>
      </w:r>
      <w:r>
        <w:rPr>
          <w:rFonts w:hint="default" w:ascii="宋体" w:hAnsi="宋体" w:cs="Times New Roman"/>
          <w:color w:val="000000" w:themeColor="text1"/>
        </w:rPr>
        <w:t>关于创业投资企业个人合伙人所得税政策问题的通知》（财税〔</w:t>
      </w:r>
      <w:r>
        <w:rPr>
          <w:rFonts w:cs="Times New Roman"/>
          <w:color w:val="000000" w:themeColor="text1"/>
        </w:rPr>
        <w:t>2019</w:t>
      </w:r>
      <w:r>
        <w:rPr>
          <w:rFonts w:hint="default" w:ascii="宋体" w:hAnsi="宋体" w:cs="Times New Roman"/>
          <w:color w:val="000000" w:themeColor="text1"/>
        </w:rPr>
        <w:t>〕</w:t>
      </w:r>
      <w:r>
        <w:rPr>
          <w:rFonts w:cs="Times New Roman"/>
          <w:color w:val="000000" w:themeColor="text1"/>
        </w:rPr>
        <w:t>8</w:t>
      </w:r>
      <w:r>
        <w:rPr>
          <w:rFonts w:hint="default" w:ascii="宋体" w:hAnsi="宋体" w:cs="Times New Roman"/>
          <w:color w:val="000000" w:themeColor="text1"/>
        </w:rPr>
        <w:t>号）</w:t>
      </w:r>
    </w:p>
    <w:p>
      <w:pPr>
        <w:pStyle w:val="31"/>
        <w:wordWrap w:val="0"/>
        <w:adjustRightInd/>
        <w:snapToGrid/>
        <w:rPr>
          <w:color w:val="000000" w:themeColor="text1"/>
        </w:rPr>
      </w:pPr>
      <w:r>
        <w:rPr>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821"/>
        <w:gridCol w:w="1134"/>
        <w:gridCol w:w="1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序号</w:t>
            </w:r>
          </w:p>
        </w:tc>
        <w:tc>
          <w:tcPr>
            <w:tcW w:w="4821"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材料名称</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152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82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《单一投资基金核算的合伙制创业投资企业个人所得税扣缴申报表》</w:t>
            </w:r>
          </w:p>
        </w:tc>
        <w:tc>
          <w:tcPr>
            <w:tcW w:w="1134"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152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可通过办税服务厅（场所）、</w:t>
      </w:r>
      <w:bookmarkStart w:id="232" w:name="_Hlk16368946"/>
      <w:r>
        <w:rPr>
          <w:rFonts w:hint="default" w:ascii="宋体" w:hAnsi="宋体" w:cs="Times New Roman"/>
          <w:color w:val="000000" w:themeColor="text1"/>
        </w:rPr>
        <w:t>自然人税收管理系统</w:t>
      </w:r>
      <w:bookmarkEnd w:id="232"/>
      <w:r>
        <w:rPr>
          <w:rFonts w:hint="default" w:ascii="宋体" w:hAnsi="宋体" w:cs="Times New Roman"/>
          <w:color w:val="000000" w:themeColor="text1"/>
        </w:rPr>
        <w:t>（扣缴客户端）办理，办税服务厅（场所）的具体地点可从国家税务总局湖南省税务局网站“纳税服务”栏目查询。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此事项可同城通办。</w:t>
      </w:r>
    </w:p>
    <w:p>
      <w:pPr>
        <w:pStyle w:val="31"/>
        <w:wordWrap w:val="0"/>
        <w:adjustRightInd/>
        <w:snapToGrid/>
        <w:rPr>
          <w:color w:val="000000" w:themeColor="text1"/>
        </w:rPr>
      </w:pPr>
      <w:r>
        <w:rPr>
          <w:color w:val="000000" w:themeColor="text1"/>
        </w:rPr>
        <w:t>【办理机构】</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扣缴义务人主管税务机关</w:t>
      </w:r>
    </w:p>
    <w:p>
      <w:pPr>
        <w:pStyle w:val="31"/>
        <w:wordWrap w:val="0"/>
        <w:adjustRightInd/>
        <w:snapToGrid/>
        <w:rPr>
          <w:color w:val="000000" w:themeColor="text1"/>
        </w:rPr>
      </w:pPr>
      <w:r>
        <w:rPr>
          <w:color w:val="000000" w:themeColor="text1"/>
        </w:rPr>
        <w:t>【收费标准】</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不收费</w:t>
      </w:r>
    </w:p>
    <w:p>
      <w:pPr>
        <w:pStyle w:val="31"/>
        <w:wordWrap w:val="0"/>
        <w:adjustRightInd/>
        <w:snapToGrid/>
        <w:rPr>
          <w:color w:val="000000" w:themeColor="text1"/>
        </w:rPr>
      </w:pPr>
      <w:r>
        <w:rPr>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即时办结</w:t>
      </w:r>
    </w:p>
    <w:p>
      <w:pPr>
        <w:pStyle w:val="31"/>
        <w:wordWrap w:val="0"/>
        <w:adjustRightInd/>
        <w:snapToGrid/>
        <w:rPr>
          <w:color w:val="000000" w:themeColor="text1"/>
        </w:rPr>
      </w:pPr>
      <w:r>
        <w:rPr>
          <w:color w:val="000000" w:themeColor="text1"/>
        </w:rPr>
        <w:t>【联系电话】</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184140" cy="1752600"/>
            <wp:effectExtent l="0" t="0" r="16510" b="0"/>
            <wp:docPr id="87" name="图片 52" descr="C:\Users\baoqianyu\Desktop\流程图\即办\扣缴义务人.png扣缴义务人"/>
            <wp:cNvGraphicFramePr/>
            <a:graphic xmlns:a="http://schemas.openxmlformats.org/drawingml/2006/main">
              <a:graphicData uri="http://schemas.openxmlformats.org/drawingml/2006/picture">
                <pic:pic xmlns:pic="http://schemas.openxmlformats.org/drawingml/2006/picture">
                  <pic:nvPicPr>
                    <pic:cNvPr id="87" name="图片 52" descr="C:\Users\baoqianyu\Desktop\流程图\即办\扣缴义务人.png扣缴义务人"/>
                    <pic:cNvPicPr/>
                  </pic:nvPicPr>
                  <pic:blipFill>
                    <a:blip r:embed="rId18"/>
                    <a:srcRect/>
                    <a:stretch>
                      <a:fillRect/>
                    </a:stretch>
                  </pic:blipFill>
                  <pic:spPr>
                    <a:xfrm>
                      <a:off x="0" y="0"/>
                      <a:ext cx="5184140" cy="1752600"/>
                    </a:xfrm>
                    <a:prstGeom prst="rect">
                      <a:avLst/>
                    </a:prstGeom>
                    <a:noFill/>
                    <a:ln>
                      <a:noFill/>
                    </a:ln>
                  </pic:spPr>
                </pic:pic>
              </a:graphicData>
            </a:graphic>
          </wp:inline>
        </w:drawing>
      </w:r>
    </w:p>
    <w:p>
      <w:pPr>
        <w:pStyle w:val="31"/>
        <w:wordWrap w:val="0"/>
        <w:adjustRightInd/>
        <w:snapToGrid/>
        <w:rPr>
          <w:color w:val="000000" w:themeColor="text1"/>
        </w:rPr>
      </w:pPr>
      <w:r>
        <w:rPr>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扣缴义务人使用符合电子签名法规定条件的电子签名，与手写签名或者盖章具有同等法律效力。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6.</w:t>
      </w:r>
      <w:r>
        <w:rPr>
          <w:rFonts w:ascii="宋体" w:hAnsi="宋体" w:eastAsia="宋体"/>
          <w:bCs w:val="0"/>
          <w:color w:val="000000" w:themeColor="text1"/>
        </w:rPr>
        <w:t>创投企业选择按单一投资基金核算的，其个人合伙人从该基金应分得的股权转让所得和股息红利所得，按照</w:t>
      </w:r>
      <w:r>
        <w:rPr>
          <w:rFonts w:hint="eastAsia" w:ascii="Times New Roman" w:hAnsi="Times New Roman" w:eastAsia="宋体"/>
          <w:bCs w:val="0"/>
          <w:color w:val="000000" w:themeColor="text1"/>
        </w:rPr>
        <w:t>20</w:t>
      </w:r>
      <w:r>
        <w:rPr>
          <w:rFonts w:ascii="宋体" w:hAnsi="宋体" w:eastAsia="宋体"/>
          <w:bCs w:val="0"/>
          <w:color w:val="000000" w:themeColor="text1"/>
        </w:rPr>
        <w:t>%税率计算缴纳个人所得税。</w:t>
      </w:r>
    </w:p>
    <w:p>
      <w:pPr>
        <w:pStyle w:val="31"/>
        <w:wordWrap w:val="0"/>
        <w:adjustRightInd/>
        <w:snapToGrid/>
        <w:rPr>
          <w:rFonts w:ascii="宋体" w:hAnsi="宋体" w:eastAsia="宋体"/>
          <w:bCs w:val="0"/>
          <w:color w:val="000000" w:themeColor="text1"/>
        </w:rPr>
      </w:pPr>
      <w:r>
        <w:rPr>
          <w:rFonts w:hint="eastAsia" w:ascii="Times New Roman" w:hAnsi="Times New Roman" w:eastAsia="宋体"/>
          <w:color w:val="000000" w:themeColor="text1"/>
        </w:rPr>
        <w:t>7.</w:t>
      </w:r>
      <w:r>
        <w:rPr>
          <w:rFonts w:ascii="宋体" w:hAnsi="宋体" w:eastAsia="宋体"/>
          <w:color w:val="000000" w:themeColor="text1"/>
        </w:rPr>
        <w:t>创投企业选择按单一投资基金核算的，应当在按规定完成备案的</w:t>
      </w:r>
      <w:r>
        <w:rPr>
          <w:rFonts w:hint="eastAsia" w:ascii="Times New Roman" w:hAnsi="Times New Roman" w:eastAsia="宋体"/>
          <w:color w:val="000000" w:themeColor="text1"/>
        </w:rPr>
        <w:t>30</w:t>
      </w:r>
      <w:r>
        <w:rPr>
          <w:rFonts w:ascii="宋体" w:hAnsi="宋体" w:eastAsia="宋体"/>
          <w:color w:val="000000" w:themeColor="text1"/>
        </w:rPr>
        <w:t>日内，向主管税务机关进行核算方式备案；未按规定备案的，视同选择按创投企业年度所得整体核算。</w:t>
      </w:r>
    </w:p>
    <w:p>
      <w:pPr>
        <w:pStyle w:val="31"/>
        <w:wordWrap w:val="0"/>
        <w:adjustRightInd/>
        <w:snapToGrid/>
        <w:rPr>
          <w:rFonts w:ascii="宋体" w:hAnsi="宋体" w:eastAsia="宋体"/>
          <w:color w:val="000000" w:themeColor="text1"/>
        </w:rPr>
      </w:pPr>
      <w:r>
        <w:rPr>
          <w:rFonts w:hint="eastAsia" w:ascii="Times New Roman" w:hAnsi="Times New Roman" w:eastAsia="宋体"/>
          <w:bCs w:val="0"/>
          <w:color w:val="000000" w:themeColor="text1"/>
        </w:rPr>
        <w:t>8.</w:t>
      </w:r>
      <w:r>
        <w:rPr>
          <w:rFonts w:ascii="宋体" w:hAnsi="宋体" w:eastAsia="宋体"/>
          <w:bCs w:val="0"/>
          <w:color w:val="000000" w:themeColor="text1"/>
        </w:rPr>
        <w:t>对选择按单一投资基金核算的合伙制创业投资企业，并已完成合伙制创业投资企业单一投资基金核算方式备案的，在次年</w:t>
      </w:r>
      <w:r>
        <w:rPr>
          <w:rFonts w:hint="eastAsia" w:ascii="Times New Roman" w:hAnsi="Times New Roman" w:eastAsia="宋体"/>
          <w:bCs w:val="0"/>
          <w:color w:val="000000" w:themeColor="text1"/>
        </w:rPr>
        <w:t>3</w:t>
      </w:r>
      <w:r>
        <w:rPr>
          <w:rFonts w:ascii="宋体" w:hAnsi="宋体" w:eastAsia="宋体"/>
          <w:bCs w:val="0"/>
          <w:color w:val="000000" w:themeColor="text1"/>
        </w:rPr>
        <w:t>月</w:t>
      </w:r>
      <w:r>
        <w:rPr>
          <w:rFonts w:hint="eastAsia" w:ascii="Times New Roman" w:hAnsi="Times New Roman" w:eastAsia="宋体"/>
          <w:bCs w:val="0"/>
          <w:color w:val="000000" w:themeColor="text1"/>
        </w:rPr>
        <w:t>31</w:t>
      </w:r>
      <w:r>
        <w:rPr>
          <w:rFonts w:ascii="宋体" w:hAnsi="宋体" w:eastAsia="宋体"/>
          <w:bCs w:val="0"/>
          <w:color w:val="000000" w:themeColor="text1"/>
        </w:rPr>
        <w:t>日前，按规定向主管税务机关办理年度股权转让所得扣缴申报。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个人合伙人按照其应从基金股息红利所得中分得的份额计算其应纳税额，并由创投企业按次代扣代缴个人所得税。</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10.</w:t>
      </w:r>
      <w:r>
        <w:rPr>
          <w:rFonts w:ascii="宋体" w:hAnsi="宋体" w:eastAsia="宋体"/>
          <w:bCs w:val="0"/>
          <w:color w:val="000000" w:themeColor="text1"/>
        </w:rPr>
        <w:t>创投企业选择按单一投资基金核算或按创投企业年度所得整体核算后，</w:t>
      </w:r>
      <w:r>
        <w:rPr>
          <w:rFonts w:hint="eastAsia" w:ascii="Times New Roman" w:hAnsi="Times New Roman" w:eastAsia="宋体"/>
          <w:bCs w:val="0"/>
          <w:color w:val="000000" w:themeColor="text1"/>
        </w:rPr>
        <w:t>3</w:t>
      </w:r>
      <w:r>
        <w:rPr>
          <w:rFonts w:ascii="宋体" w:hAnsi="宋体" w:eastAsia="宋体"/>
          <w:bCs w:val="0"/>
          <w:color w:val="000000" w:themeColor="text1"/>
        </w:rPr>
        <w:t>年内不能变更；满</w:t>
      </w:r>
      <w:r>
        <w:rPr>
          <w:rFonts w:hint="eastAsia" w:ascii="Times New Roman" w:hAnsi="Times New Roman" w:eastAsia="宋体"/>
          <w:bCs w:val="0"/>
          <w:color w:val="000000" w:themeColor="text1"/>
        </w:rPr>
        <w:t>3</w:t>
      </w:r>
      <w:r>
        <w:rPr>
          <w:rFonts w:ascii="宋体" w:hAnsi="宋体" w:eastAsia="宋体"/>
          <w:bCs w:val="0"/>
          <w:color w:val="000000" w:themeColor="text1"/>
        </w:rPr>
        <w:t>年需要调整的，应当在满</w:t>
      </w:r>
      <w:r>
        <w:rPr>
          <w:rFonts w:hint="eastAsia" w:ascii="Times New Roman" w:hAnsi="Times New Roman" w:eastAsia="宋体"/>
          <w:bCs w:val="0"/>
          <w:color w:val="000000" w:themeColor="text1"/>
        </w:rPr>
        <w:t>3</w:t>
      </w:r>
      <w:r>
        <w:rPr>
          <w:rFonts w:ascii="宋体" w:hAnsi="宋体" w:eastAsia="宋体"/>
          <w:bCs w:val="0"/>
          <w:color w:val="000000" w:themeColor="text1"/>
        </w:rPr>
        <w:t>年的次年</w:t>
      </w:r>
      <w:r>
        <w:rPr>
          <w:rFonts w:hint="eastAsia" w:ascii="Times New Roman" w:hAnsi="Times New Roman" w:eastAsia="宋体"/>
          <w:bCs w:val="0"/>
          <w:color w:val="000000" w:themeColor="text1"/>
        </w:rPr>
        <w:t>1</w:t>
      </w:r>
      <w:r>
        <w:rPr>
          <w:rFonts w:ascii="宋体" w:hAnsi="宋体" w:eastAsia="宋体"/>
          <w:bCs w:val="0"/>
          <w:color w:val="000000" w:themeColor="text1"/>
        </w:rPr>
        <w:t>月</w:t>
      </w:r>
      <w:r>
        <w:rPr>
          <w:rFonts w:hint="eastAsia" w:ascii="Times New Roman" w:hAnsi="Times New Roman" w:eastAsia="宋体"/>
          <w:bCs w:val="0"/>
          <w:color w:val="000000" w:themeColor="text1"/>
        </w:rPr>
        <w:t>31</w:t>
      </w:r>
      <w:r>
        <w:rPr>
          <w:rFonts w:ascii="宋体" w:hAnsi="宋体" w:eastAsia="宋体"/>
          <w:bCs w:val="0"/>
          <w:color w:val="000000" w:themeColor="text1"/>
        </w:rPr>
        <w:t>日前，重新向主管税务机关备案。</w:t>
      </w:r>
    </w:p>
    <w:p>
      <w:pPr>
        <w:wordWrap w:val="0"/>
        <w:spacing w:line="360" w:lineRule="auto"/>
        <w:ind w:firstLine="480"/>
        <w:rPr>
          <w:rFonts w:hint="default" w:ascii="宋体" w:hAnsi="宋体" w:cs="Times New Roman"/>
          <w:color w:val="000000" w:themeColor="text1"/>
        </w:rPr>
      </w:pPr>
      <w:r>
        <w:rPr>
          <w:rFonts w:cs="Times New Roman"/>
          <w:color w:val="000000" w:themeColor="text1"/>
        </w:rPr>
        <w:t>11</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pStyle w:val="31"/>
        <w:wordWrap w:val="0"/>
        <w:adjustRightInd/>
        <w:snapToGrid/>
        <w:rPr>
          <w:color w:val="000000" w:themeColor="text1"/>
        </w:rPr>
      </w:pPr>
      <w:r>
        <w:rPr>
          <w:color w:val="000000" w:themeColor="text1"/>
        </w:rPr>
        <w:t>【基本规范】</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1.</w:t>
      </w:r>
      <w:r>
        <w:rPr>
          <w:rFonts w:ascii="宋体" w:hAnsi="宋体" w:eastAsia="宋体"/>
          <w:bCs w:val="0"/>
          <w:color w:val="000000" w:themeColor="text1"/>
        </w:rPr>
        <w:t>受理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办税服务厅或自然人税收管理系统接收资料信息，核对资料信息是否齐全、是否符合法定形式、填写内容是否完整，符合的即时受理；对资料不齐全、不符合法定形式或填写内容不完整的，一次性告知应补正资料或不予受理原因。</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）不得违规受理申报。</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2.</w:t>
      </w:r>
      <w:r>
        <w:rPr>
          <w:rFonts w:ascii="宋体" w:hAnsi="宋体" w:eastAsia="宋体"/>
          <w:bCs w:val="0"/>
          <w:color w:val="000000" w:themeColor="text1"/>
        </w:rPr>
        <w:t>办理</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1</w:t>
      </w:r>
      <w:r>
        <w:rPr>
          <w:rFonts w:ascii="宋体" w:hAnsi="宋体" w:eastAsia="宋体"/>
          <w:bCs w:val="0"/>
          <w:color w:val="000000" w:themeColor="text1"/>
        </w:rPr>
        <w:t>）按照</w:t>
      </w:r>
      <w:r>
        <w:rPr>
          <w:rFonts w:hint="eastAsia" w:ascii="宋体" w:hAnsi="宋体" w:eastAsia="宋体"/>
          <w:bCs w:val="0"/>
          <w:color w:val="000000" w:themeColor="text1"/>
        </w:rPr>
        <w:t>扣缴义务人</w:t>
      </w:r>
      <w:r>
        <w:rPr>
          <w:rFonts w:ascii="宋体" w:hAnsi="宋体" w:eastAsia="宋体"/>
          <w:bCs w:val="0"/>
          <w:color w:val="000000" w:themeColor="text1"/>
        </w:rPr>
        <w:t>报送材料录入数据。根据信息系统的提示信息，提醒</w:t>
      </w:r>
      <w:r>
        <w:rPr>
          <w:rFonts w:hint="eastAsia" w:ascii="宋体" w:hAnsi="宋体" w:eastAsia="宋体"/>
          <w:bCs w:val="0"/>
          <w:color w:val="000000" w:themeColor="text1"/>
        </w:rPr>
        <w:t>扣缴义务人</w:t>
      </w:r>
      <w:r>
        <w:rPr>
          <w:rFonts w:ascii="宋体" w:hAnsi="宋体" w:eastAsia="宋体"/>
          <w:bCs w:val="0"/>
          <w:color w:val="000000" w:themeColor="text1"/>
        </w:rPr>
        <w:t>更正纠错。</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w:t>
      </w:r>
      <w:r>
        <w:rPr>
          <w:rFonts w:hint="eastAsia" w:ascii="Times New Roman" w:hAnsi="Times New Roman" w:eastAsia="宋体"/>
          <w:bCs w:val="0"/>
          <w:color w:val="000000" w:themeColor="text1"/>
        </w:rPr>
        <w:t>2</w:t>
      </w:r>
      <w:r>
        <w:rPr>
          <w:rFonts w:ascii="宋体" w:hAnsi="宋体" w:eastAsia="宋体"/>
          <w:bCs w:val="0"/>
          <w:color w:val="000000" w:themeColor="text1"/>
        </w:rPr>
        <w:t>）按规定开具税收票证。</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3.</w:t>
      </w:r>
      <w:r>
        <w:rPr>
          <w:rFonts w:ascii="宋体" w:hAnsi="宋体" w:eastAsia="宋体"/>
          <w:bCs w:val="0"/>
          <w:color w:val="000000" w:themeColor="text1"/>
        </w:rPr>
        <w:t>反馈</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办理结束后，在申报表上加盖印章，一份返还</w:t>
      </w:r>
      <w:r>
        <w:rPr>
          <w:rFonts w:hint="eastAsia" w:ascii="宋体" w:hAnsi="宋体" w:eastAsia="宋体"/>
          <w:bCs w:val="0"/>
          <w:color w:val="000000" w:themeColor="text1"/>
        </w:rPr>
        <w:t>扣缴义务人</w:t>
      </w:r>
      <w:r>
        <w:rPr>
          <w:rFonts w:ascii="宋体" w:hAnsi="宋体" w:eastAsia="宋体"/>
          <w:bCs w:val="0"/>
          <w:color w:val="000000" w:themeColor="text1"/>
        </w:rPr>
        <w:t>；自然人税收管理系统办理的，将办理结果通过自然人税收管理系统反馈给</w:t>
      </w:r>
      <w:r>
        <w:rPr>
          <w:rFonts w:hint="eastAsia" w:ascii="宋体" w:hAnsi="宋体" w:eastAsia="宋体"/>
          <w:bCs w:val="0"/>
          <w:color w:val="000000" w:themeColor="text1"/>
        </w:rPr>
        <w:t>扣缴义务</w:t>
      </w:r>
      <w:r>
        <w:rPr>
          <w:rFonts w:ascii="宋体" w:hAnsi="宋体" w:eastAsia="宋体"/>
          <w:bCs w:val="0"/>
          <w:color w:val="000000" w:themeColor="text1"/>
        </w:rPr>
        <w:t>人。</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4.</w:t>
      </w:r>
      <w:r>
        <w:rPr>
          <w:rFonts w:ascii="宋体" w:hAnsi="宋体" w:eastAsia="宋体"/>
          <w:bCs w:val="0"/>
          <w:color w:val="000000" w:themeColor="text1"/>
        </w:rPr>
        <w:t>归档</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将资料进行归档。不得将</w:t>
      </w:r>
      <w:r>
        <w:rPr>
          <w:rFonts w:hint="eastAsia" w:ascii="宋体" w:hAnsi="宋体" w:eastAsia="宋体"/>
          <w:bCs w:val="0"/>
          <w:color w:val="000000" w:themeColor="text1"/>
        </w:rPr>
        <w:t>扣缴义务</w:t>
      </w:r>
      <w:r>
        <w:rPr>
          <w:rFonts w:ascii="宋体" w:hAnsi="宋体" w:eastAsia="宋体"/>
          <w:bCs w:val="0"/>
          <w:color w:val="000000" w:themeColor="text1"/>
        </w:rPr>
        <w:t>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1.受理环节</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进入金三操作系统，通过申报征收岗权限，按照【自然人税收管理系统（ITS）】—【申报】—【代扣代缴申报】—【分类所得个人所得税代扣代缴申报表（ITS）】的路径进入功能模块。</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2.提示事项</w:t>
      </w:r>
    </w:p>
    <w:p>
      <w:pPr>
        <w:pStyle w:val="31"/>
        <w:wordWrap w:val="0"/>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扣缴义务人已进行过扣缴登记。</w:t>
      </w:r>
    </w:p>
    <w:p>
      <w:pPr>
        <w:wordWrap w:val="0"/>
        <w:spacing w:line="360" w:lineRule="auto"/>
        <w:ind w:firstLine="480"/>
        <w:rPr>
          <w:rFonts w:hint="default" w:ascii="黑体" w:hAnsi="黑体" w:eastAsia="黑体" w:cs="Times New Roman"/>
          <w:bCs/>
        </w:rPr>
      </w:pPr>
      <w:r>
        <w:rPr>
          <w:rFonts w:ascii="黑体" w:hAnsi="黑体" w:eastAsia="黑体" w:cs="Times New Roman"/>
          <w:bCs/>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spacing w:line="276" w:lineRule="auto"/>
            </w:pPr>
            <w:r>
              <w:t>序号</w:t>
            </w:r>
          </w:p>
        </w:tc>
        <w:tc>
          <w:tcPr>
            <w:tcW w:w="5654" w:type="dxa"/>
            <w:vAlign w:val="center"/>
          </w:tcPr>
          <w:p>
            <w:pPr>
              <w:pStyle w:val="33"/>
              <w:spacing w:line="276" w:lineRule="auto"/>
            </w:pPr>
            <w:r>
              <w:t>文件名称</w:t>
            </w:r>
          </w:p>
        </w:tc>
        <w:tc>
          <w:tcPr>
            <w:tcW w:w="1683" w:type="dxa"/>
            <w:vAlign w:val="center"/>
          </w:tcPr>
          <w:p>
            <w:pPr>
              <w:pStyle w:val="33"/>
              <w:spacing w:line="276" w:lineRule="auto"/>
            </w:pPr>
            <w: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w:t>
            </w:r>
          </w:p>
        </w:tc>
        <w:tc>
          <w:tcPr>
            <w:tcW w:w="5654" w:type="dxa"/>
            <w:vAlign w:val="center"/>
          </w:tcPr>
          <w:p>
            <w:pPr>
              <w:pStyle w:val="50"/>
              <w:spacing w:line="276" w:lineRule="auto"/>
            </w:pPr>
            <w:r>
              <w:t>《中华人民共和国税收征收管理法》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2</w:t>
            </w:r>
          </w:p>
        </w:tc>
        <w:tc>
          <w:tcPr>
            <w:tcW w:w="5654" w:type="dxa"/>
            <w:vAlign w:val="center"/>
          </w:tcPr>
          <w:p>
            <w:pPr>
              <w:pStyle w:val="50"/>
              <w:spacing w:line="276" w:lineRule="auto"/>
            </w:pPr>
            <w:r>
              <w:t>《中华人民共和国个人所得税法》</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3</w:t>
            </w:r>
          </w:p>
        </w:tc>
        <w:tc>
          <w:tcPr>
            <w:tcW w:w="5654" w:type="dxa"/>
            <w:vAlign w:val="center"/>
          </w:tcPr>
          <w:p>
            <w:pPr>
              <w:pStyle w:val="50"/>
              <w:spacing w:line="276" w:lineRule="auto"/>
            </w:pPr>
            <w:r>
              <w:t>《中华人民共和国个人所得税法实施条例》</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4</w:t>
            </w:r>
          </w:p>
        </w:tc>
        <w:tc>
          <w:tcPr>
            <w:tcW w:w="5654" w:type="dxa"/>
            <w:vAlign w:val="center"/>
          </w:tcPr>
          <w:p>
            <w:pPr>
              <w:pStyle w:val="50"/>
              <w:spacing w:line="276" w:lineRule="auto"/>
              <w:rPr>
                <w:strike/>
              </w:rPr>
            </w:pPr>
            <w:r>
              <w:t>《财政部 税务总局关于继续有效的个人所得税优惠政策目录的公告》（财政部税务总局公告2018年第177号）</w:t>
            </w:r>
          </w:p>
        </w:tc>
        <w:tc>
          <w:tcPr>
            <w:tcW w:w="1683" w:type="dxa"/>
            <w:vAlign w:val="center"/>
          </w:tcPr>
          <w:p>
            <w:pPr>
              <w:pStyle w:val="50"/>
              <w:spacing w:line="276" w:lineRule="auto"/>
              <w:rPr>
                <w:strike/>
              </w:rPr>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5</w:t>
            </w:r>
          </w:p>
        </w:tc>
        <w:tc>
          <w:tcPr>
            <w:tcW w:w="5654" w:type="dxa"/>
            <w:vAlign w:val="center"/>
          </w:tcPr>
          <w:p>
            <w:pPr>
              <w:pStyle w:val="50"/>
              <w:spacing w:line="276" w:lineRule="auto"/>
            </w:pPr>
            <w:r>
              <w:t>《财政部 税务总局关于创业投资企业和天使投资个人有关税收政策的通知》（财税〔2018〕55号）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6</w:t>
            </w:r>
          </w:p>
        </w:tc>
        <w:tc>
          <w:tcPr>
            <w:tcW w:w="5654" w:type="dxa"/>
            <w:vAlign w:val="center"/>
          </w:tcPr>
          <w:p>
            <w:pPr>
              <w:pStyle w:val="50"/>
              <w:spacing w:line="276" w:lineRule="auto"/>
            </w:pPr>
            <w:r>
              <w:t>《财政部 税务总局 发展改革委 证监会关于创业投资企业个人合伙人所得税政策问题的通知》（财税〔2019〕8号）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7</w:t>
            </w:r>
          </w:p>
        </w:tc>
        <w:tc>
          <w:tcPr>
            <w:tcW w:w="5654" w:type="dxa"/>
            <w:vAlign w:val="center"/>
          </w:tcPr>
          <w:p>
            <w:pPr>
              <w:pStyle w:val="50"/>
              <w:spacing w:line="276" w:lineRule="auto"/>
            </w:pPr>
            <w:r>
              <w:t>《财政部 税务总局关于实施小微企业普惠性税收减免政策的通知》（财税〔2019〕13号）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8</w:t>
            </w:r>
          </w:p>
        </w:tc>
        <w:tc>
          <w:tcPr>
            <w:tcW w:w="5654" w:type="dxa"/>
            <w:vAlign w:val="center"/>
          </w:tcPr>
          <w:p>
            <w:pPr>
              <w:pStyle w:val="50"/>
              <w:spacing w:line="276" w:lineRule="auto"/>
            </w:pPr>
            <w:r>
              <w:t>《国家税务总局关于发布&lt;办税事项“最多跑一次”清单&gt;的公告》（国家税务总局公告2018年第12号）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9</w:t>
            </w:r>
          </w:p>
        </w:tc>
        <w:tc>
          <w:tcPr>
            <w:tcW w:w="5654" w:type="dxa"/>
            <w:vAlign w:val="center"/>
          </w:tcPr>
          <w:p>
            <w:pPr>
              <w:pStyle w:val="50"/>
              <w:spacing w:line="276" w:lineRule="auto"/>
            </w:pPr>
            <w:r>
              <w:t>《国家税务总局关于创业投资企业和天使投资个人税收政策有关问题的公告》（国家税务总局公告2018年第43号）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10</w:t>
            </w:r>
          </w:p>
        </w:tc>
        <w:tc>
          <w:tcPr>
            <w:tcW w:w="5654" w:type="dxa"/>
            <w:vAlign w:val="center"/>
          </w:tcPr>
          <w:p>
            <w:pPr>
              <w:pStyle w:val="50"/>
              <w:spacing w:line="276" w:lineRule="auto"/>
            </w:pPr>
            <w:r>
              <w:t>《国家税务总局关于发布〈个人所得税扣缴申报管理办法（试行）〉的公告》（国家税务总局公告2018年第61号）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11</w:t>
            </w:r>
          </w:p>
        </w:tc>
        <w:tc>
          <w:tcPr>
            <w:tcW w:w="5654" w:type="dxa"/>
            <w:vAlign w:val="center"/>
          </w:tcPr>
          <w:p>
            <w:pPr>
              <w:pStyle w:val="50"/>
              <w:spacing w:line="276" w:lineRule="auto"/>
            </w:pPr>
            <w:r>
              <w:t>《国家税务总局关于修订个人所得税申报表的公告》（国家税务总局公告2019年第7号）</w:t>
            </w:r>
          </w:p>
        </w:tc>
        <w:tc>
          <w:tcPr>
            <w:tcW w:w="1683" w:type="dxa"/>
            <w:vAlign w:val="center"/>
          </w:tcPr>
          <w:p>
            <w:pPr>
              <w:pStyle w:val="50"/>
              <w:spacing w:line="276" w:lineRule="auto"/>
            </w:pPr>
            <w: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12</w:t>
            </w:r>
          </w:p>
        </w:tc>
        <w:tc>
          <w:tcPr>
            <w:tcW w:w="5654" w:type="dxa"/>
            <w:vAlign w:val="center"/>
          </w:tcPr>
          <w:p>
            <w:pPr>
              <w:pStyle w:val="50"/>
              <w:spacing w:line="276" w:lineRule="auto"/>
              <w:rPr>
                <w:strike/>
              </w:rPr>
            </w:pPr>
            <w:r>
              <w:t>《国家税务总局关于印发&lt;全国税务系统进一步优化税收营商环境行动方案（2018年—2022年）&gt;的通知》（税总发〔2018〕145号）</w:t>
            </w:r>
          </w:p>
        </w:tc>
        <w:tc>
          <w:tcPr>
            <w:tcW w:w="1683" w:type="dxa"/>
            <w:vAlign w:val="center"/>
          </w:tcPr>
          <w:p>
            <w:pPr>
              <w:pStyle w:val="50"/>
              <w:spacing w:line="276" w:lineRule="auto"/>
              <w:rPr>
                <w:strike/>
              </w:rPr>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13</w:t>
            </w:r>
          </w:p>
        </w:tc>
        <w:tc>
          <w:tcPr>
            <w:tcW w:w="5654" w:type="dxa"/>
            <w:vAlign w:val="center"/>
          </w:tcPr>
          <w:p>
            <w:pPr>
              <w:pStyle w:val="50"/>
              <w:spacing w:line="276" w:lineRule="auto"/>
            </w:pPr>
            <w:r>
              <w:t>《国家税务总局关于印发&lt;办税服务厅管理办法&gt;的通知》（税总发〔2018〕189号）</w:t>
            </w:r>
          </w:p>
        </w:tc>
        <w:tc>
          <w:tcPr>
            <w:tcW w:w="1683" w:type="dxa"/>
            <w:vAlign w:val="center"/>
          </w:tcPr>
          <w:p>
            <w:pPr>
              <w:pStyle w:val="50"/>
              <w:spacing w:line="276" w:lineRule="auto"/>
            </w:pPr>
            <w: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spacing w:line="276" w:lineRule="auto"/>
            </w:pPr>
            <w:r>
              <w:t>14</w:t>
            </w:r>
          </w:p>
        </w:tc>
        <w:tc>
          <w:tcPr>
            <w:tcW w:w="5654" w:type="dxa"/>
            <w:vAlign w:val="center"/>
          </w:tcPr>
          <w:p>
            <w:pPr>
              <w:pStyle w:val="50"/>
              <w:spacing w:line="276" w:lineRule="auto"/>
            </w:pPr>
            <w:r>
              <w:t>《国家税务总局关于印发&lt;全国税务系统深化“放管服”改革五年工作方案（2018年—2022年）&gt;的通知》（税总发〔2018〕199号）</w:t>
            </w:r>
          </w:p>
        </w:tc>
        <w:tc>
          <w:tcPr>
            <w:tcW w:w="1683" w:type="dxa"/>
            <w:vAlign w:val="center"/>
          </w:tcPr>
          <w:p>
            <w:pPr>
              <w:pStyle w:val="50"/>
              <w:spacing w:line="276" w:lineRule="auto"/>
            </w:pPr>
            <w:r>
              <w:t>依申请公开</w:t>
            </w:r>
          </w:p>
        </w:tc>
      </w:tr>
    </w:tbl>
    <w:p>
      <w:pPr>
        <w:pStyle w:val="16"/>
        <w:spacing w:before="312" w:after="312"/>
        <w:ind w:firstLine="562"/>
        <w:jc w:val="both"/>
        <w:outlineLvl w:val="2"/>
        <w:rPr>
          <w:color w:val="000000" w:themeColor="text1"/>
        </w:rPr>
      </w:pPr>
      <w:bookmarkStart w:id="233" w:name="_Toc14309"/>
      <w:bookmarkStart w:id="234" w:name="_Toc18096177"/>
      <w:r>
        <w:rPr>
          <w:rFonts w:hint="eastAsia" w:ascii="Times New Roman" w:hAnsi="Times New Roman" w:eastAsia="黑体" w:cs="Times New Roman"/>
          <w:b/>
          <w:color w:val="000000" w:themeColor="text1"/>
          <w:kern w:val="24"/>
          <w:sz w:val="28"/>
          <w:szCs w:val="28"/>
        </w:rPr>
        <w:t>3.21.7—1</w:t>
      </w:r>
      <w:r>
        <w:rPr>
          <w:rFonts w:ascii="Times New Roman" w:hAnsi="Times New Roman" w:eastAsia="黑体" w:cs="Times New Roman"/>
          <w:b/>
          <w:color w:val="000000" w:themeColor="text1"/>
          <w:kern w:val="24"/>
          <w:sz w:val="28"/>
          <w:szCs w:val="28"/>
        </w:rPr>
        <w:t>11</w:t>
      </w:r>
      <w:r>
        <w:rPr>
          <w:rFonts w:hint="eastAsia" w:ascii="Times New Roman" w:hAnsi="Times New Roman" w:eastAsia="黑体" w:cs="黑体"/>
          <w:b/>
          <w:color w:val="000000" w:themeColor="text1"/>
          <w:kern w:val="24"/>
          <w:sz w:val="28"/>
          <w:szCs w:val="28"/>
        </w:rPr>
        <w:t>　</w:t>
      </w:r>
      <w:r>
        <w:rPr>
          <w:color w:val="000000" w:themeColor="text1"/>
        </w:rPr>
        <w:t>　</w:t>
      </w:r>
      <w:r>
        <w:rPr>
          <w:rFonts w:hint="eastAsia" w:ascii="Times New Roman" w:hAnsi="Times New Roman" w:eastAsia="黑体" w:cs="黑体"/>
          <w:b/>
          <w:color w:val="000000" w:themeColor="text1"/>
          <w:kern w:val="24"/>
          <w:sz w:val="28"/>
          <w:szCs w:val="28"/>
        </w:rPr>
        <w:t>扣缴储蓄存款利息所得个人所得税申报</w:t>
      </w:r>
      <w:bookmarkEnd w:id="233"/>
      <w:bookmarkEnd w:id="234"/>
    </w:p>
    <w:p>
      <w:pPr>
        <w:pStyle w:val="16"/>
        <w:spacing w:beforeLines="0" w:afterLines="0"/>
        <w:jc w:val="both"/>
        <w:rPr>
          <w:color w:val="000000" w:themeColor="text1"/>
        </w:rPr>
      </w:pPr>
      <w:r>
        <w:rPr>
          <w:rFonts w:hint="eastAsia" w:ascii="黑体" w:eastAsia="黑体" w:cs="Times New Roman"/>
          <w:bCs/>
          <w:color w:val="000000" w:themeColor="text1"/>
          <w:kern w:val="2"/>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扣缴储蓄存款利息所得个人所得税申报</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pStyle w:val="16"/>
        <w:spacing w:beforeLines="0" w:afterLines="0"/>
        <w:jc w:val="both"/>
        <w:rPr>
          <w:color w:val="000000" w:themeColor="text1"/>
        </w:rPr>
      </w:pPr>
      <w:r>
        <w:rPr>
          <w:rFonts w:hint="eastAsia"/>
          <w:color w:val="000000" w:themeColor="text1"/>
          <w:kern w:val="2"/>
        </w:rPr>
        <w:t>办理个人储蓄业务的储蓄机构，在向个人结付储蓄存款利息时，应依法代扣代缴其应缴纳的个人所得税税款，并</w:t>
      </w:r>
      <w:r>
        <w:rPr>
          <w:rFonts w:hint="eastAsia"/>
          <w:color w:val="000000" w:themeColor="text1"/>
        </w:rPr>
        <w:t>在代扣税款的次月</w:t>
      </w:r>
      <w:r>
        <w:rPr>
          <w:rFonts w:hint="eastAsia" w:ascii="Times New Roman" w:hAnsi="Times New Roman" w:cs="Times New Roman"/>
          <w:color w:val="000000" w:themeColor="text1"/>
        </w:rPr>
        <w:t>15</w:t>
      </w:r>
      <w:r>
        <w:rPr>
          <w:rFonts w:hint="eastAsia"/>
          <w:color w:val="000000" w:themeColor="text1"/>
        </w:rPr>
        <w:t>日内，填报《储蓄存款利息所得扣缴个人所得税报告表》，向税务机关纳税申报</w:t>
      </w:r>
      <w:r>
        <w:rPr>
          <w:rFonts w:hint="eastAsia"/>
          <w:color w:val="000000" w:themeColor="text1"/>
          <w:kern w:val="2"/>
        </w:rPr>
        <w:t>。</w:t>
      </w:r>
    </w:p>
    <w:p>
      <w:pPr>
        <w:pStyle w:val="16"/>
        <w:spacing w:beforeLines="0" w:afterLines="0"/>
        <w:jc w:val="both"/>
        <w:rPr>
          <w:color w:val="000000" w:themeColor="text1"/>
        </w:rPr>
      </w:pPr>
      <w:r>
        <w:rPr>
          <w:rFonts w:hint="eastAsia" w:ascii="黑体" w:eastAsia="黑体" w:cs="Times New Roman"/>
          <w:bCs/>
          <w:color w:val="000000" w:themeColor="text1"/>
          <w:kern w:val="2"/>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《中华人民共和国个人所得税法》第十条第二款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《中华人民共和国个人所得税法实施条例》第二十四条、第二十六条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w:t>
      </w:r>
      <w:r>
        <w:rPr>
          <w:rFonts w:ascii="宋体" w:hAnsi="宋体" w:cs="Times New Roman"/>
          <w:color w:val="000000" w:themeColor="text1"/>
        </w:rPr>
        <w:t>财政部　国家税务总局</w:t>
      </w:r>
      <w:r>
        <w:rPr>
          <w:rFonts w:hint="default" w:ascii="宋体" w:hAnsi="宋体" w:cs="Times New Roman"/>
          <w:color w:val="000000" w:themeColor="text1"/>
        </w:rPr>
        <w:t>关于储蓄存款利息所得有关个人所得税政策的通知》（财税〔</w:t>
      </w:r>
      <w:r>
        <w:rPr>
          <w:rFonts w:cs="Times New Roman"/>
          <w:color w:val="000000" w:themeColor="text1"/>
        </w:rPr>
        <w:t>2008</w:t>
      </w:r>
      <w:r>
        <w:rPr>
          <w:rFonts w:hint="default" w:ascii="宋体" w:hAnsi="宋体" w:cs="Times New Roman"/>
          <w:color w:val="000000" w:themeColor="text1"/>
        </w:rPr>
        <w:t>〕</w:t>
      </w:r>
      <w:r>
        <w:rPr>
          <w:rFonts w:cs="Times New Roman"/>
          <w:color w:val="000000" w:themeColor="text1"/>
        </w:rPr>
        <w:t>132</w:t>
      </w:r>
      <w:r>
        <w:rPr>
          <w:rFonts w:hint="default" w:ascii="宋体" w:hAnsi="宋体" w:cs="Times New Roman"/>
          <w:color w:val="000000" w:themeColor="text1"/>
        </w:rPr>
        <w:t>号）</w:t>
      </w:r>
    </w:p>
    <w:p>
      <w:pPr>
        <w:pStyle w:val="16"/>
        <w:spacing w:beforeLines="0" w:afterLines="0"/>
        <w:jc w:val="both"/>
        <w:rPr>
          <w:color w:val="000000" w:themeColor="text1"/>
        </w:rPr>
      </w:pPr>
      <w:r>
        <w:rPr>
          <w:rFonts w:hint="eastAsia" w:ascii="黑体" w:eastAsia="黑体" w:cs="Times New Roman"/>
          <w:bCs/>
          <w:color w:val="000000" w:themeColor="text1"/>
          <w:kern w:val="2"/>
        </w:rPr>
        <w:t>【办理材料】</w:t>
      </w:r>
    </w:p>
    <w:tbl>
      <w:tblPr>
        <w:tblStyle w:val="18"/>
        <w:tblW w:w="8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9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16"/>
              <w:spacing w:beforeLines="0" w:afterLines="0" w:line="240" w:lineRule="auto"/>
              <w:ind w:firstLine="0" w:firstLineChars="0"/>
              <w:jc w:val="center"/>
              <w:rPr>
                <w:color w:val="000000" w:themeColor="text1"/>
              </w:rPr>
            </w:pPr>
            <w:r>
              <w:rPr>
                <w:rFonts w:hint="eastAsia" w:ascii="黑体" w:eastAsia="黑体" w:cs="Times New Roman"/>
                <w:color w:val="000000" w:themeColor="text1"/>
                <w:kern w:val="2"/>
                <w:sz w:val="21"/>
                <w:szCs w:val="2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16"/>
              <w:spacing w:beforeLines="0" w:afterLines="0" w:line="240" w:lineRule="auto"/>
              <w:ind w:firstLine="0" w:firstLineChars="0"/>
              <w:jc w:val="center"/>
              <w:rPr>
                <w:color w:val="000000" w:themeColor="text1"/>
              </w:rPr>
            </w:pPr>
            <w:r>
              <w:rPr>
                <w:rFonts w:hint="eastAsia" w:ascii="黑体" w:eastAsia="黑体" w:cs="Times New Roman"/>
                <w:color w:val="000000" w:themeColor="text1"/>
                <w:kern w:val="2"/>
                <w:sz w:val="21"/>
                <w:szCs w:val="21"/>
              </w:rPr>
              <w:t>材料名称</w:t>
            </w:r>
          </w:p>
        </w:tc>
        <w:tc>
          <w:tcPr>
            <w:tcW w:w="69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16"/>
              <w:spacing w:beforeLines="0" w:afterLines="0" w:line="240" w:lineRule="auto"/>
              <w:ind w:firstLine="0" w:firstLineChars="0"/>
              <w:jc w:val="center"/>
              <w:rPr>
                <w:color w:val="000000" w:themeColor="text1"/>
              </w:rPr>
            </w:pPr>
            <w:r>
              <w:rPr>
                <w:rFonts w:hint="eastAsia" w:ascii="黑体" w:eastAsia="黑体" w:cs="Times New Roman"/>
                <w:color w:val="000000" w:themeColor="text1"/>
                <w:kern w:val="2"/>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16"/>
              <w:spacing w:beforeLines="0" w:afterLines="0" w:line="240" w:lineRule="auto"/>
              <w:ind w:firstLine="0" w:firstLineChars="0"/>
              <w:jc w:val="center"/>
              <w:rPr>
                <w:color w:val="000000" w:themeColor="text1"/>
              </w:rPr>
            </w:pPr>
            <w:r>
              <w:rPr>
                <w:rFonts w:hint="eastAsia" w:ascii="黑体" w:eastAsia="黑体" w:cs="Times New Roman"/>
                <w:color w:val="000000" w:themeColor="text1"/>
                <w:kern w:val="2"/>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6"/>
              <w:spacing w:beforeLines="0" w:afterLines="0" w:line="240" w:lineRule="auto"/>
              <w:ind w:firstLine="0" w:firstLineChars="0"/>
              <w:jc w:val="center"/>
              <w:rPr>
                <w:color w:val="000000" w:themeColor="text1"/>
              </w:rPr>
            </w:pPr>
            <w:r>
              <w:rPr>
                <w:rFonts w:hint="eastAsia" w:ascii="Times New Roman" w:hAnsi="Times New Roman" w:eastAsia="黑体" w:cs="Times New Roman"/>
                <w:color w:val="000000" w:themeColor="text1"/>
                <w:kern w:val="2"/>
                <w:sz w:val="18"/>
                <w:szCs w:val="18"/>
              </w:rPr>
              <w:t>1</w:t>
            </w:r>
          </w:p>
        </w:tc>
        <w:tc>
          <w:tcPr>
            <w:tcW w:w="453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6"/>
              <w:spacing w:beforeLines="0" w:afterLines="0" w:line="240" w:lineRule="auto"/>
              <w:ind w:firstLine="0" w:firstLineChars="0"/>
              <w:jc w:val="center"/>
              <w:rPr>
                <w:color w:val="000000" w:themeColor="text1"/>
              </w:rPr>
            </w:pPr>
            <w:r>
              <w:rPr>
                <w:rFonts w:hint="eastAsia" w:ascii="黑体" w:eastAsia="黑体" w:cs="Times New Roman"/>
                <w:color w:val="000000" w:themeColor="text1"/>
                <w:kern w:val="2"/>
                <w:sz w:val="18"/>
                <w:szCs w:val="18"/>
              </w:rPr>
              <w:t>《储蓄存款利息所得扣缴个人所得税报告表》</w:t>
            </w: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6"/>
              <w:spacing w:beforeLines="0" w:afterLines="0" w:line="240" w:lineRule="auto"/>
              <w:ind w:firstLine="0" w:firstLineChars="0"/>
              <w:jc w:val="center"/>
              <w:rPr>
                <w:color w:val="000000" w:themeColor="text1"/>
              </w:rPr>
            </w:pPr>
            <w:r>
              <w:rPr>
                <w:rFonts w:hint="eastAsia" w:ascii="Times New Roman" w:hAnsi="Times New Roman" w:eastAsia="黑体" w:cs="Times New Roman"/>
                <w:color w:val="000000" w:themeColor="text1"/>
                <w:kern w:val="2"/>
                <w:sz w:val="18"/>
                <w:szCs w:val="18"/>
              </w:rPr>
              <w:t>2</w:t>
            </w:r>
            <w:r>
              <w:rPr>
                <w:rFonts w:hint="eastAsia" w:ascii="黑体" w:eastAsia="黑体" w:cs="Times New Roman"/>
                <w:color w:val="000000" w:themeColor="text1"/>
                <w:kern w:val="2"/>
                <w:sz w:val="18"/>
                <w:szCs w:val="18"/>
              </w:rPr>
              <w:t>份</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6"/>
              <w:spacing w:beforeLines="0" w:afterLines="0" w:line="240" w:lineRule="auto"/>
              <w:ind w:firstLine="0" w:firstLineChars="0"/>
              <w:jc w:val="center"/>
              <w:rPr>
                <w:color w:val="000000" w:themeColor="text1"/>
              </w:rPr>
            </w:pPr>
          </w:p>
        </w:tc>
      </w:tr>
    </w:tbl>
    <w:p>
      <w:pPr>
        <w:pStyle w:val="16"/>
        <w:spacing w:beforeLines="0" w:afterLines="0"/>
        <w:jc w:val="both"/>
        <w:rPr>
          <w:color w:val="000000" w:themeColor="text1"/>
        </w:rPr>
      </w:pPr>
      <w:r>
        <w:rPr>
          <w:rFonts w:hint="eastAsia" w:ascii="黑体" w:eastAsia="黑体" w:cs="Times New Roman"/>
          <w:bCs/>
          <w:color w:val="000000" w:themeColor="text1"/>
          <w:kern w:val="2"/>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可通过办税服务厅（场所）、自然人税收管理系统（扣缴客户端）办理，办税服务厅（场所）的具体地点可从国家税务总局湖南省税务局网站“纳税服务”栏目查询。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16"/>
        <w:spacing w:beforeLines="0" w:afterLines="0"/>
        <w:jc w:val="both"/>
        <w:rPr>
          <w:color w:val="000000" w:themeColor="text1"/>
        </w:rPr>
      </w:pPr>
      <w:r>
        <w:rPr>
          <w:rFonts w:hint="eastAsia" w:ascii="黑体" w:eastAsia="黑体" w:cs="Times New Roman"/>
          <w:bCs/>
          <w:color w:val="000000" w:themeColor="text1"/>
          <w:kern w:val="2"/>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扣缴义务人主管税务机关</w:t>
      </w:r>
    </w:p>
    <w:p>
      <w:pPr>
        <w:pStyle w:val="16"/>
        <w:spacing w:beforeLines="0" w:afterLines="0"/>
        <w:jc w:val="both"/>
        <w:rPr>
          <w:color w:val="000000" w:themeColor="text1"/>
        </w:rPr>
      </w:pPr>
      <w:r>
        <w:rPr>
          <w:rFonts w:hint="eastAsia" w:ascii="黑体" w:eastAsia="黑体" w:cs="Times New Roman"/>
          <w:bCs/>
          <w:color w:val="000000" w:themeColor="text1"/>
          <w:kern w:val="2"/>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16"/>
        <w:spacing w:beforeLines="0" w:afterLines="0"/>
        <w:jc w:val="both"/>
        <w:rPr>
          <w:color w:val="000000" w:themeColor="text1"/>
        </w:rPr>
      </w:pPr>
      <w:r>
        <w:rPr>
          <w:rFonts w:hint="eastAsia" w:ascii="黑体" w:eastAsia="黑体" w:cs="Times New Roman"/>
          <w:bCs/>
          <w:color w:val="000000" w:themeColor="text1"/>
          <w:kern w:val="2"/>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16"/>
        <w:spacing w:beforeLines="0" w:afterLines="0"/>
        <w:jc w:val="both"/>
        <w:rPr>
          <w:color w:val="000000" w:themeColor="text1"/>
        </w:rPr>
      </w:pPr>
      <w:r>
        <w:rPr>
          <w:rFonts w:hint="eastAsia" w:ascii="黑体" w:eastAsia="黑体" w:cs="Times New Roman"/>
          <w:bCs/>
          <w:color w:val="000000" w:themeColor="text1"/>
          <w:kern w:val="2"/>
        </w:rPr>
        <w:t>【联系电话】</w:t>
      </w:r>
    </w:p>
    <w:p>
      <w:pPr>
        <w:pStyle w:val="16"/>
        <w:spacing w:beforeLines="0" w:afterLines="0"/>
        <w:jc w:val="both"/>
        <w:rPr>
          <w:color w:val="000000" w:themeColor="text1"/>
        </w:rPr>
      </w:pPr>
      <w:r>
        <w:rPr>
          <w:rFonts w:hint="eastAsia"/>
          <w:color w:val="000000" w:themeColor="text1"/>
          <w:kern w:val="2"/>
        </w:rPr>
        <w:t>主管税务机关对外公开的联系电话，可从国家税务总局湖南省税务局网站“纳税服务”栏目查询。</w:t>
      </w:r>
    </w:p>
    <w:p>
      <w:pPr>
        <w:pStyle w:val="16"/>
        <w:spacing w:beforeLines="0" w:afterLines="0"/>
        <w:jc w:val="both"/>
        <w:rPr>
          <w:color w:val="000000" w:themeColor="text1"/>
        </w:rPr>
      </w:pPr>
      <w:r>
        <w:rPr>
          <w:rFonts w:hint="eastAsia" w:ascii="黑体" w:eastAsia="黑体" w:cs="Times New Roman"/>
          <w:bCs/>
          <w:color w:val="000000" w:themeColor="text1"/>
          <w:kern w:val="2"/>
        </w:rPr>
        <w:t>【办理流程】</w:t>
      </w:r>
    </w:p>
    <w:p>
      <w:pPr>
        <w:pStyle w:val="16"/>
        <w:spacing w:beforeLines="0" w:afterLines="0"/>
        <w:ind w:firstLine="0" w:firstLineChars="0"/>
        <w:jc w:val="center"/>
        <w:rPr>
          <w:rFonts w:ascii="黑体" w:eastAsia="黑体" w:cs="Times New Roman"/>
          <w:bCs/>
          <w:color w:val="000000" w:themeColor="text1"/>
          <w:kern w:val="2"/>
        </w:rPr>
      </w:pPr>
      <w:r>
        <w:rPr>
          <w:color w:val="000000" w:themeColor="text1"/>
        </w:rPr>
        <w:drawing>
          <wp:inline distT="0" distB="0" distL="114300" distR="114300">
            <wp:extent cx="5059680" cy="1710690"/>
            <wp:effectExtent l="0" t="0" r="7620" b="0"/>
            <wp:docPr id="88" name="图片 52" descr="C:\Users\baoqianyu\Desktop\流程图\即办\扣缴义务人.png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2" descr="C:\Users\baoqianyu\Desktop\流程图\即办\扣缴义务人.png扣缴义务人"/>
                    <pic:cNvPicPr>
                      <a:picLocks noChangeAspect="1"/>
                    </pic:cNvPicPr>
                  </pic:nvPicPr>
                  <pic:blipFill>
                    <a:blip r:embed="rId18"/>
                    <a:srcRect/>
                    <a:stretch>
                      <a:fillRect/>
                    </a:stretch>
                  </pic:blipFill>
                  <pic:spPr>
                    <a:xfrm>
                      <a:off x="0" y="0"/>
                      <a:ext cx="5059680" cy="1710690"/>
                    </a:xfrm>
                    <a:prstGeom prst="rect">
                      <a:avLst/>
                    </a:prstGeom>
                    <a:noFill/>
                    <a:ln>
                      <a:noFill/>
                    </a:ln>
                  </pic:spPr>
                </pic:pic>
              </a:graphicData>
            </a:graphic>
          </wp:inline>
        </w:drawing>
      </w:r>
    </w:p>
    <w:p>
      <w:pPr>
        <w:pStyle w:val="16"/>
        <w:spacing w:beforeLines="0" w:afterLines="0"/>
        <w:jc w:val="both"/>
        <w:rPr>
          <w:color w:val="000000" w:themeColor="text1"/>
        </w:rPr>
      </w:pPr>
      <w:r>
        <w:rPr>
          <w:rFonts w:hint="eastAsia" w:ascii="黑体" w:eastAsia="黑体" w:cs="Times New Roman"/>
          <w:bCs/>
          <w:color w:val="000000" w:themeColor="text1"/>
          <w:kern w:val="2"/>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扣缴义务人</w:t>
      </w:r>
      <w:r>
        <w:rPr>
          <w:rFonts w:hint="default" w:ascii="宋体" w:hAnsi="宋体" w:cs="Times New Roman"/>
          <w:color w:val="000000" w:themeColor="text1"/>
        </w:rPr>
        <w:t>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储蓄存款在</w:t>
      </w:r>
      <w:r>
        <w:rPr>
          <w:rFonts w:cs="Times New Roman"/>
          <w:color w:val="000000" w:themeColor="text1"/>
        </w:rPr>
        <w:t>2008</w:t>
      </w:r>
      <w:r>
        <w:rPr>
          <w:rFonts w:ascii="宋体" w:hAnsi="宋体" w:cs="Times New Roman"/>
          <w:color w:val="000000" w:themeColor="text1"/>
        </w:rPr>
        <w:t>年</w:t>
      </w:r>
      <w:r>
        <w:rPr>
          <w:rFonts w:cs="Times New Roman"/>
          <w:color w:val="000000" w:themeColor="text1"/>
        </w:rPr>
        <w:t>10</w:t>
      </w:r>
      <w:r>
        <w:rPr>
          <w:rFonts w:ascii="宋体" w:hAnsi="宋体" w:cs="Times New Roman"/>
          <w:color w:val="000000" w:themeColor="text1"/>
        </w:rPr>
        <w:t>月</w:t>
      </w:r>
      <w:r>
        <w:rPr>
          <w:rFonts w:cs="Times New Roman"/>
          <w:color w:val="000000" w:themeColor="text1"/>
        </w:rPr>
        <w:t>9</w:t>
      </w:r>
      <w:r>
        <w:rPr>
          <w:rFonts w:ascii="宋体" w:hAnsi="宋体" w:cs="Times New Roman"/>
          <w:color w:val="000000" w:themeColor="text1"/>
        </w:rPr>
        <w:t>日后（含</w:t>
      </w:r>
      <w:r>
        <w:rPr>
          <w:rFonts w:cs="Times New Roman"/>
          <w:color w:val="000000" w:themeColor="text1"/>
        </w:rPr>
        <w:t>10</w:t>
      </w:r>
      <w:r>
        <w:rPr>
          <w:rFonts w:ascii="宋体" w:hAnsi="宋体" w:cs="Times New Roman"/>
          <w:color w:val="000000" w:themeColor="text1"/>
        </w:rPr>
        <w:t>月</w:t>
      </w:r>
      <w:r>
        <w:rPr>
          <w:rFonts w:cs="Times New Roman"/>
          <w:color w:val="000000" w:themeColor="text1"/>
        </w:rPr>
        <w:t>9</w:t>
      </w:r>
      <w:r>
        <w:rPr>
          <w:rFonts w:ascii="宋体" w:hAnsi="宋体" w:cs="Times New Roman"/>
          <w:color w:val="000000" w:themeColor="text1"/>
        </w:rPr>
        <w:t>日）孳生的利息所得，暂免征收个人所得税。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扣缴义务人有未按照规定向税务机关报送资料和信息、应扣未扣税款、不缴或少缴已扣税款、借用或冒用他人身份等行为的，依照《中华人民共和国税收征收管理法》等相关法律、行政法规处理。</w:t>
      </w:r>
    </w:p>
    <w:p>
      <w:pPr>
        <w:pStyle w:val="16"/>
        <w:spacing w:beforeLines="0" w:afterLines="0"/>
        <w:jc w:val="both"/>
        <w:rPr>
          <w:color w:val="000000" w:themeColor="text1"/>
        </w:rPr>
      </w:pPr>
      <w:r>
        <w:rPr>
          <w:rFonts w:hint="eastAsia" w:ascii="黑体" w:eastAsia="黑体" w:cs="Times New Roman"/>
          <w:bCs/>
          <w:color w:val="000000" w:themeColor="text1"/>
          <w:kern w:val="2"/>
        </w:rPr>
        <w:t>【基本规范】</w:t>
      </w:r>
    </w:p>
    <w:p>
      <w:pPr>
        <w:pStyle w:val="16"/>
        <w:spacing w:beforeLines="0" w:afterLines="0"/>
        <w:jc w:val="both"/>
        <w:rPr>
          <w:color w:val="000000" w:themeColor="text1"/>
        </w:rPr>
      </w:pPr>
      <w:r>
        <w:rPr>
          <w:rFonts w:hint="eastAsia" w:ascii="Times New Roman" w:hAnsi="Times New Roman" w:cs="Times New Roman"/>
          <w:color w:val="000000" w:themeColor="text1"/>
          <w:kern w:val="2"/>
        </w:rPr>
        <w:t>1.</w:t>
      </w:r>
      <w:r>
        <w:rPr>
          <w:rFonts w:hint="eastAsia"/>
          <w:color w:val="000000" w:themeColor="text1"/>
          <w:kern w:val="2"/>
        </w:rPr>
        <w:t>受理</w:t>
      </w:r>
    </w:p>
    <w:p>
      <w:pPr>
        <w:pStyle w:val="16"/>
        <w:spacing w:beforeLines="0" w:afterLines="0"/>
        <w:jc w:val="both"/>
        <w:rPr>
          <w:color w:val="000000" w:themeColor="text1"/>
        </w:rPr>
      </w:pPr>
      <w:r>
        <w:rPr>
          <w:rFonts w:hint="eastAsia"/>
          <w:color w:val="000000" w:themeColor="text1"/>
          <w:kern w:val="2"/>
        </w:rPr>
        <w:t>（</w:t>
      </w:r>
      <w:r>
        <w:rPr>
          <w:rFonts w:hint="eastAsia" w:ascii="Times New Roman" w:hAnsi="Times New Roman" w:cs="Times New Roman"/>
          <w:color w:val="000000" w:themeColor="text1"/>
          <w:kern w:val="2"/>
        </w:rPr>
        <w:t>1</w:t>
      </w:r>
      <w:r>
        <w:rPr>
          <w:rFonts w:hint="eastAsia"/>
          <w:color w:val="000000" w:themeColor="text1"/>
          <w:kern w:val="2"/>
        </w:rPr>
        <w:t>）办税服务厅或自然人税收管理系统接收资料信息，核对资料信息是否齐全、是否符合法定形式、填写内容是否完整，符合的即时受理；对资料不齐全、不符合法定形式或填写内容不完整的，一次性告知应补正资料或不予受理原因。</w:t>
      </w:r>
    </w:p>
    <w:p>
      <w:pPr>
        <w:pStyle w:val="16"/>
        <w:spacing w:beforeLines="0" w:afterLines="0"/>
        <w:jc w:val="both"/>
        <w:rPr>
          <w:color w:val="000000" w:themeColor="text1"/>
        </w:rPr>
      </w:pPr>
      <w:r>
        <w:rPr>
          <w:rFonts w:hint="eastAsia"/>
          <w:color w:val="000000" w:themeColor="text1"/>
          <w:kern w:val="2"/>
        </w:rPr>
        <w:t>（</w:t>
      </w:r>
      <w:r>
        <w:rPr>
          <w:rFonts w:hint="eastAsia" w:ascii="Times New Roman" w:hAnsi="Times New Roman" w:cs="Times New Roman"/>
          <w:color w:val="000000" w:themeColor="text1"/>
          <w:kern w:val="2"/>
        </w:rPr>
        <w:t>2</w:t>
      </w:r>
      <w:r>
        <w:rPr>
          <w:rFonts w:hint="eastAsia"/>
          <w:color w:val="000000" w:themeColor="text1"/>
          <w:kern w:val="2"/>
        </w:rPr>
        <w:t>）不得违规受理申报。</w:t>
      </w:r>
    </w:p>
    <w:p>
      <w:pPr>
        <w:pStyle w:val="16"/>
        <w:spacing w:beforeLines="0" w:afterLines="0"/>
        <w:jc w:val="both"/>
        <w:rPr>
          <w:color w:val="000000" w:themeColor="text1"/>
        </w:rPr>
      </w:pPr>
      <w:r>
        <w:rPr>
          <w:rFonts w:hint="eastAsia" w:ascii="Times New Roman" w:hAnsi="Times New Roman" w:cs="Times New Roman"/>
          <w:color w:val="000000" w:themeColor="text1"/>
          <w:kern w:val="2"/>
        </w:rPr>
        <w:t>2.</w:t>
      </w:r>
      <w:r>
        <w:rPr>
          <w:rFonts w:hint="eastAsia"/>
          <w:color w:val="000000" w:themeColor="text1"/>
          <w:kern w:val="2"/>
        </w:rPr>
        <w:t>办理</w:t>
      </w:r>
    </w:p>
    <w:p>
      <w:pPr>
        <w:pStyle w:val="16"/>
        <w:spacing w:beforeLines="0" w:afterLines="0"/>
        <w:jc w:val="both"/>
        <w:rPr>
          <w:color w:val="000000" w:themeColor="text1"/>
        </w:rPr>
      </w:pPr>
      <w:r>
        <w:rPr>
          <w:rFonts w:hint="eastAsia"/>
          <w:color w:val="000000" w:themeColor="text1"/>
          <w:kern w:val="2"/>
        </w:rPr>
        <w:t>（</w:t>
      </w:r>
      <w:r>
        <w:rPr>
          <w:rFonts w:hint="eastAsia" w:ascii="Times New Roman" w:hAnsi="Times New Roman" w:cs="Times New Roman"/>
          <w:color w:val="000000" w:themeColor="text1"/>
          <w:kern w:val="2"/>
        </w:rPr>
        <w:t>1</w:t>
      </w:r>
      <w:r>
        <w:rPr>
          <w:rFonts w:hint="eastAsia"/>
          <w:color w:val="000000" w:themeColor="text1"/>
          <w:kern w:val="2"/>
        </w:rPr>
        <w:t>）按照扣缴义务人报送材料录入数据。根据信息系统的提示信息，提醒纳税人更正纠错。</w:t>
      </w:r>
    </w:p>
    <w:p>
      <w:pPr>
        <w:pStyle w:val="16"/>
        <w:spacing w:beforeLines="0" w:afterLines="0"/>
        <w:jc w:val="both"/>
        <w:rPr>
          <w:color w:val="000000" w:themeColor="text1"/>
        </w:rPr>
      </w:pPr>
      <w:r>
        <w:rPr>
          <w:rFonts w:hint="eastAsia"/>
          <w:color w:val="000000" w:themeColor="text1"/>
          <w:kern w:val="2"/>
        </w:rPr>
        <w:t>（</w:t>
      </w:r>
      <w:r>
        <w:rPr>
          <w:rFonts w:hint="eastAsia" w:ascii="Times New Roman" w:hAnsi="Times New Roman" w:cs="Times New Roman"/>
          <w:color w:val="000000" w:themeColor="text1"/>
          <w:kern w:val="2"/>
        </w:rPr>
        <w:t>2</w:t>
      </w:r>
      <w:r>
        <w:rPr>
          <w:rFonts w:hint="eastAsia"/>
          <w:color w:val="000000" w:themeColor="text1"/>
          <w:kern w:val="2"/>
        </w:rPr>
        <w:t>）按规定开具税收票证。</w:t>
      </w:r>
    </w:p>
    <w:p>
      <w:pPr>
        <w:pStyle w:val="16"/>
        <w:spacing w:beforeLines="0" w:afterLines="0"/>
        <w:jc w:val="both"/>
        <w:rPr>
          <w:color w:val="000000" w:themeColor="text1"/>
        </w:rPr>
      </w:pPr>
      <w:r>
        <w:rPr>
          <w:rFonts w:hint="eastAsia" w:ascii="Times New Roman" w:hAnsi="Times New Roman" w:cs="Times New Roman"/>
          <w:color w:val="000000" w:themeColor="text1"/>
          <w:kern w:val="2"/>
        </w:rPr>
        <w:t>3.</w:t>
      </w:r>
      <w:r>
        <w:rPr>
          <w:rFonts w:hint="eastAsia"/>
          <w:color w:val="000000" w:themeColor="text1"/>
          <w:kern w:val="2"/>
        </w:rPr>
        <w:t>反馈</w:t>
      </w:r>
    </w:p>
    <w:p>
      <w:pPr>
        <w:pStyle w:val="16"/>
        <w:spacing w:beforeLines="0" w:afterLines="0"/>
        <w:jc w:val="both"/>
        <w:rPr>
          <w:color w:val="000000" w:themeColor="text1"/>
        </w:rPr>
      </w:pPr>
      <w:r>
        <w:rPr>
          <w:rFonts w:hint="eastAsia"/>
          <w:color w:val="000000" w:themeColor="text1"/>
          <w:kern w:val="2"/>
        </w:rPr>
        <w:t>办理结束后，在申报表上加盖印章，一份返还扣缴义务人；自然人税收管理系统办理的，将办理结果通过电子税务局反馈给扣缴义务人。</w:t>
      </w:r>
    </w:p>
    <w:p>
      <w:pPr>
        <w:pStyle w:val="16"/>
        <w:spacing w:beforeLines="0" w:afterLines="0"/>
        <w:jc w:val="both"/>
        <w:rPr>
          <w:color w:val="000000" w:themeColor="text1"/>
        </w:rPr>
      </w:pPr>
      <w:r>
        <w:rPr>
          <w:rFonts w:hint="eastAsia" w:ascii="Times New Roman" w:hAnsi="Times New Roman" w:cs="Times New Roman"/>
          <w:color w:val="000000" w:themeColor="text1"/>
          <w:kern w:val="2"/>
        </w:rPr>
        <w:t>4.</w:t>
      </w:r>
      <w:r>
        <w:rPr>
          <w:rFonts w:hint="eastAsia"/>
          <w:color w:val="000000" w:themeColor="text1"/>
          <w:kern w:val="2"/>
        </w:rPr>
        <w:t>归档</w:t>
      </w:r>
    </w:p>
    <w:p>
      <w:pPr>
        <w:pStyle w:val="16"/>
        <w:spacing w:beforeLines="0" w:afterLines="0"/>
        <w:jc w:val="both"/>
        <w:rPr>
          <w:color w:val="000000" w:themeColor="text1"/>
        </w:rPr>
      </w:pPr>
      <w:r>
        <w:rPr>
          <w:rFonts w:hint="eastAsia"/>
          <w:color w:val="000000" w:themeColor="text1"/>
          <w:kern w:val="2"/>
        </w:rPr>
        <w:t>将资料进行归档。</w:t>
      </w:r>
      <w:r>
        <w:rPr>
          <w:bCs/>
          <w:color w:val="000000" w:themeColor="text1"/>
        </w:rPr>
        <w:t>不得将</w:t>
      </w:r>
      <w:r>
        <w:rPr>
          <w:rFonts w:hint="eastAsia"/>
          <w:bCs/>
          <w:color w:val="000000" w:themeColor="text1"/>
        </w:rPr>
        <w:t>扣缴义务</w:t>
      </w:r>
      <w:r>
        <w:rPr>
          <w:bCs/>
          <w:color w:val="000000" w:themeColor="text1"/>
        </w:rPr>
        <w:t>人的办理材料用于与政务服务无关的用途。</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pStyle w:val="16"/>
        <w:spacing w:beforeLines="0" w:afterLines="0"/>
        <w:jc w:val="both"/>
        <w:rPr>
          <w:color w:val="000000" w:themeColor="text1"/>
          <w:kern w:val="2"/>
        </w:rPr>
      </w:pPr>
      <w:r>
        <w:rPr>
          <w:rFonts w:hint="eastAsia"/>
          <w:color w:val="000000" w:themeColor="text1"/>
          <w:kern w:val="2"/>
        </w:rPr>
        <w:t>1.受理环节</w:t>
      </w:r>
    </w:p>
    <w:p>
      <w:pPr>
        <w:pStyle w:val="16"/>
        <w:spacing w:beforeLines="0" w:afterLines="0"/>
        <w:jc w:val="both"/>
        <w:rPr>
          <w:color w:val="000000" w:themeColor="text1"/>
          <w:kern w:val="2"/>
        </w:rPr>
      </w:pPr>
      <w:r>
        <w:rPr>
          <w:rFonts w:hint="eastAsia"/>
          <w:color w:val="000000" w:themeColor="text1"/>
          <w:kern w:val="2"/>
        </w:rPr>
        <w:t>进入金三操作系统，通过申报征收岗权限，按照【自然人税收管理系统（ITS）】—【申报】—【代扣代缴申报】—【分类所得个人所得税代扣代缴申报表（ITS）】的路径进入功能模块。</w:t>
      </w:r>
    </w:p>
    <w:p>
      <w:pPr>
        <w:pStyle w:val="16"/>
        <w:spacing w:beforeLines="0" w:afterLines="0"/>
        <w:jc w:val="both"/>
        <w:rPr>
          <w:color w:val="000000" w:themeColor="text1"/>
          <w:kern w:val="2"/>
        </w:rPr>
      </w:pPr>
      <w:r>
        <w:rPr>
          <w:rFonts w:hint="eastAsia"/>
          <w:color w:val="000000" w:themeColor="text1"/>
          <w:kern w:val="2"/>
        </w:rPr>
        <w:t>2.提示事项</w:t>
      </w:r>
    </w:p>
    <w:p>
      <w:pPr>
        <w:pStyle w:val="16"/>
        <w:spacing w:beforeLines="0" w:afterLines="0"/>
        <w:jc w:val="both"/>
        <w:rPr>
          <w:color w:val="000000" w:themeColor="text1"/>
        </w:rPr>
      </w:pPr>
      <w:r>
        <w:rPr>
          <w:rFonts w:hint="eastAsia"/>
          <w:color w:val="000000" w:themeColor="text1"/>
          <w:kern w:val="2"/>
        </w:rPr>
        <w:t>扣缴义务人已进行过扣缴登记。</w:t>
      </w:r>
    </w:p>
    <w:p>
      <w:pPr>
        <w:wordWrap w:val="0"/>
        <w:spacing w:line="360" w:lineRule="auto"/>
        <w:ind w:firstLine="480"/>
        <w:rPr>
          <w:rFonts w:hint="default" w:ascii="黑体" w:hAnsi="黑体" w:eastAsia="黑体" w:cs="Times New Roman"/>
          <w:bCs/>
        </w:rPr>
      </w:pPr>
      <w:r>
        <w:rPr>
          <w:rFonts w:ascii="黑体" w:hAnsi="黑体" w:eastAsia="黑体" w:cs="Times New Roman"/>
          <w:bCs/>
        </w:rPr>
        <w:t>【政策依据】</w:t>
      </w:r>
    </w:p>
    <w:tbl>
      <w:tblPr>
        <w:tblStyle w:val="18"/>
        <w:tblW w:w="8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561"/>
        <w:gridCol w:w="1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黑体" w:hAnsi="宋体" w:eastAsia="黑体" w:cs="Times New Roman"/>
                <w:sz w:val="21"/>
                <w:szCs w:val="21"/>
              </w:rPr>
              <w:t>序号</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黑体" w:hAnsi="宋体" w:eastAsia="黑体" w:cs="Times New Roman"/>
                <w:sz w:val="21"/>
                <w:szCs w:val="21"/>
              </w:rPr>
              <w:t>文件名称</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黑体" w:hAnsi="宋体" w:eastAsia="黑体" w:cs="Times New Roman"/>
                <w:sz w:val="21"/>
                <w:szCs w:val="21"/>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1</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《中华人民共和国税收征收管理法》</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2</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《中华人民共和国个人所得税法》</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3</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《中华人民共和国个人所得税法实施条例》</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4</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《财政部 国家税务总局关于储蓄存款利息所得有关个人所得税政策的通知》（财税〔2008〕132号）</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5</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《国家税务总局关于发布&lt;办税事项“最多跑一次”清单&gt;的公告》（国家税务总局公告2018年第12号）</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6</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《国家税务总局关于印发&lt;全国税务系统进一步优化税收营商环境行动方案（2018年—2022年）&gt;的通知》（税总发〔2018〕145号）</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7</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《国家税务总局关于印发&lt;办税服务厅管理办法&gt;的通知》（税总发〔2018〕189号）</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8</w:t>
            </w:r>
          </w:p>
        </w:tc>
        <w:tc>
          <w:tcPr>
            <w:tcW w:w="556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《国家税务总局关于印发&lt;全国税务系统深化“放管服”改革五年工作方案（2018年—2022年）&gt;的通知》（税总发〔2018〕199号）</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hint="default" w:ascii="宋体" w:hAnsi="宋体" w:cs="宋体"/>
                <w:kern w:val="0"/>
              </w:rPr>
            </w:pPr>
            <w:r>
              <w:rPr>
                <w:rFonts w:ascii="宋体" w:hAnsi="宋体" w:cs="Times New Roman"/>
                <w:sz w:val="21"/>
                <w:szCs w:val="21"/>
              </w:rPr>
              <w:t>依申请公开</w:t>
            </w:r>
          </w:p>
        </w:tc>
      </w:tr>
    </w:tbl>
    <w:p>
      <w:pPr>
        <w:pStyle w:val="30"/>
        <w:wordWrap w:val="0"/>
        <w:topLinePunct w:val="0"/>
        <w:spacing w:before="312" w:after="312"/>
        <w:rPr>
          <w:color w:val="000000" w:themeColor="text1"/>
        </w:rPr>
      </w:pPr>
      <w:bookmarkStart w:id="235" w:name="_Toc18096178"/>
      <w:r>
        <w:rPr>
          <w:rFonts w:hint="eastAsia"/>
          <w:color w:val="000000" w:themeColor="text1"/>
        </w:rPr>
        <w:t>3.21.8—11</w:t>
      </w:r>
      <w:r>
        <w:rPr>
          <w:color w:val="000000" w:themeColor="text1"/>
        </w:rPr>
        <w:t>2</w:t>
      </w:r>
      <w:r>
        <w:rPr>
          <w:rFonts w:hint="eastAsia"/>
          <w:color w:val="000000" w:themeColor="text1"/>
        </w:rPr>
        <w:t>　</w:t>
      </w:r>
      <w:r>
        <w:rPr>
          <w:color w:val="000000" w:themeColor="text1"/>
        </w:rPr>
        <w:t>　</w:t>
      </w:r>
      <w:r>
        <w:rPr>
          <w:rFonts w:hint="eastAsia"/>
          <w:color w:val="000000" w:themeColor="text1"/>
        </w:rPr>
        <w:t>代扣代缴证券交易印花税申报</w:t>
      </w:r>
      <w:bookmarkEnd w:id="94"/>
      <w:bookmarkEnd w:id="235"/>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代扣代缴证券交易印花税申报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上海、深圳证券登记公司集中托管的股票，在办理法人协议转让和个人继承、赠与等非交易转让时，其证券交易印花税统一由上海、深圳证券登记公司按月填报《代扣代缴证券交易印花税报告表》，向税务机关办理代扣代缴证券交易印花税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《中华人民共和国税收征收管理法》第二十五条第二款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《中华人民共和国印花税暂行条例》第十四条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《代扣代缴证券交易印花税报告表》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59680" cy="1710690"/>
            <wp:effectExtent l="0" t="0" r="0" b="0"/>
            <wp:docPr id="67" name="图片 52" descr="C:\Users\baoqianyu\Desktop\流程图\即办\扣缴义务人.png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2" descr="C:\Users\baoqianyu\Desktop\流程图\即办\扣缴义务人.png扣缴义务人"/>
                    <pic:cNvPicPr>
                      <a:picLocks noChangeAspect="1"/>
                    </pic:cNvPicPr>
                  </pic:nvPicPr>
                  <pic:blipFill>
                    <a:blip r:embed="rId18"/>
                    <a:srcRect/>
                    <a:stretch>
                      <a:fillRect/>
                    </a:stretch>
                  </pic:blipFill>
                  <pic:spPr>
                    <a:xfrm>
                      <a:off x="0" y="0"/>
                      <a:ext cx="5059680" cy="171069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w:t>
      </w:r>
      <w:r>
        <w:rPr>
          <w:rFonts w:ascii="宋体" w:hAnsi="宋体" w:cs="Times New Roman"/>
          <w:color w:val="000000" w:themeColor="text1"/>
        </w:rPr>
        <w:t>扣缴义务人</w:t>
      </w:r>
      <w:r>
        <w:rPr>
          <w:rFonts w:hint="default" w:ascii="宋体" w:hAnsi="宋体" w:cs="Times New Roman"/>
          <w:color w:val="000000" w:themeColor="text1"/>
        </w:rPr>
        <w:t>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扣缴义务人</w:t>
      </w:r>
      <w:r>
        <w:rPr>
          <w:rFonts w:hint="default" w:ascii="宋体" w:hAnsi="宋体" w:cs="Times New Roman"/>
          <w:color w:val="000000" w:themeColor="text1"/>
        </w:rPr>
        <w:t>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扣缴义务人代扣代缴税款后，纳税人需要换开正式完税证明的，可以向税务机关申请开具。</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扣缴义务人扣缴的</w:t>
      </w:r>
      <w:r>
        <w:rPr>
          <w:rFonts w:hint="default" w:ascii="宋体" w:hAnsi="宋体" w:cs="Times New Roman"/>
          <w:color w:val="000000" w:themeColor="text1"/>
        </w:rPr>
        <w:t>A</w:t>
      </w:r>
      <w:r>
        <w:rPr>
          <w:rFonts w:ascii="宋体" w:hAnsi="宋体" w:cs="Times New Roman"/>
          <w:color w:val="000000" w:themeColor="text1"/>
        </w:rPr>
        <w:t>种股票税款，以一个交易周为解缴期，自期满之日起</w:t>
      </w:r>
      <w:r>
        <w:rPr>
          <w:rFonts w:cs="Times New Roman"/>
          <w:color w:val="000000" w:themeColor="text1"/>
        </w:rPr>
        <w:t>5</w:t>
      </w:r>
      <w:r>
        <w:rPr>
          <w:rFonts w:ascii="宋体" w:hAnsi="宋体" w:cs="Times New Roman"/>
          <w:color w:val="000000" w:themeColor="text1"/>
        </w:rPr>
        <w:t>日内将税款解缴入库，于次月</w:t>
      </w:r>
      <w:r>
        <w:rPr>
          <w:rFonts w:cs="Times New Roman"/>
          <w:color w:val="000000" w:themeColor="text1"/>
        </w:rPr>
        <w:t>1</w:t>
      </w:r>
      <w:r>
        <w:rPr>
          <w:rFonts w:ascii="宋体" w:hAnsi="宋体" w:cs="Times New Roman"/>
          <w:color w:val="000000" w:themeColor="text1"/>
        </w:rPr>
        <w:t>日起</w:t>
      </w:r>
      <w:r>
        <w:rPr>
          <w:rFonts w:cs="Times New Roman"/>
          <w:color w:val="000000" w:themeColor="text1"/>
        </w:rPr>
        <w:t>10</w:t>
      </w:r>
      <w:r>
        <w:rPr>
          <w:rFonts w:ascii="宋体" w:hAnsi="宋体" w:cs="Times New Roman"/>
          <w:color w:val="000000" w:themeColor="text1"/>
        </w:rPr>
        <w:t>日内结清上月代扣的税款；扣缴的</w:t>
      </w:r>
      <w:r>
        <w:rPr>
          <w:rFonts w:hint="default" w:ascii="宋体" w:hAnsi="宋体" w:cs="Times New Roman"/>
          <w:color w:val="000000" w:themeColor="text1"/>
        </w:rPr>
        <w:t>B</w:t>
      </w:r>
      <w:r>
        <w:rPr>
          <w:rFonts w:ascii="宋体" w:hAnsi="宋体" w:cs="Times New Roman"/>
          <w:color w:val="000000" w:themeColor="text1"/>
        </w:rPr>
        <w:t>种股票税款，以两个交易周为解缴期，自期满之日起</w:t>
      </w:r>
      <w:r>
        <w:rPr>
          <w:rFonts w:cs="Times New Roman"/>
          <w:color w:val="000000" w:themeColor="text1"/>
        </w:rPr>
        <w:t>10</w:t>
      </w:r>
      <w:r>
        <w:rPr>
          <w:rFonts w:ascii="宋体" w:hAnsi="宋体" w:cs="Times New Roman"/>
          <w:color w:val="000000" w:themeColor="text1"/>
        </w:rPr>
        <w:t>日内将税款解缴入库，于次月</w:t>
      </w:r>
      <w:r>
        <w:rPr>
          <w:rFonts w:cs="Times New Roman"/>
          <w:color w:val="000000" w:themeColor="text1"/>
        </w:rPr>
        <w:t>1</w:t>
      </w:r>
      <w:r>
        <w:rPr>
          <w:rFonts w:ascii="宋体" w:hAnsi="宋体" w:cs="Times New Roman"/>
          <w:color w:val="000000" w:themeColor="text1"/>
        </w:rPr>
        <w:t>日起</w:t>
      </w:r>
      <w:r>
        <w:rPr>
          <w:rFonts w:cs="Times New Roman"/>
          <w:color w:val="000000" w:themeColor="text1"/>
        </w:rPr>
        <w:t>10</w:t>
      </w:r>
      <w:r>
        <w:rPr>
          <w:rFonts w:ascii="宋体" w:hAnsi="宋体" w:cs="Times New Roman"/>
          <w:color w:val="000000" w:themeColor="text1"/>
        </w:rPr>
        <w:t>日内结清上月代扣的税款；扣缴的非交易转让税款，以一个月为解缴期，于次月</w:t>
      </w:r>
      <w:r>
        <w:rPr>
          <w:rFonts w:cs="Times New Roman"/>
          <w:color w:val="000000" w:themeColor="text1"/>
        </w:rPr>
        <w:t>1</w:t>
      </w:r>
      <w:r>
        <w:rPr>
          <w:rFonts w:ascii="宋体" w:hAnsi="宋体" w:cs="Times New Roman"/>
          <w:color w:val="000000" w:themeColor="text1"/>
        </w:rPr>
        <w:t>日起</w:t>
      </w:r>
      <w:r>
        <w:rPr>
          <w:rFonts w:cs="Times New Roman"/>
          <w:color w:val="000000" w:themeColor="text1"/>
        </w:rPr>
        <w:t>10</w:t>
      </w:r>
      <w:r>
        <w:rPr>
          <w:rFonts w:ascii="宋体" w:hAnsi="宋体" w:cs="Times New Roman"/>
          <w:color w:val="000000" w:themeColor="text1"/>
        </w:rPr>
        <w:t>日内将税款解缴入库。纳税期限遇最后一日是法定休假日的，以休假日期满的次日为期限的最后一日；在期限内有连续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）按照扣缴义务人报送资料录入数据。根据信息系统的提示信息，提醒扣缴义务人更正纠错。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w:t>
      </w:r>
      <w:r>
        <w:rPr>
          <w:rFonts w:ascii="宋体" w:hAnsi="宋体" w:cs="Times New Roman"/>
          <w:color w:val="000000" w:themeColor="text1"/>
        </w:rPr>
        <w:t>申报表</w:t>
      </w:r>
      <w:r>
        <w:rPr>
          <w:rFonts w:hint="default" w:ascii="宋体" w:hAnsi="宋体" w:cs="Times New Roman"/>
          <w:color w:val="000000" w:themeColor="text1"/>
        </w:rPr>
        <w:t>上加盖</w:t>
      </w:r>
      <w:r>
        <w:rPr>
          <w:rFonts w:ascii="宋体" w:hAnsi="宋体" w:cs="Times New Roman"/>
          <w:color w:val="000000" w:themeColor="text1"/>
        </w:rPr>
        <w:t>印</w:t>
      </w:r>
      <w:r>
        <w:rPr>
          <w:rFonts w:hint="default" w:ascii="宋体" w:hAnsi="宋体" w:cs="Times New Roman"/>
          <w:color w:val="000000" w:themeColor="text1"/>
        </w:rPr>
        <w:t>章，一份返还</w:t>
      </w:r>
      <w:r>
        <w:rPr>
          <w:rFonts w:ascii="宋体" w:hAnsi="宋体" w:cs="Times New Roman"/>
          <w:color w:val="000000" w:themeColor="text1"/>
        </w:rPr>
        <w:t>扣缴义务</w:t>
      </w:r>
      <w:r>
        <w:rPr>
          <w:rFonts w:hint="default" w:ascii="宋体" w:hAnsi="宋体" w:cs="Times New Roman"/>
          <w:color w:val="000000" w:themeColor="text1"/>
        </w:rPr>
        <w:t>人；电子税务局办理的，将办理结果通过电子税务局反馈给</w:t>
      </w:r>
      <w:r>
        <w:rPr>
          <w:rFonts w:ascii="宋体" w:hAnsi="宋体" w:cs="Times New Roman"/>
          <w:color w:val="000000" w:themeColor="text1"/>
        </w:rPr>
        <w:t>扣缴义务</w:t>
      </w:r>
      <w:r>
        <w:rPr>
          <w:rFonts w:hint="default" w:ascii="宋体" w:hAnsi="宋体" w:cs="Times New Roman"/>
          <w:color w:val="000000" w:themeColor="text1"/>
        </w:rPr>
        <w:t>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w:t>
      </w:r>
      <w:r>
        <w:rPr>
          <w:rFonts w:ascii="宋体" w:hAnsi="宋体"/>
          <w:bCs/>
          <w:color w:val="000000" w:themeColor="text1"/>
        </w:rPr>
        <w:t>不得将扣缴义务人的办理材料用于与政务服务无关的用途。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利用数字证书申报成功的</w:t>
      </w:r>
      <w:r>
        <w:rPr>
          <w:rFonts w:ascii="宋体" w:hAnsi="宋体" w:cs="Times New Roman"/>
          <w:color w:val="000000" w:themeColor="text1"/>
        </w:rPr>
        <w:t>扣缴义务</w:t>
      </w:r>
      <w:r>
        <w:rPr>
          <w:rFonts w:hint="default" w:ascii="宋体" w:hAnsi="宋体" w:cs="Times New Roman"/>
          <w:color w:val="000000" w:themeColor="text1"/>
        </w:rPr>
        <w:t>人，取消纸质资料报送。</w:t>
      </w:r>
    </w:p>
    <w:p>
      <w:pPr>
        <w:pStyle w:val="31"/>
        <w:wordWrap w:val="0"/>
        <w:adjustRightInd/>
        <w:snapToGrid/>
      </w:pPr>
      <w:r>
        <w:rPr>
          <w:rFonts w:hint="eastAsia"/>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进入金三操作系统，通过申报征收岗权限，按照【申报征收】—【申报】—【其他代扣代缴、代收代缴申报】—【通用代扣代缴、代收代缴申报】的路径进入功能模块。</w:t>
      </w:r>
    </w:p>
    <w:p>
      <w:pPr>
        <w:pStyle w:val="31"/>
        <w:wordWrap w:val="0"/>
        <w:adjustRightInd/>
        <w:snapToGrid/>
      </w:pPr>
      <w:r>
        <w:rPr>
          <w:rFonts w:hint="eastAsia"/>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796"/>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796" w:type="dxa"/>
            <w:vAlign w:val="center"/>
          </w:tcPr>
          <w:p>
            <w:pPr>
              <w:pStyle w:val="33"/>
              <w:adjustRightInd/>
              <w:snapToGrid/>
              <w:spacing w:line="276" w:lineRule="auto"/>
            </w:pPr>
            <w:r>
              <w:rPr>
                <w:rFonts w:hint="eastAsia"/>
              </w:rPr>
              <w:t>文件名称</w:t>
            </w:r>
          </w:p>
        </w:tc>
        <w:tc>
          <w:tcPr>
            <w:tcW w:w="1541"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796" w:type="dxa"/>
            <w:vAlign w:val="center"/>
          </w:tcPr>
          <w:p>
            <w:pPr>
              <w:pStyle w:val="50"/>
              <w:adjustRightInd/>
              <w:snapToGrid/>
              <w:spacing w:line="276" w:lineRule="auto"/>
            </w:pPr>
            <w:r>
              <w:rPr>
                <w:rFonts w:hint="eastAsia"/>
              </w:rPr>
              <w:t>《中华人民共和国税收征收管理法》</w:t>
            </w:r>
          </w:p>
        </w:tc>
        <w:tc>
          <w:tcPr>
            <w:tcW w:w="1541"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796" w:type="dxa"/>
            <w:vAlign w:val="center"/>
          </w:tcPr>
          <w:p>
            <w:pPr>
              <w:pStyle w:val="50"/>
              <w:adjustRightInd/>
              <w:snapToGrid/>
              <w:spacing w:line="276" w:lineRule="auto"/>
            </w:pPr>
            <w:r>
              <w:rPr>
                <w:rFonts w:hint="eastAsia"/>
              </w:rPr>
              <w:t>《中华人民共和国印花税暂行条例》</w:t>
            </w:r>
          </w:p>
        </w:tc>
        <w:tc>
          <w:tcPr>
            <w:tcW w:w="1541"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796" w:type="dxa"/>
            <w:vAlign w:val="center"/>
          </w:tcPr>
          <w:p>
            <w:pPr>
              <w:pStyle w:val="50"/>
              <w:adjustRightInd/>
              <w:snapToGrid/>
              <w:spacing w:line="276" w:lineRule="auto"/>
            </w:pPr>
            <w:r>
              <w:rPr>
                <w:rFonts w:hint="eastAsia"/>
              </w:rPr>
              <w:t>《财政部 国家税务总局 证监会关于深港股票市场交易互联互通机制试点有关税收政策的通知》（财税〔</w:t>
            </w:r>
            <w:r>
              <w:t>2016</w:t>
            </w:r>
            <w:r>
              <w:rPr>
                <w:rFonts w:hint="eastAsia"/>
              </w:rPr>
              <w:t>〕</w:t>
            </w:r>
            <w:r>
              <w:t>127</w:t>
            </w:r>
            <w:r>
              <w:rPr>
                <w:rFonts w:hint="eastAsia"/>
              </w:rPr>
              <w:t>号）</w:t>
            </w:r>
          </w:p>
        </w:tc>
        <w:tc>
          <w:tcPr>
            <w:tcW w:w="1541"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4</w:t>
            </w:r>
          </w:p>
        </w:tc>
        <w:tc>
          <w:tcPr>
            <w:tcW w:w="5796"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541"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5</w:t>
            </w:r>
          </w:p>
        </w:tc>
        <w:tc>
          <w:tcPr>
            <w:tcW w:w="5796" w:type="dxa"/>
            <w:vAlign w:val="center"/>
          </w:tcPr>
          <w:p>
            <w:pPr>
              <w:pStyle w:val="50"/>
              <w:adjustRightInd/>
              <w:snapToGrid/>
              <w:spacing w:line="276" w:lineRule="auto"/>
            </w:pPr>
            <w:r>
              <w:rPr>
                <w:rFonts w:hint="eastAsia"/>
              </w:rPr>
              <w:t>《国家税务总局关于加强证券交易印花税征收管理工作的通知》（国税发〔</w:t>
            </w:r>
            <w:r>
              <w:t>1997</w:t>
            </w:r>
            <w:r>
              <w:rPr>
                <w:rFonts w:hint="eastAsia"/>
              </w:rPr>
              <w:t>〕</w:t>
            </w:r>
            <w:r>
              <w:t>129</w:t>
            </w:r>
            <w:r>
              <w:rPr>
                <w:rFonts w:hint="eastAsia"/>
              </w:rPr>
              <w:t>号）</w:t>
            </w:r>
          </w:p>
        </w:tc>
        <w:tc>
          <w:tcPr>
            <w:tcW w:w="1541"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6</w:t>
            </w:r>
          </w:p>
        </w:tc>
        <w:tc>
          <w:tcPr>
            <w:tcW w:w="5796"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41"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7</w:t>
            </w:r>
          </w:p>
        </w:tc>
        <w:tc>
          <w:tcPr>
            <w:tcW w:w="5796"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41"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8</w:t>
            </w:r>
          </w:p>
        </w:tc>
        <w:tc>
          <w:tcPr>
            <w:tcW w:w="5796"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41" w:type="dxa"/>
            <w:vAlign w:val="center"/>
          </w:tcPr>
          <w:p>
            <w:pPr>
              <w:pStyle w:val="50"/>
              <w:adjustRightInd/>
              <w:snapToGrid/>
              <w:spacing w:line="276" w:lineRule="auto"/>
            </w:pPr>
            <w:r>
              <w:rPr>
                <w:rFonts w:hint="eastAsia"/>
              </w:rPr>
              <w:t>依申请公开</w:t>
            </w:r>
          </w:p>
        </w:tc>
      </w:tr>
    </w:tbl>
    <w:p>
      <w:pPr>
        <w:pStyle w:val="37"/>
        <w:wordWrap w:val="0"/>
        <w:topLinePunct w:val="0"/>
        <w:spacing w:before="312" w:after="312"/>
        <w:rPr>
          <w:color w:val="000000" w:themeColor="text1"/>
        </w:rPr>
      </w:pPr>
      <w:bookmarkStart w:id="236" w:name="_Toc1614"/>
      <w:bookmarkStart w:id="237" w:name="_Toc18096179"/>
      <w:r>
        <w:rPr>
          <w:rFonts w:hint="eastAsia"/>
          <w:color w:val="000000" w:themeColor="text1"/>
        </w:rPr>
        <w:t>3.21.9—11</w:t>
      </w:r>
      <w:r>
        <w:rPr>
          <w:color w:val="000000" w:themeColor="text1"/>
        </w:rPr>
        <w:t>3</w:t>
      </w:r>
      <w:r>
        <w:rPr>
          <w:rFonts w:hint="eastAsia"/>
          <w:color w:val="000000" w:themeColor="text1"/>
        </w:rPr>
        <w:t>　</w:t>
      </w:r>
      <w:r>
        <w:rPr>
          <w:color w:val="000000" w:themeColor="text1"/>
        </w:rPr>
        <w:t>　</w:t>
      </w:r>
      <w:r>
        <w:rPr>
          <w:rFonts w:hint="eastAsia"/>
          <w:color w:val="000000" w:themeColor="text1"/>
        </w:rPr>
        <w:t>其他代扣代缴、代收代缴申报</w:t>
      </w:r>
      <w:bookmarkEnd w:id="236"/>
      <w:bookmarkEnd w:id="237"/>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其他代扣代缴、代收代缴申报</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扣缴义务人除扣缴企业所得税申报、扣缴个人所得税申报、代收代缴车船税申报、代扣代缴文化事业建设费申报、代扣代缴证券交易印花税申报外，就其他代扣代缴、代收代缴义务按照税收法律法规及相关规定，填报《代扣代缴、代收代缴税款报告表》，向税务机关申报入库相关应纳税款。</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《中华人民共和国税收征收管理法》第二十五条第二款</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color w:val="000000" w:themeColor="text1"/>
              </w:rPr>
              <w:t>《代扣代缴、代收代缴税款报告表》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r>
              <w:rPr>
                <w:rFonts w:hint="eastAsia" w:ascii="Times New Roman" w:hAnsi="Times New Roman"/>
                <w:color w:val="000000" w:themeColor="text1"/>
              </w:rPr>
              <w:t>2</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可通过办税服务厅（场所）办理，具体地点可从国家税务总局湖南省税务局网站“纳税服务”栏目查询。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59680" cy="1710690"/>
            <wp:effectExtent l="0" t="0" r="0" b="0"/>
            <wp:docPr id="68" name="图片 52" descr="C:\Users\baoqianyu\Desktop\流程图\即办\扣缴义务人.png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2" descr="C:\Users\baoqianyu\Desktop\流程图\即办\扣缴义务人.png扣缴义务人"/>
                    <pic:cNvPicPr>
                      <a:picLocks noChangeAspect="1"/>
                    </pic:cNvPicPr>
                  </pic:nvPicPr>
                  <pic:blipFill>
                    <a:blip r:embed="rId18"/>
                    <a:srcRect/>
                    <a:stretch>
                      <a:fillRect/>
                    </a:stretch>
                  </pic:blipFill>
                  <pic:spPr>
                    <a:xfrm>
                      <a:off x="0" y="0"/>
                      <a:ext cx="5059680" cy="171069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扣缴义务人对报送材料的真实性和合法性承担责任。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税务机关提供“最多跑一次”服务。扣缴义务人在资料完整且符合法定受理条件的前提下，最多只需要到税务机关跑一次。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扣缴义务人使用符合电子签名法规定条件的电子签名，与手写签名或者盖章具有同等法律效力。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扣缴义务人未按照规定的期限办理纳税申报和报送纳税资料的，将影响纳税信用评价结果，并依照《中华人民共和国税收征收管理法》有关规定承担相应法律责任。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纳税期限遇最后一日是法定休假日的，以休假日期满的次日为期限的最后一日；在期限内有连续</w:t>
      </w:r>
      <w:r>
        <w:rPr>
          <w:rFonts w:cs="Times New Roman"/>
          <w:color w:val="000000" w:themeColor="text1"/>
        </w:rPr>
        <w:t>3</w:t>
      </w:r>
      <w:r>
        <w:rPr>
          <w:rFonts w:ascii="宋体" w:hAnsi="宋体" w:cs="Times New Roman"/>
          <w:color w:val="000000" w:themeColor="text1"/>
        </w:rPr>
        <w:t>日以上法定休假日的，按休假日天数顺延。</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扣缴义务人代扣代缴、代收代缴税款后，纳税人需要换开正式完税证明的，可以向税务机关申请开具。</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办税服务厅接收资料，核对资料是否齐全、是否符合法定形式、填写内容是否完整，符合的即时办结；对资料不齐全、不符合法定形式或填写内容不完整的，当场一次性告知应补正资料或不予受理原因。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）按照扣缴义务人报送资料录入数据。根据信息系统的提示信息，提醒纳税人更正纠错。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）按规定开具税收票证。</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办理结束后，在申报表上加盖税收业务专用章，一份返还</w:t>
      </w:r>
      <w:r>
        <w:rPr>
          <w:rFonts w:ascii="宋体" w:hAnsi="宋体" w:cs="Times New Roman"/>
          <w:color w:val="000000" w:themeColor="text1"/>
        </w:rPr>
        <w:t>扣缴义务</w:t>
      </w:r>
      <w:r>
        <w:rPr>
          <w:rFonts w:hint="default" w:ascii="宋体" w:hAnsi="宋体" w:cs="Times New Roman"/>
          <w:color w:val="000000" w:themeColor="text1"/>
        </w:rPr>
        <w:t>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w:t>
      </w:r>
      <w:r>
        <w:rPr>
          <w:rFonts w:ascii="宋体" w:hAnsi="宋体"/>
          <w:bCs/>
          <w:color w:val="000000" w:themeColor="text1"/>
        </w:rPr>
        <w:t>不得将扣缴义务人的办理材料用于与政务服务无关的用途。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税务机关提供在</w:t>
      </w:r>
      <w:r>
        <w:rPr>
          <w:rFonts w:ascii="宋体" w:hAnsi="宋体" w:cs="Times New Roman"/>
          <w:color w:val="000000" w:themeColor="text1"/>
        </w:rPr>
        <w:t>电子税务局</w:t>
      </w:r>
      <w:r>
        <w:rPr>
          <w:rFonts w:hint="default" w:ascii="宋体" w:hAnsi="宋体" w:cs="Times New Roman"/>
          <w:color w:val="000000" w:themeColor="text1"/>
        </w:rPr>
        <w:t>办理</w:t>
      </w:r>
      <w:r>
        <w:rPr>
          <w:rFonts w:ascii="宋体" w:hAnsi="宋体" w:cs="Times New Roman"/>
          <w:color w:val="000000" w:themeColor="text1"/>
        </w:rPr>
        <w:t>其他代扣代缴、代收代缴申报</w:t>
      </w:r>
      <w:r>
        <w:rPr>
          <w:rFonts w:hint="default" w:ascii="宋体" w:hAnsi="宋体" w:cs="Times New Roman"/>
          <w:color w:val="000000" w:themeColor="text1"/>
        </w:rPr>
        <w:t>服务。其中利用数字证书申报成功的</w:t>
      </w:r>
      <w:r>
        <w:rPr>
          <w:rFonts w:ascii="宋体" w:hAnsi="宋体" w:cs="Times New Roman"/>
          <w:color w:val="000000" w:themeColor="text1"/>
        </w:rPr>
        <w:t>扣缴义务</w:t>
      </w:r>
      <w:r>
        <w:rPr>
          <w:rFonts w:hint="default" w:ascii="宋体" w:hAnsi="宋体" w:cs="Times New Roman"/>
          <w:color w:val="000000" w:themeColor="text1"/>
        </w:rPr>
        <w:t>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简化代扣代缴申报。将《代扣代缴、代收代缴税款报告表》等由发生时按次申报改为按月汇总申报。</w:t>
      </w:r>
    </w:p>
    <w:p>
      <w:pPr>
        <w:pStyle w:val="31"/>
        <w:wordWrap w:val="0"/>
        <w:adjustRightInd/>
        <w:snapToGrid/>
        <w:rPr>
          <w:rFonts w:ascii="宋体" w:hAnsi="宋体"/>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进入金三操作系统，通过申报征收岗权限，按照【申报征收】—【申报】—【其他代扣代缴、代收代缴申报】—【通用代扣代缴、代收代缴申报】的路径进入功能模块。</w:t>
      </w:r>
    </w:p>
    <w:p>
      <w:pPr>
        <w:pStyle w:val="31"/>
        <w:wordWrap w:val="0"/>
        <w:adjustRightInd/>
        <w:snapToGrid/>
        <w:rPr>
          <w:color w:val="000000" w:themeColor="text1"/>
        </w:rPr>
      </w:pPr>
      <w:r>
        <w:rPr>
          <w:rFonts w:hint="eastAsia"/>
          <w:color w:val="000000" w:themeColor="text1"/>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4"/>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4" w:type="dxa"/>
            <w:vAlign w:val="center"/>
          </w:tcPr>
          <w:p>
            <w:pPr>
              <w:pStyle w:val="33"/>
              <w:adjustRightInd/>
              <w:snapToGrid/>
              <w:spacing w:line="276" w:lineRule="auto"/>
            </w:pPr>
            <w:r>
              <w:rPr>
                <w:rFonts w:hint="eastAsia"/>
              </w:rPr>
              <w:t>文件名称</w:t>
            </w:r>
          </w:p>
        </w:tc>
        <w:tc>
          <w:tcPr>
            <w:tcW w:w="1683"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4" w:type="dxa"/>
            <w:vAlign w:val="center"/>
          </w:tcPr>
          <w:p>
            <w:pPr>
              <w:pStyle w:val="50"/>
              <w:adjustRightInd/>
              <w:snapToGrid/>
              <w:spacing w:line="276" w:lineRule="auto"/>
            </w:pPr>
            <w:r>
              <w:rPr>
                <w:rFonts w:hint="eastAsia"/>
              </w:rPr>
              <w:t>《中华人民共和国税收征收管理法》</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4" w:type="dxa"/>
            <w:vAlign w:val="center"/>
          </w:tcPr>
          <w:p>
            <w:pPr>
              <w:pStyle w:val="50"/>
              <w:adjustRightInd/>
              <w:snapToGrid/>
              <w:spacing w:line="276" w:lineRule="auto"/>
            </w:pPr>
            <w:r>
              <w:rPr>
                <w:rFonts w:hint="eastAsia"/>
              </w:rPr>
              <w:t>《中华人民共和国税收征收管理法实施细则》</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654" w:type="dxa"/>
            <w:vAlign w:val="center"/>
          </w:tcPr>
          <w:p>
            <w:pPr>
              <w:pStyle w:val="50"/>
              <w:adjustRightInd/>
              <w:snapToGrid/>
              <w:spacing w:line="276" w:lineRule="auto"/>
            </w:pPr>
            <w:r>
              <w:rPr>
                <w:rFonts w:hint="eastAsia"/>
              </w:rPr>
              <w:t>《财政部 国家税务总局中国人民银行关于进一步加强代扣代收代征税款手续费管理的通知》（财行〔</w:t>
            </w:r>
            <w:r>
              <w:t>2005</w:t>
            </w:r>
            <w:r>
              <w:rPr>
                <w:rFonts w:hint="eastAsia"/>
              </w:rPr>
              <w:t>〕</w:t>
            </w:r>
            <w:r>
              <w:t>365</w:t>
            </w:r>
            <w:r>
              <w:rPr>
                <w:rFonts w:hint="eastAsia"/>
              </w:rPr>
              <w:t>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4</w:t>
            </w:r>
          </w:p>
        </w:tc>
        <w:tc>
          <w:tcPr>
            <w:tcW w:w="5654" w:type="dxa"/>
            <w:vAlign w:val="center"/>
          </w:tcPr>
          <w:p>
            <w:pPr>
              <w:pStyle w:val="50"/>
              <w:adjustRightInd/>
              <w:snapToGrid/>
              <w:spacing w:line="276" w:lineRule="auto"/>
            </w:pPr>
            <w:r>
              <w:rPr>
                <w:rFonts w:hint="eastAsia"/>
              </w:rPr>
              <w:t>《财政部、国家税务总局关于全面推开营业税改征增值税试点的通知》（财税〔</w:t>
            </w:r>
            <w:r>
              <w:t>2016</w:t>
            </w:r>
            <w:r>
              <w:rPr>
                <w:rFonts w:hint="eastAsia"/>
              </w:rPr>
              <w:t>〕</w:t>
            </w:r>
            <w:r>
              <w:t>36</w:t>
            </w:r>
            <w:r>
              <w:rPr>
                <w:rFonts w:hint="eastAsia"/>
              </w:rPr>
              <w:t>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5</w:t>
            </w:r>
          </w:p>
        </w:tc>
        <w:tc>
          <w:tcPr>
            <w:tcW w:w="5654" w:type="dxa"/>
            <w:vAlign w:val="center"/>
          </w:tcPr>
          <w:p>
            <w:pPr>
              <w:pStyle w:val="50"/>
              <w:adjustRightInd/>
              <w:snapToGrid/>
              <w:spacing w:line="276" w:lineRule="auto"/>
            </w:pPr>
            <w:r>
              <w:rPr>
                <w:rFonts w:hint="eastAsia"/>
              </w:rPr>
              <w:t>《国家税务总局关于代征代扣税款会计核算问题的通知》（国税发〔</w:t>
            </w:r>
            <w:r>
              <w:t>2002</w:t>
            </w:r>
            <w:r>
              <w:rPr>
                <w:rFonts w:hint="eastAsia"/>
              </w:rPr>
              <w:t>〕</w:t>
            </w:r>
            <w:r>
              <w:t>49</w:t>
            </w:r>
            <w:r>
              <w:rPr>
                <w:rFonts w:hint="eastAsia"/>
              </w:rPr>
              <w:t>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6</w:t>
            </w:r>
          </w:p>
        </w:tc>
        <w:tc>
          <w:tcPr>
            <w:tcW w:w="5654"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683"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7</w:t>
            </w:r>
          </w:p>
        </w:tc>
        <w:tc>
          <w:tcPr>
            <w:tcW w:w="5654"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3"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8</w:t>
            </w:r>
          </w:p>
        </w:tc>
        <w:tc>
          <w:tcPr>
            <w:tcW w:w="5654"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3"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9</w:t>
            </w:r>
          </w:p>
        </w:tc>
        <w:tc>
          <w:tcPr>
            <w:tcW w:w="5654"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3"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238" w:name="_Toc2993"/>
      <w:bookmarkStart w:id="239" w:name="_Toc18096180"/>
      <w:bookmarkStart w:id="240" w:name="_Toc4075"/>
      <w:bookmarkStart w:id="241" w:name="_Hlk508115621"/>
      <w:r>
        <w:rPr>
          <w:rFonts w:hint="eastAsia"/>
          <w:color w:val="000000" w:themeColor="text1"/>
        </w:rPr>
        <w:t>3.22　　财务会计报告报送</w:t>
      </w:r>
      <w:bookmarkEnd w:id="238"/>
      <w:bookmarkEnd w:id="239"/>
    </w:p>
    <w:p>
      <w:pPr>
        <w:pStyle w:val="30"/>
        <w:wordWrap w:val="0"/>
        <w:topLinePunct w:val="0"/>
        <w:spacing w:before="312" w:after="312"/>
        <w:rPr>
          <w:color w:val="000000" w:themeColor="text1"/>
        </w:rPr>
      </w:pPr>
      <w:bookmarkStart w:id="242" w:name="_Toc18096181"/>
      <w:bookmarkStart w:id="243" w:name="_Toc22053"/>
      <w:r>
        <w:rPr>
          <w:rFonts w:hint="eastAsia"/>
          <w:color w:val="000000" w:themeColor="text1"/>
        </w:rPr>
        <w:t>3.22.1—11</w:t>
      </w:r>
      <w:r>
        <w:rPr>
          <w:color w:val="000000" w:themeColor="text1"/>
        </w:rPr>
        <w:t>4</w:t>
      </w:r>
      <w:r>
        <w:rPr>
          <w:rFonts w:hint="eastAsia"/>
          <w:color w:val="000000" w:themeColor="text1"/>
        </w:rPr>
        <w:t>　</w:t>
      </w:r>
      <w:r>
        <w:rPr>
          <w:color w:val="000000" w:themeColor="text1"/>
        </w:rPr>
        <w:t>　</w:t>
      </w:r>
      <w:r>
        <w:rPr>
          <w:rFonts w:hint="eastAsia"/>
          <w:color w:val="000000" w:themeColor="text1"/>
        </w:rPr>
        <w:t>财务会计报告报送</w:t>
      </w:r>
      <w:bookmarkEnd w:id="242"/>
      <w:bookmarkEnd w:id="243"/>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财务会计报告报送</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实行不同会计准则或制度的纳税人，依照执行的企业会计准</w:t>
      </w:r>
      <w:r>
        <w:rPr>
          <w:rFonts w:hint="default" w:ascii="宋体" w:hAnsi="宋体" w:cs="Times New Roman"/>
          <w:color w:val="000000" w:themeColor="text1"/>
        </w:rPr>
        <w:t>则或制度，事先向税务机关备案，并分中期财务报表和年度财务报表，定期向税务机关报送财务报告</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bookmarkStart w:id="244" w:name="_Hlk12540344"/>
      <w:r>
        <w:rPr>
          <w:rFonts w:hint="eastAsia"/>
          <w:color w:val="000000" w:themeColor="text1"/>
        </w:rPr>
        <w:t>【办理材料】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1.执行企业会计准则的非金融企业中，</w:t>
      </w:r>
      <w:r>
        <w:rPr>
          <w:rFonts w:ascii="宋体" w:hAnsi="宋体" w:cs="Times New Roman"/>
          <w:color w:val="000000" w:themeColor="text1"/>
        </w:rPr>
        <w:t>未执行新金融准则和新收入准则和新租赁准则的纳税人：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《资产负债表（适用未执行新金融准则、新收入准则和新租赁准则的一般企业）》</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color w:val="000000" w:themeColor="text1"/>
              </w:rPr>
              <w:t>《利润表</w:t>
            </w:r>
            <w:r>
              <w:rPr>
                <w:rFonts w:hint="eastAsia"/>
                <w:color w:val="000000" w:themeColor="text1"/>
              </w:rPr>
              <w:t>（适用未执行新金融准则、新收入准则和新租赁准则的一般企业）》</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rFonts w:hint="eastAsia" w:ascii="宋体" w:hAnsi="宋体" w:cs="宋体"/>
                <w:kern w:val="0"/>
              </w:rPr>
              <w:t>（适用执行企业会计准则的一般企业）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《所有者权益变动表</w:t>
            </w:r>
            <w:r>
              <w:rPr>
                <w:rFonts w:hint="eastAsia" w:ascii="宋体" w:hAnsi="宋体" w:cs="宋体"/>
                <w:kern w:val="0"/>
              </w:rPr>
              <w:t>（适用执行企业会计准则的一般企业）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《企业会计准则附注》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全国千户集团总部及其成员企业</w:t>
            </w: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2.执行企业会计准则的非金融企业中，</w:t>
      </w:r>
      <w:r>
        <w:rPr>
          <w:rFonts w:ascii="宋体" w:hAnsi="宋体"/>
        </w:rPr>
        <w:t>已执行新金融准则、新收入准则和新租赁准则的</w:t>
      </w:r>
      <w:r>
        <w:rPr>
          <w:rFonts w:ascii="宋体" w:hAnsi="宋体" w:cs="Times New Roman"/>
          <w:color w:val="000000" w:themeColor="text1"/>
        </w:rPr>
        <w:t>纳税人：</w:t>
      </w:r>
    </w:p>
    <w:bookmarkEnd w:id="244"/>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w:t>
            </w:r>
            <w:r>
              <w:rPr>
                <w:rFonts w:hint="eastAsia" w:ascii="宋体" w:hAnsi="宋体" w:cs="宋体"/>
                <w:kern w:val="0"/>
              </w:rPr>
              <w:t>适用已执行新金融准则、新收入准则和新租赁准则的一般企业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cs="Microsoft Himalaya"/>
                <w:color w:val="000000" w:themeColor="text1"/>
              </w:rPr>
            </w:pPr>
            <w:r>
              <w:rPr>
                <w:color w:val="000000" w:themeColor="text1"/>
              </w:rPr>
              <w:t>《利润表（</w:t>
            </w:r>
            <w:r>
              <w:rPr>
                <w:rFonts w:hint="eastAsia" w:ascii="宋体" w:hAnsi="宋体" w:cs="宋体"/>
                <w:kern w:val="0"/>
              </w:rPr>
              <w:t>适用已执行新金融准则、新收入准则和新租赁准则的一般企业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rFonts w:hint="eastAsia" w:ascii="宋体" w:hAnsi="宋体" w:cs="宋体"/>
                <w:kern w:val="0"/>
              </w:rPr>
              <w:t>适用执行企业会计准则的一般企业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《所有者权益变动表（</w:t>
            </w:r>
            <w:r>
              <w:rPr>
                <w:rFonts w:hint="eastAsia" w:ascii="宋体" w:hAnsi="宋体" w:cs="宋体"/>
                <w:kern w:val="0"/>
              </w:rPr>
              <w:t>适用执行企业会计准则的一般企业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《企业会计准则附注》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全国千户集团总部及其成员企业</w:t>
            </w: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rPr>
        <w:t>已执行新金融工具准则的金融</w:t>
      </w:r>
      <w:r>
        <w:rPr>
          <w:rFonts w:ascii="宋体" w:hAnsi="宋体" w:cs="Times New Roman"/>
          <w:color w:val="000000" w:themeColor="text1"/>
        </w:rPr>
        <w:t>企业纳税人：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w:t>
            </w:r>
            <w:r>
              <w:rPr>
                <w:rFonts w:hint="eastAsia" w:ascii="宋体" w:hAnsi="宋体"/>
                <w:kern w:val="20"/>
              </w:rPr>
              <w:t>适用</w:t>
            </w:r>
            <w:r>
              <w:rPr>
                <w:rFonts w:ascii="宋体" w:hAnsi="宋体"/>
                <w:kern w:val="20"/>
              </w:rPr>
              <w:t>已执行新金融工具准则的金融企业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《利润表（</w:t>
            </w:r>
            <w:r>
              <w:rPr>
                <w:rFonts w:hint="eastAsia" w:ascii="宋体" w:hAnsi="宋体"/>
                <w:kern w:val="20"/>
              </w:rPr>
              <w:t>适用</w:t>
            </w:r>
            <w:r>
              <w:rPr>
                <w:rFonts w:ascii="宋体" w:hAnsi="宋体"/>
                <w:kern w:val="20"/>
              </w:rPr>
              <w:t>已执行新金融工具准则的金融企业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rFonts w:hint="eastAsia" w:ascii="宋体" w:hAnsi="宋体"/>
                <w:kern w:val="20"/>
              </w:rPr>
              <w:t>适用</w:t>
            </w:r>
            <w:r>
              <w:rPr>
                <w:rFonts w:ascii="宋体" w:hAnsi="宋体"/>
                <w:kern w:val="20"/>
              </w:rPr>
              <w:t>已执行新金融工具准则的金融企业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《所有者权益变动表（</w:t>
            </w:r>
            <w:r>
              <w:rPr>
                <w:rFonts w:hint="eastAsia" w:ascii="宋体" w:hAnsi="宋体"/>
                <w:kern w:val="20"/>
              </w:rPr>
              <w:t>适用</w:t>
            </w:r>
            <w:r>
              <w:rPr>
                <w:rFonts w:ascii="宋体" w:hAnsi="宋体"/>
                <w:kern w:val="20"/>
              </w:rPr>
              <w:t>已执行新金融工具准则的金融企业</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《企业会计准则附注》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全国千户集团总部及其成员企业</w:t>
            </w: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rPr>
        <w:t>未执行新金融工具准则的</w:t>
      </w:r>
      <w:r>
        <w:rPr>
          <w:rFonts w:ascii="宋体" w:hAnsi="宋体" w:cs="Times New Roman"/>
          <w:color w:val="000000" w:themeColor="text1"/>
        </w:rPr>
        <w:t>金融企业纳税人：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w:t>
            </w:r>
            <w:r>
              <w:rPr>
                <w:rFonts w:hint="eastAsia" w:ascii="宋体" w:hAnsi="宋体" w:cs="宋体"/>
                <w:kern w:val="0"/>
              </w:rPr>
              <w:t>（适用未执行新金融工具准则的商业银行）</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《利润表</w:t>
            </w:r>
            <w:r>
              <w:rPr>
                <w:rFonts w:hint="eastAsia" w:ascii="宋体" w:hAnsi="宋体" w:cs="宋体"/>
                <w:kern w:val="0"/>
              </w:rPr>
              <w:t>（适用未执行新金融工具准则的商业银行）</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rFonts w:hint="eastAsia" w:ascii="宋体" w:hAnsi="宋体" w:cs="宋体"/>
                <w:kern w:val="0"/>
              </w:rPr>
              <w:t>（适用未执行新金融工具准则的商业银行）</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《所有者权益变动表</w:t>
            </w:r>
            <w:r>
              <w:rPr>
                <w:rFonts w:hint="eastAsia" w:ascii="宋体" w:hAnsi="宋体" w:cs="宋体"/>
                <w:kern w:val="0"/>
              </w:rPr>
              <w:t>（适用未执行新金融工具准则的商业银行）</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w:t>
            </w:r>
            <w:r>
              <w:rPr>
                <w:rFonts w:hint="eastAsia" w:ascii="宋体" w:hAnsi="宋体" w:cs="宋体"/>
                <w:kern w:val="0"/>
              </w:rPr>
              <w:t>（适用未执行新金融工具准则的保险公司）</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6</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《利润表</w:t>
            </w:r>
            <w:r>
              <w:rPr>
                <w:rFonts w:hint="eastAsia" w:ascii="宋体" w:hAnsi="宋体" w:cs="宋体"/>
                <w:kern w:val="0"/>
              </w:rPr>
              <w:t>（适用未执行新金融工具准则的保险公司）</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7</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rFonts w:hint="eastAsia" w:ascii="宋体" w:hAnsi="宋体" w:cs="宋体"/>
                <w:kern w:val="0"/>
              </w:rPr>
              <w:t>（适用未执行新金融工具准则的保险公司）</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8</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《所有者权益变动表（适用执行企业会计准则的保险公司）》</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9</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w:t>
            </w:r>
            <w:r>
              <w:rPr>
                <w:rFonts w:hint="eastAsia" w:ascii="宋体" w:hAnsi="宋体" w:cs="宋体"/>
                <w:kern w:val="0"/>
              </w:rPr>
              <w:t>（适用未执行新金融工具准则的证券公司）</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10</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《利润表</w:t>
            </w:r>
            <w:r>
              <w:rPr>
                <w:rFonts w:hint="eastAsia" w:ascii="宋体" w:hAnsi="宋体" w:cs="宋体"/>
                <w:kern w:val="0"/>
              </w:rPr>
              <w:t>（适用未执行新金融工具准则的证券公司）</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rFonts w:hint="eastAsia" w:ascii="宋体" w:hAnsi="宋体" w:cs="宋体"/>
                <w:kern w:val="0"/>
              </w:rPr>
              <w:t>（适用未执行新金融工具准则的证券公司）</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《所有者权益变动表</w:t>
            </w:r>
            <w:r>
              <w:rPr>
                <w:rFonts w:hint="eastAsia" w:ascii="宋体" w:hAnsi="宋体" w:cs="宋体"/>
                <w:kern w:val="0"/>
              </w:rPr>
              <w:t>（适用未执行新金融工具准则的证券公司）</w:t>
            </w:r>
            <w:r>
              <w:rPr>
                <w:rFonts w:hint="eastAsia"/>
                <w:color w:val="000000" w:themeColor="text1"/>
              </w:rPr>
              <w:t>》</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13</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《企业会计准则附注》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全国千户集团总部及其成员企业</w:t>
            </w: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执行小企业会计准则的纳税人：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807"/>
        <w:gridCol w:w="2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807"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141"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《资产负债表（适用执行小企业会计准则的企业）》</w:t>
            </w:r>
          </w:p>
        </w:tc>
        <w:tc>
          <w:tcPr>
            <w:tcW w:w="8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14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《利润表</w:t>
            </w:r>
            <w:r>
              <w:rPr>
                <w:color w:val="000000" w:themeColor="text1"/>
              </w:rPr>
              <w:t>_月报（适用执行小企业会</w:t>
            </w:r>
            <w:r>
              <w:rPr>
                <w:rFonts w:hint="eastAsia"/>
                <w:color w:val="000000" w:themeColor="text1"/>
              </w:rPr>
              <w:t>计准则的企业）》</w:t>
            </w:r>
          </w:p>
        </w:tc>
        <w:tc>
          <w:tcPr>
            <w:tcW w:w="8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14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《利润表</w:t>
            </w:r>
            <w:r>
              <w:rPr>
                <w:color w:val="000000" w:themeColor="text1"/>
              </w:rPr>
              <w:t>_年报（适用执行小企业会</w:t>
            </w:r>
            <w:r>
              <w:rPr>
                <w:rFonts w:hint="eastAsia"/>
                <w:color w:val="000000" w:themeColor="text1"/>
              </w:rPr>
              <w:t>计准则的企业）》</w:t>
            </w:r>
          </w:p>
        </w:tc>
        <w:tc>
          <w:tcPr>
            <w:tcW w:w="8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14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color w:val="000000" w:themeColor="text1"/>
              </w:rPr>
              <w:t>_月报（适用执行小企</w:t>
            </w:r>
            <w:r>
              <w:rPr>
                <w:rFonts w:hint="eastAsia"/>
                <w:color w:val="000000" w:themeColor="text1"/>
              </w:rPr>
              <w:t>业会计准则的企业）》</w:t>
            </w:r>
          </w:p>
        </w:tc>
        <w:tc>
          <w:tcPr>
            <w:tcW w:w="8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14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w:t>
            </w:r>
            <w:r>
              <w:rPr>
                <w:color w:val="000000" w:themeColor="text1"/>
              </w:rPr>
              <w:t>_年报（适用执行小企</w:t>
            </w:r>
            <w:r>
              <w:rPr>
                <w:rFonts w:hint="eastAsia"/>
                <w:color w:val="000000" w:themeColor="text1"/>
              </w:rPr>
              <w:t>业会计准则的企业）》</w:t>
            </w:r>
          </w:p>
        </w:tc>
        <w:tc>
          <w:tcPr>
            <w:tcW w:w="807"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141"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执行企业会计制度的纳税人：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《资产负债表（适用执行企业会计制度的企业）》</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《利润表</w:t>
            </w:r>
            <w:r>
              <w:rPr>
                <w:color w:val="000000" w:themeColor="text1"/>
              </w:rPr>
              <w:t>（适用执行</w:t>
            </w:r>
            <w:r>
              <w:rPr>
                <w:rFonts w:hint="eastAsia"/>
                <w:color w:val="000000" w:themeColor="text1"/>
              </w:rPr>
              <w:t>企业会计制度的企业）》</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《现金流量表（适用执行企业会计制度的企业）》</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《所有者权益（或股东权益）增减变动表（适用执行企业会计制度的企业）》</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《企业会计制度附注》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全国千户集团总部及其成员企业</w:t>
            </w: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执行政府会计制度的纳税人：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color w:val="000000" w:themeColor="text1"/>
              </w:rPr>
            </w:pPr>
            <w:r>
              <w:rPr>
                <w:rFonts w:hint="eastAsia" w:ascii="黑体" w:hAnsi="黑体" w:eastAsia="黑体" w:cs="Times New Roman"/>
                <w:color w:val="000000" w:themeColor="text1"/>
                <w:kern w:val="2"/>
                <w:sz w:val="18"/>
                <w:szCs w:val="18"/>
              </w:rPr>
              <w:t>《资产负债表（适用执行政府会计制度的单位）》</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《资产负债表（适用执行政府会计制度的彩票机构）》</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1份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《资产负债表（适用执行政府会计制度的基层医疗卫生机构）》</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1份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《资产负债表（适用执行政府会计制度的国有林场和苗圃）》</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1份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《收入费用表</w:t>
            </w:r>
            <w:r>
              <w:rPr>
                <w:rFonts w:ascii="黑体" w:hAnsi="黑体" w:eastAsia="黑体" w:cs="Times New Roman"/>
                <w:color w:val="000000" w:themeColor="text1"/>
                <w:kern w:val="2"/>
                <w:sz w:val="18"/>
                <w:szCs w:val="18"/>
              </w:rPr>
              <w:t>_</w:t>
            </w:r>
            <w:r>
              <w:rPr>
                <w:rFonts w:hint="eastAsia" w:ascii="黑体" w:hAnsi="黑体" w:eastAsia="黑体" w:cs="Times New Roman"/>
                <w:color w:val="000000" w:themeColor="text1"/>
                <w:kern w:val="2"/>
                <w:sz w:val="18"/>
                <w:szCs w:val="18"/>
              </w:rPr>
              <w:t>月报（适用执行政府会计制度的单位）》</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6</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《收入费用表</w:t>
            </w:r>
            <w:r>
              <w:rPr>
                <w:rFonts w:ascii="黑体" w:hAnsi="黑体" w:eastAsia="黑体" w:cs="Times New Roman"/>
                <w:color w:val="000000" w:themeColor="text1"/>
                <w:kern w:val="2"/>
                <w:sz w:val="18"/>
                <w:szCs w:val="18"/>
              </w:rPr>
              <w:t>_</w:t>
            </w:r>
            <w:r>
              <w:rPr>
                <w:rFonts w:hint="eastAsia" w:ascii="黑体" w:hAnsi="黑体" w:eastAsia="黑体" w:cs="Times New Roman"/>
                <w:color w:val="000000" w:themeColor="text1"/>
                <w:kern w:val="2"/>
                <w:sz w:val="18"/>
                <w:szCs w:val="18"/>
              </w:rPr>
              <w:t>年报（适用执行政府会计制度的单位）》</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7</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《净资产变动表（适用执行政府会计制度的单位）》</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8</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ascii="黑体" w:hAnsi="黑体" w:eastAsia="黑体" w:cs="Times New Roman"/>
                <w:color w:val="000000" w:themeColor="text1"/>
                <w:kern w:val="2"/>
                <w:sz w:val="18"/>
                <w:szCs w:val="18"/>
              </w:rPr>
              <w:t>《</w:t>
            </w:r>
            <w:r>
              <w:rPr>
                <w:rFonts w:hint="eastAsia" w:ascii="黑体" w:hAnsi="黑体" w:eastAsia="黑体" w:cs="Times New Roman"/>
                <w:color w:val="000000" w:themeColor="text1"/>
                <w:kern w:val="2"/>
                <w:sz w:val="18"/>
                <w:szCs w:val="18"/>
              </w:rPr>
              <w:t>现金流量表</w:t>
            </w:r>
            <w:r>
              <w:rPr>
                <w:rFonts w:ascii="黑体" w:hAnsi="黑体" w:eastAsia="黑体" w:cs="Times New Roman"/>
                <w:color w:val="000000" w:themeColor="text1"/>
                <w:kern w:val="2"/>
                <w:sz w:val="18"/>
                <w:szCs w:val="18"/>
              </w:rPr>
              <w:t>（适用执行</w:t>
            </w:r>
            <w:r>
              <w:rPr>
                <w:rFonts w:hint="eastAsia" w:ascii="黑体" w:hAnsi="黑体" w:eastAsia="黑体" w:cs="Times New Roman"/>
                <w:color w:val="000000" w:themeColor="text1"/>
                <w:kern w:val="2"/>
                <w:sz w:val="18"/>
                <w:szCs w:val="18"/>
              </w:rPr>
              <w:t>政府</w:t>
            </w:r>
            <w:r>
              <w:rPr>
                <w:rFonts w:ascii="黑体" w:hAnsi="黑体" w:eastAsia="黑体" w:cs="Times New Roman"/>
                <w:color w:val="000000" w:themeColor="text1"/>
                <w:kern w:val="2"/>
                <w:sz w:val="18"/>
                <w:szCs w:val="18"/>
              </w:rPr>
              <w:t>会计制度的单位）》</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执行民间非营利组织会计制度的纳税人：</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《资产负债表（适用执行民间非营利组织会计制度的组织）》</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《业务活动表（适用执行民间非营利组织会计制度的组织）》</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《现金流量表</w:t>
            </w:r>
            <w:r>
              <w:rPr>
                <w:rFonts w:ascii="黑体" w:hAnsi="黑体" w:eastAsia="黑体" w:cs="Times New Roman"/>
                <w:color w:val="000000" w:themeColor="text1"/>
                <w:kern w:val="2"/>
                <w:sz w:val="18"/>
                <w:szCs w:val="18"/>
              </w:rPr>
              <w:t>_</w:t>
            </w:r>
            <w:r>
              <w:rPr>
                <w:rFonts w:hint="eastAsia" w:ascii="黑体" w:hAnsi="黑体" w:eastAsia="黑体" w:cs="Times New Roman"/>
                <w:color w:val="000000" w:themeColor="text1"/>
                <w:kern w:val="2"/>
                <w:sz w:val="18"/>
                <w:szCs w:val="18"/>
              </w:rPr>
              <w:t>年报（适用执行民间非营利组织会计制度的组织）》</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按照会计准则、会计制度等要求编制合并财务报表的全国千户集团总部：</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《合并利润表》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《合并现金流量表》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《合并资产负债表》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《合并所有者权益变动表》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5</w:t>
            </w:r>
          </w:p>
        </w:tc>
        <w:tc>
          <w:tcPr>
            <w:tcW w:w="4535" w:type="dxa"/>
            <w:tcBorders>
              <w:top w:val="single" w:color="auto" w:sz="4" w:space="0"/>
              <w:left w:val="single" w:color="auto" w:sz="4" w:space="0"/>
              <w:bottom w:val="single" w:color="auto" w:sz="4" w:space="0"/>
              <w:right w:val="single" w:color="auto" w:sz="4" w:space="0"/>
            </w:tcBorders>
            <w:vAlign w:val="center"/>
          </w:tcPr>
          <w:p>
            <w:pPr>
              <w:pStyle w:val="38"/>
              <w:wordWrap w:val="0"/>
              <w:autoSpaceDE/>
              <w:autoSpaceDN/>
              <w:adjustRightInd/>
              <w:jc w:val="center"/>
              <w:rPr>
                <w:rFonts w:ascii="黑体" w:hAnsi="黑体" w:eastAsia="黑体" w:cs="Times New Roman"/>
                <w:color w:val="000000" w:themeColor="text1"/>
                <w:kern w:val="2"/>
                <w:sz w:val="18"/>
                <w:szCs w:val="18"/>
              </w:rPr>
            </w:pPr>
            <w:r>
              <w:rPr>
                <w:rFonts w:hint="eastAsia" w:ascii="黑体" w:hAnsi="黑体" w:eastAsia="黑体" w:cs="Times New Roman"/>
                <w:color w:val="000000" w:themeColor="text1"/>
                <w:kern w:val="2"/>
                <w:sz w:val="18"/>
                <w:szCs w:val="18"/>
              </w:rPr>
              <w:t>《企业会计准则附注》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9525" b="0"/>
            <wp:docPr id="69"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hint="default" w:ascii="宋体" w:hAnsi="宋体" w:cs="Times New Roman"/>
          <w:color w:val="000000" w:themeColor="text1"/>
        </w:rPr>
        <w:t>纳税人未按照规定的期限</w:t>
      </w:r>
      <w:r>
        <w:rPr>
          <w:rFonts w:ascii="宋体" w:hAnsi="宋体" w:cs="Times New Roman"/>
          <w:color w:val="000000" w:themeColor="text1"/>
        </w:rPr>
        <w:t>报送财务会计报告</w:t>
      </w:r>
      <w:r>
        <w:rPr>
          <w:rFonts w:hint="default" w:ascii="宋体" w:hAnsi="宋体" w:cs="Times New Roman"/>
          <w:color w:val="000000" w:themeColor="text1"/>
        </w:rPr>
        <w:t>的，将影响纳税信用评价结果，并依照《中华人民共和国税收征收管理法》有关规定承担相应法律责任。</w:t>
      </w:r>
    </w:p>
    <w:p>
      <w:pPr>
        <w:pStyle w:val="31"/>
        <w:wordWrap w:val="0"/>
        <w:adjustRightInd/>
        <w:snapToGrid/>
        <w:rPr>
          <w:rFonts w:ascii="宋体" w:hAnsi="宋体" w:eastAsia="宋体"/>
          <w:bCs w:val="0"/>
          <w:color w:val="000000" w:themeColor="text1"/>
        </w:rPr>
      </w:pPr>
      <w:r>
        <w:rPr>
          <w:rFonts w:hint="eastAsia" w:ascii="Times New Roman" w:hAnsi="Times New Roman" w:eastAsia="宋体"/>
          <w:bCs w:val="0"/>
          <w:color w:val="000000" w:themeColor="text1"/>
        </w:rPr>
        <w:t>7.</w:t>
      </w:r>
      <w:r>
        <w:rPr>
          <w:rFonts w:ascii="宋体" w:hAnsi="宋体" w:eastAsia="宋体"/>
          <w:bCs w:val="0"/>
          <w:color w:val="000000" w:themeColor="text1"/>
        </w:rPr>
        <w:t>纳税人在向主管税务机关报送财务报表之前，应进行财务</w:t>
      </w:r>
      <w:r>
        <w:rPr>
          <w:rFonts w:hint="eastAsia" w:ascii="宋体" w:hAnsi="宋体" w:eastAsia="宋体"/>
          <w:bCs w:val="0"/>
          <w:color w:val="000000" w:themeColor="text1"/>
        </w:rPr>
        <w:t>会计</w:t>
      </w:r>
      <w:r>
        <w:rPr>
          <w:rFonts w:ascii="宋体" w:hAnsi="宋体" w:eastAsia="宋体"/>
          <w:bCs w:val="0"/>
          <w:color w:val="000000" w:themeColor="text1"/>
        </w:rPr>
        <w:t>制度的备案。</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ascii="宋体" w:hAnsi="宋体" w:cs="Times New Roman"/>
          <w:color w:val="000000" w:themeColor="text1"/>
        </w:rPr>
        <w:t>纳税人无论有无应税收入、所得和其他应税项目，或者在减免税期间，均必须依照《征管法》第二十五条的规定，按其所适用的会计制度编制财务报表，并按规定的时限向主管税务机关报送；其所适用的会计制度规定需要编报相关附表以及会计报表附注、财务情况说明书、审计报告的由纳税人留存备查，税务机关有其他规定的除外。</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ascii="宋体" w:hAnsi="宋体" w:cs="Times New Roman"/>
          <w:color w:val="000000" w:themeColor="text1"/>
        </w:rPr>
        <w:t>纳税人财务会计报表报送期间原则上按季度和年度报送。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ascii="宋体" w:hAnsi="宋体" w:cs="Times New Roman"/>
          <w:color w:val="000000" w:themeColor="text1"/>
        </w:rPr>
        <w:t>纳税人经批准延期办理纳税申报的，其财务会计报表报送期限可以顺延。</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）不得违规受理财务会计报告。</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firstLineChars="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firstLineChars="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税务机关提供通过移动办税终端财务会计报表报送服务。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推行财务报表税企间转换，财务报表上的数据自动反馈至申报表。</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t>进入金三操作系统，通过申报征收岗权限，按照【申报征收】—【资料报送与信息采集管理】—【资料报送与信息采集】的路径进入功能模块。</w:t>
      </w:r>
    </w:p>
    <w:p>
      <w:pPr>
        <w:pStyle w:val="31"/>
        <w:wordWrap w:val="0"/>
        <w:adjustRightInd/>
        <w:snapToGrid/>
        <w:rPr>
          <w:color w:val="000000" w:themeColor="text1"/>
        </w:rPr>
      </w:pPr>
      <w:r>
        <w:rPr>
          <w:rFonts w:hint="eastAsia"/>
          <w:color w:val="000000" w:themeColor="text1"/>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85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855" w:type="dxa"/>
            <w:vAlign w:val="center"/>
          </w:tcPr>
          <w:p>
            <w:pPr>
              <w:pStyle w:val="33"/>
              <w:adjustRightInd/>
              <w:snapToGrid/>
              <w:spacing w:line="276" w:lineRule="auto"/>
            </w:pPr>
            <w:r>
              <w:rPr>
                <w:rFonts w:hint="eastAsia"/>
              </w:rPr>
              <w:t>文件名称</w:t>
            </w:r>
          </w:p>
        </w:tc>
        <w:tc>
          <w:tcPr>
            <w:tcW w:w="1595"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855" w:type="dxa"/>
            <w:vAlign w:val="center"/>
          </w:tcPr>
          <w:p>
            <w:pPr>
              <w:pStyle w:val="50"/>
              <w:adjustRightInd/>
              <w:snapToGrid/>
              <w:spacing w:line="276" w:lineRule="auto"/>
            </w:pPr>
            <w:r>
              <w:rPr>
                <w:rFonts w:hint="eastAsia"/>
              </w:rPr>
              <w:t>《中华人民共和国税收征收管理法》</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855" w:type="dxa"/>
            <w:vAlign w:val="center"/>
          </w:tcPr>
          <w:p>
            <w:pPr>
              <w:pStyle w:val="50"/>
              <w:adjustRightInd/>
              <w:snapToGrid/>
              <w:spacing w:line="276" w:lineRule="auto"/>
            </w:pPr>
            <w:r>
              <w:rPr>
                <w:rFonts w:hint="eastAsia"/>
              </w:rPr>
              <w:t>《国家税务总局关于印发〈纳税人财务会计报表报送管理办法〉的通知》（国税发〔</w:t>
            </w:r>
            <w:r>
              <w:t>2005</w:t>
            </w:r>
            <w:r>
              <w:rPr>
                <w:rFonts w:hint="eastAsia"/>
              </w:rPr>
              <w:t>〕</w:t>
            </w:r>
            <w:r>
              <w:t>20</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3</w:t>
            </w:r>
          </w:p>
        </w:tc>
        <w:tc>
          <w:tcPr>
            <w:tcW w:w="5855" w:type="dxa"/>
            <w:vAlign w:val="center"/>
          </w:tcPr>
          <w:p>
            <w:pPr>
              <w:pStyle w:val="50"/>
              <w:adjustRightInd/>
              <w:snapToGrid/>
              <w:spacing w:line="276" w:lineRule="auto"/>
            </w:pPr>
            <w:r>
              <w:rPr>
                <w:rFonts w:hint="eastAsia"/>
              </w:rPr>
              <w:t>《国家税务总局关于加快推行办税事项同城通办的通知》（税总发〔</w:t>
            </w:r>
            <w:r>
              <w:t>2016</w:t>
            </w:r>
            <w:r>
              <w:rPr>
                <w:rFonts w:hint="eastAsia"/>
              </w:rPr>
              <w:t>〕</w:t>
            </w:r>
            <w:r>
              <w:t>46</w:t>
            </w:r>
            <w:r>
              <w:rPr>
                <w:rFonts w:hint="eastAsia"/>
              </w:rPr>
              <w:t>号）</w:t>
            </w:r>
          </w:p>
        </w:tc>
        <w:tc>
          <w:tcPr>
            <w:tcW w:w="1595"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4</w:t>
            </w:r>
          </w:p>
        </w:tc>
        <w:tc>
          <w:tcPr>
            <w:tcW w:w="5855"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95" w:type="dxa"/>
            <w:vAlign w:val="center"/>
          </w:tcPr>
          <w:p>
            <w:pPr>
              <w:pStyle w:val="50"/>
              <w:adjustRightInd/>
              <w:snapToGrid/>
              <w:spacing w:line="276" w:lineRule="auto"/>
            </w:pPr>
            <w:r>
              <w:rPr>
                <w:rFonts w:hint="eastAsia"/>
              </w:rPr>
              <w:t>依申请公开</w:t>
            </w:r>
          </w:p>
        </w:tc>
      </w:tr>
    </w:tbl>
    <w:p>
      <w:pPr>
        <w:pStyle w:val="29"/>
        <w:wordWrap w:val="0"/>
        <w:spacing w:before="936" w:after="468"/>
        <w:rPr>
          <w:color w:val="000000" w:themeColor="text1"/>
        </w:rPr>
      </w:pPr>
      <w:bookmarkStart w:id="245" w:name="_Toc31005"/>
      <w:bookmarkStart w:id="246" w:name="_Toc18096182"/>
      <w:r>
        <w:rPr>
          <w:rFonts w:hint="eastAsia"/>
          <w:color w:val="000000" w:themeColor="text1"/>
        </w:rPr>
        <w:t>3.23　　延期申报纳税</w:t>
      </w:r>
      <w:bookmarkEnd w:id="245"/>
      <w:bookmarkEnd w:id="246"/>
    </w:p>
    <w:p>
      <w:pPr>
        <w:pStyle w:val="30"/>
        <w:wordWrap w:val="0"/>
        <w:topLinePunct w:val="0"/>
        <w:spacing w:before="312" w:after="312"/>
        <w:rPr>
          <w:color w:val="000000" w:themeColor="text1"/>
        </w:rPr>
      </w:pPr>
      <w:bookmarkStart w:id="247" w:name="_Toc18096183"/>
      <w:bookmarkStart w:id="248" w:name="_Toc4779"/>
      <w:r>
        <w:rPr>
          <w:rFonts w:hint="eastAsia"/>
        </w:rPr>
        <w:t>3.23.1—11</w:t>
      </w:r>
      <w:r>
        <w:t>5</w:t>
      </w:r>
      <w:r>
        <w:rPr>
          <w:rFonts w:hint="eastAsia"/>
        </w:rPr>
        <w:t>　</w:t>
      </w:r>
      <w:bookmarkStart w:id="249" w:name="_Hlk12557732"/>
      <w:r>
        <w:rPr>
          <w:color w:val="000000" w:themeColor="text1"/>
        </w:rPr>
        <w:t>　</w:t>
      </w:r>
      <w:r>
        <w:rPr>
          <w:rFonts w:hint="eastAsia"/>
        </w:rPr>
        <w:t>对纳税人延期申报的核准</w:t>
      </w:r>
      <w:bookmarkEnd w:id="247"/>
      <w:bookmarkEnd w:id="248"/>
      <w:bookmarkEnd w:id="249"/>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对纳税人延期申报的核准</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纳税人、扣缴义务人因不可抗力或其他原因在规定期限内办理纳税申报或报送代扣代缴、代收代缴税款报告</w:t>
      </w:r>
      <w:r>
        <w:rPr>
          <w:rFonts w:hint="default" w:ascii="宋体" w:hAnsi="宋体" w:cs="Times New Roman"/>
          <w:color w:val="000000" w:themeColor="text1"/>
        </w:rPr>
        <w:t>表确有困难需要延期的，应当在申请延期的申报期限之内向税务机关提出书面延期申请，经税务机关核准，可以延期申报。但应当在不可抗力情形消除后立即向税务机关报告。</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《中华人民共和国税收征收管理法》第二十七</w:t>
      </w:r>
      <w:r>
        <w:rPr>
          <w:rFonts w:hint="default" w:ascii="宋体" w:hAnsi="宋体" w:cs="Times New Roman"/>
          <w:color w:val="000000" w:themeColor="text1"/>
        </w:rPr>
        <w:t>条第</w:t>
      </w:r>
      <w:r>
        <w:rPr>
          <w:rFonts w:ascii="宋体" w:hAnsi="宋体" w:cs="Times New Roman"/>
          <w:color w:val="000000" w:themeColor="text1"/>
        </w:rPr>
        <w:t>一</w:t>
      </w:r>
      <w:r>
        <w:rPr>
          <w:rFonts w:hint="default" w:ascii="宋体" w:hAnsi="宋体" w:cs="Times New Roman"/>
          <w:color w:val="000000" w:themeColor="text1"/>
        </w:rPr>
        <w:t>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《中华人民共和国税收征收管理法实施细则》第三十七</w:t>
      </w:r>
      <w:r>
        <w:rPr>
          <w:rFonts w:hint="default" w:ascii="宋体" w:hAnsi="宋体" w:cs="Times New Roman"/>
          <w:color w:val="000000" w:themeColor="text1"/>
        </w:rPr>
        <w:t>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16"/>
        <w:gridCol w:w="2819"/>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《税务行政许可申请表》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《延期申报申请核准表》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经办人身份证件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确有困难不能正常申报的情况说明</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96" w:type="dxa"/>
            <w:gridSpan w:val="2"/>
            <w:tcBorders>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2819" w:type="dxa"/>
            <w:tcBorders>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kern w:val="0"/>
                <w:sz w:val="21"/>
                <w:szCs w:val="21"/>
              </w:rPr>
            </w:pPr>
            <w:r>
              <w:rPr>
                <w:rFonts w:hint="eastAsia"/>
                <w:color w:val="000000" w:themeColor="text1"/>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96"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委托代理人提出申请</w:t>
            </w:r>
          </w:p>
        </w:tc>
        <w:tc>
          <w:tcPr>
            <w:tcW w:w="2819"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代理委托书</w:t>
            </w:r>
          </w:p>
        </w:tc>
        <w:tc>
          <w:tcPr>
            <w:tcW w:w="680" w:type="dxa"/>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jc w:val="both"/>
              <w:rPr>
                <w:color w:val="000000" w:themeColor="text1"/>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96" w:type="dxa"/>
            <w:gridSpan w:val="2"/>
            <w:vMerge w:val="continue"/>
            <w:tcBorders>
              <w:left w:val="single" w:color="auto" w:sz="4" w:space="0"/>
              <w:right w:val="single" w:color="auto" w:sz="4" w:space="0"/>
            </w:tcBorders>
            <w:vAlign w:val="center"/>
          </w:tcPr>
          <w:p>
            <w:pPr>
              <w:wordWrap w:val="0"/>
              <w:spacing w:line="240" w:lineRule="auto"/>
              <w:ind w:firstLine="0" w:firstLineChars="0"/>
              <w:rPr>
                <w:rFonts w:hint="default" w:ascii="宋体" w:hAnsi="宋体" w:cs="Times New Roman"/>
                <w:color w:val="000000" w:themeColor="text1"/>
              </w:rPr>
            </w:pPr>
          </w:p>
        </w:tc>
        <w:tc>
          <w:tcPr>
            <w:tcW w:w="2819"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代理人身份证件</w:t>
            </w:r>
          </w:p>
        </w:tc>
        <w:tc>
          <w:tcPr>
            <w:tcW w:w="680" w:type="dxa"/>
            <w:vMerge w:val="continue"/>
            <w:tcBorders>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268" w:type="dxa"/>
            <w:tcBorders>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在</w:t>
      </w:r>
      <w:r>
        <w:rPr>
          <w:rFonts w:cs="Times New Roman"/>
          <w:color w:val="000000" w:themeColor="text1"/>
        </w:rPr>
        <w:t>20</w:t>
      </w:r>
      <w:r>
        <w:rPr>
          <w:rFonts w:hint="default" w:ascii="宋体" w:hAnsi="宋体" w:cs="Times New Roman"/>
          <w:color w:val="000000" w:themeColor="text1"/>
        </w:rPr>
        <w:t>个工作日内办结；对</w:t>
      </w:r>
      <w:r>
        <w:rPr>
          <w:rFonts w:cs="Times New Roman"/>
          <w:color w:val="000000" w:themeColor="text1"/>
        </w:rPr>
        <w:t>20</w:t>
      </w:r>
      <w:r>
        <w:rPr>
          <w:rFonts w:hint="default" w:ascii="宋体" w:hAnsi="宋体" w:cs="Times New Roman"/>
          <w:color w:val="000000" w:themeColor="text1"/>
        </w:rPr>
        <w:t>个工作日内无法作出决定的，经决定机构负责人批准可以延长</w:t>
      </w:r>
      <w:r>
        <w:rPr>
          <w:rFonts w:cs="Times New Roman"/>
          <w:color w:val="000000" w:themeColor="text1"/>
        </w:rPr>
        <w:t>10</w:t>
      </w:r>
      <w:r>
        <w:rPr>
          <w:rFonts w:hint="default" w:ascii="宋体" w:hAnsi="宋体" w:cs="Times New Roman"/>
          <w:color w:val="000000" w:themeColor="text1"/>
        </w:rPr>
        <w:t>个工作日</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bCs w:val="0"/>
          <w:color w:val="000000" w:themeColor="text1"/>
        </w:rPr>
      </w:pPr>
      <w:bookmarkStart w:id="250" w:name="_Hlk12608449"/>
      <w:r>
        <w:rPr>
          <w:rFonts w:ascii="宋体" w:hAnsi="宋体" w:eastAsia="宋体"/>
          <w:bCs w:val="0"/>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rFonts w:hint="eastAsia"/>
          <w:color w:val="000000" w:themeColor="text1"/>
        </w:rPr>
        <w:drawing>
          <wp:inline distT="0" distB="0" distL="114300" distR="114300">
            <wp:extent cx="5268595" cy="1948815"/>
            <wp:effectExtent l="0" t="0" r="1905" b="6985"/>
            <wp:docPr id="190" name="图片 190" descr="C:\Users\baoqianyu\Desktop\流程图\行政许可\纳税人（扣缴义务人）.png纳税人（扣缴义务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C:\Users\baoqianyu\Desktop\流程图\行政许可\纳税人（扣缴义务人）.png纳税人（扣缴义务人）"/>
                    <pic:cNvPicPr>
                      <a:picLocks noChangeAspect="1"/>
                    </pic:cNvPicPr>
                  </pic:nvPicPr>
                  <pic:blipFill>
                    <a:blip r:embed="rId19"/>
                    <a:srcRect/>
                    <a:stretch>
                      <a:fillRect/>
                    </a:stretch>
                  </pic:blipFill>
                  <pic:spPr>
                    <a:xfrm>
                      <a:off x="0" y="0"/>
                      <a:ext cx="5268595" cy="1948815"/>
                    </a:xfrm>
                    <a:prstGeom prst="rect">
                      <a:avLst/>
                    </a:prstGeom>
                  </pic:spPr>
                </pic:pic>
              </a:graphicData>
            </a:graphic>
          </wp:inline>
        </w:drawing>
      </w:r>
    </w:p>
    <w:p>
      <w:pPr>
        <w:pStyle w:val="31"/>
        <w:wordWrap w:val="0"/>
        <w:adjustRightInd/>
        <w:snapToGrid/>
        <w:rPr>
          <w:color w:val="000000" w:themeColor="text1"/>
        </w:rPr>
      </w:pPr>
      <w:r>
        <w:rPr>
          <w:rFonts w:hint="eastAsia"/>
          <w:color w:val="000000" w:themeColor="text1"/>
        </w:rPr>
        <w:t>【纳税人、扣缴义务人注意事项】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w:t>
      </w:r>
      <w:r>
        <w:rPr>
          <w:rFonts w:ascii="宋体" w:hAnsi="宋体" w:cs="Times New Roman"/>
          <w:color w:val="000000" w:themeColor="text1"/>
        </w:rPr>
        <w:t>、</w:t>
      </w:r>
      <w:r>
        <w:rPr>
          <w:color w:val="000000" w:themeColor="text1"/>
        </w:rPr>
        <w:t>扣缴义务人</w:t>
      </w:r>
      <w:r>
        <w:rPr>
          <w:rFonts w:hint="default" w:ascii="宋体" w:hAnsi="宋体" w:cs="Times New Roman"/>
          <w:color w:val="000000" w:themeColor="text1"/>
        </w:rPr>
        <w:t>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bookmarkEnd w:id="250"/>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w:t>
      </w:r>
      <w:r>
        <w:rPr>
          <w:rFonts w:ascii="宋体" w:hAnsi="宋体" w:cs="Times New Roman"/>
          <w:color w:val="000000" w:themeColor="text1"/>
        </w:rPr>
        <w:t>、</w:t>
      </w:r>
      <w:r>
        <w:rPr>
          <w:color w:val="000000" w:themeColor="text1"/>
        </w:rPr>
        <w:t>扣缴义务人</w:t>
      </w:r>
      <w:r>
        <w:rPr>
          <w:rFonts w:hint="default" w:ascii="宋体" w:hAnsi="宋体" w:cs="Times New Roman"/>
          <w:color w:val="000000" w:themeColor="text1"/>
        </w:rPr>
        <w:t>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按照规定的期限办理纳税申报或者报送代扣代缴、代收代缴税款报告表确有困难，是指因财务处理上的特殊原因，账务未处理完毕，不能计算应纳税额所导致的不能按时申报。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w:t>
      </w:r>
      <w:r>
        <w:rPr>
          <w:rFonts w:ascii="宋体" w:hAnsi="宋体" w:cs="Times New Roman"/>
          <w:color w:val="000000" w:themeColor="text1"/>
        </w:rPr>
        <w:t>、</w:t>
      </w:r>
      <w:r>
        <w:rPr>
          <w:color w:val="000000" w:themeColor="text1"/>
        </w:rPr>
        <w:t>扣缴义务人</w:t>
      </w:r>
      <w:r>
        <w:rPr>
          <w:rFonts w:hint="default" w:ascii="宋体" w:hAnsi="宋体" w:cs="Times New Roman"/>
          <w:color w:val="000000" w:themeColor="text1"/>
        </w:rPr>
        <w:t>应当在纳税申报期限届满前提出申请。</w:t>
      </w:r>
      <w:r>
        <w:rPr>
          <w:rFonts w:ascii="宋体" w:hAnsi="宋体" w:cs="Times New Roman"/>
          <w:color w:val="000000" w:themeColor="text1"/>
        </w:rPr>
        <w:t>经核准延期办理前款规定的申报、报送事项的，应当在纳税期内按照上期实际缴纳的税额或者税务机关核定的税额预缴税款，并在核准的延期内办理税款结算。</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预缴税额大于实际应纳税额的，税务机关结算退税但不向纳税人计退利息，预缴税额小于应纳税额的，在结算补税时不加收滞纳金。</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纳税人、</w:t>
      </w:r>
      <w:r>
        <w:rPr>
          <w:color w:val="000000" w:themeColor="text1"/>
        </w:rPr>
        <w:t>扣缴义务人</w:t>
      </w:r>
      <w:r>
        <w:rPr>
          <w:rFonts w:ascii="宋体" w:hAnsi="宋体" w:cs="Times New Roman"/>
          <w:color w:val="000000" w:themeColor="text1"/>
        </w:rPr>
        <w:t>经核准延期办理纳税申报的，其随本期申报的财务会计报表报送期限可以顺延。</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）办税服务厅接收纳税人、</w:t>
      </w:r>
      <w:r>
        <w:rPr>
          <w:color w:val="000000" w:themeColor="text1"/>
        </w:rPr>
        <w:t>扣缴义务人</w:t>
      </w:r>
      <w:r>
        <w:rPr>
          <w:rFonts w:ascii="宋体" w:hAnsi="宋体" w:cs="Times New Roman"/>
          <w:color w:val="000000" w:themeColor="text1"/>
        </w:rPr>
        <w:t>报送的资料，核对资料是否齐全、是否符合法定形式、填写内容是否完整，符合的即时受理，制作《税务行政许可受理通知书》送达纳税人、</w:t>
      </w:r>
      <w:r>
        <w:rPr>
          <w:color w:val="000000" w:themeColor="text1"/>
        </w:rPr>
        <w:t>扣缴义务人</w:t>
      </w:r>
      <w:r>
        <w:rPr>
          <w:rFonts w:ascii="宋体" w:hAnsi="宋体" w:cs="Times New Roman"/>
          <w:color w:val="000000" w:themeColor="text1"/>
        </w:rPr>
        <w:t>，并制作《税务文书送达回证》由纳税人、</w:t>
      </w:r>
      <w:r>
        <w:rPr>
          <w:color w:val="000000" w:themeColor="text1"/>
        </w:rPr>
        <w:t>扣缴义务人</w:t>
      </w:r>
      <w:r>
        <w:rPr>
          <w:rFonts w:ascii="宋体" w:hAnsi="宋体" w:cs="Times New Roman"/>
          <w:color w:val="000000" w:themeColor="text1"/>
        </w:rPr>
        <w:t>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）申请材料存在问题可以当场更正的，应当一次性告知纳税人、</w:t>
      </w:r>
      <w:r>
        <w:rPr>
          <w:color w:val="000000" w:themeColor="text1"/>
        </w:rPr>
        <w:t>扣缴义务人</w:t>
      </w:r>
      <w:r>
        <w:rPr>
          <w:rFonts w:ascii="宋体" w:hAnsi="宋体" w:cs="Times New Roman"/>
          <w:color w:val="000000" w:themeColor="text1"/>
        </w:rPr>
        <w:t>更正；申请材料不齐全或不符合法定形式的，应当当场或者</w:t>
      </w:r>
      <w:r>
        <w:rPr>
          <w:rFonts w:cs="Times New Roman"/>
          <w:color w:val="000000" w:themeColor="text1"/>
        </w:rPr>
        <w:t>5</w:t>
      </w:r>
      <w:r>
        <w:rPr>
          <w:rFonts w:ascii="宋体" w:hAnsi="宋体" w:cs="Times New Roman"/>
          <w:color w:val="000000" w:themeColor="text1"/>
        </w:rPr>
        <w:t>日内制作《补正税务行政许可材料告知书》，一次性告知纳税人、</w:t>
      </w:r>
      <w:r>
        <w:rPr>
          <w:color w:val="000000" w:themeColor="text1"/>
        </w:rPr>
        <w:t>扣缴义务人</w:t>
      </w:r>
      <w:r>
        <w:rPr>
          <w:rFonts w:ascii="宋体" w:hAnsi="宋体" w:cs="Times New Roman"/>
          <w:color w:val="000000" w:themeColor="text1"/>
        </w:rPr>
        <w:t>需要补正的材料，并制作《税务文书送达回证》由纳税人、</w:t>
      </w:r>
      <w:r>
        <w:rPr>
          <w:color w:val="000000" w:themeColor="text1"/>
        </w:rPr>
        <w:t>扣缴义务人</w:t>
      </w:r>
      <w:r>
        <w:rPr>
          <w:rFonts w:ascii="宋体" w:hAnsi="宋体" w:cs="Times New Roman"/>
          <w:color w:val="000000" w:themeColor="text1"/>
        </w:rPr>
        <w:t>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w:t>
      </w:r>
      <w:r>
        <w:rPr>
          <w:color w:val="000000" w:themeColor="text1"/>
        </w:rPr>
        <w:t>扣缴义务人</w:t>
      </w:r>
      <w:r>
        <w:rPr>
          <w:rFonts w:ascii="宋体" w:hAnsi="宋体" w:cs="Times New Roman"/>
          <w:color w:val="000000" w:themeColor="text1"/>
        </w:rPr>
        <w:t>提出的行政许可申请事项依法不属于本行政机关职权范围的，办税服务厅不予受理，当场制作并送达《税务行政许可不予受理通知书》，并制作《税务文书送达回证》由纳税人、</w:t>
      </w:r>
      <w:r>
        <w:rPr>
          <w:color w:val="000000" w:themeColor="text1"/>
        </w:rPr>
        <w:t>扣缴义务人</w:t>
      </w:r>
      <w:r>
        <w:rPr>
          <w:rFonts w:ascii="宋体" w:hAnsi="宋体" w:cs="Times New Roman"/>
          <w:color w:val="000000" w:themeColor="text1"/>
        </w:rPr>
        <w:t>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）申请事项属于税务机关管辖范围，但不需要取得税务行政许可的，应当即告知纳税人、</w:t>
      </w:r>
      <w:r>
        <w:rPr>
          <w:color w:val="000000" w:themeColor="text1"/>
        </w:rPr>
        <w:t>扣缴义务人</w:t>
      </w:r>
      <w:r>
        <w:rPr>
          <w:rFonts w:ascii="宋体" w:hAnsi="宋体" w:cs="Times New Roman"/>
          <w:color w:val="000000" w:themeColor="text1"/>
        </w:rPr>
        <w:t>不受理，同时告知其解决的途径。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）对能够当即办理的税务行政许可事项，直接出具和送达《准予税务行政许可决定书》，不再出具《税务行政许可受理通知书》。</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6</w:t>
      </w:r>
      <w:r>
        <w:rPr>
          <w:rFonts w:ascii="宋体" w:hAnsi="宋体" w:cs="Times New Roman"/>
          <w:color w:val="000000" w:themeColor="text1"/>
        </w:rPr>
        <w:t>）纳税人、</w:t>
      </w:r>
      <w:r>
        <w:rPr>
          <w:color w:val="000000" w:themeColor="text1"/>
        </w:rPr>
        <w:t>扣缴义务人</w:t>
      </w:r>
      <w:r>
        <w:rPr>
          <w:rFonts w:ascii="宋体" w:hAnsi="宋体" w:cs="Times New Roman"/>
          <w:color w:val="000000" w:themeColor="text1"/>
        </w:rPr>
        <w:t>通过电子税务局申请的，电子税务局接收报送的资料信息，</w:t>
      </w:r>
      <w:r>
        <w:rPr>
          <w:rFonts w:hint="default" w:ascii="宋体" w:hAnsi="宋体" w:cs="Times New Roman"/>
          <w:color w:val="000000" w:themeColor="text1"/>
        </w:rPr>
        <w:t>核对资料是否齐全、是否符合法定形式、填写内容是否完整，符合的即时受理</w:t>
      </w:r>
      <w:r>
        <w:rPr>
          <w:rFonts w:ascii="宋体" w:hAnsi="宋体" w:cs="Times New Roman"/>
          <w:color w:val="000000" w:themeColor="text1"/>
        </w:rPr>
        <w:t>；资料不齐全或者填写内容不符合规定的，一次性告知补正内容或要求纳税人重新填报。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w:t>
      </w:r>
      <w:r>
        <w:rPr>
          <w:rFonts w:ascii="宋体" w:hAnsi="宋体" w:cs="Times New Roman"/>
          <w:color w:val="000000" w:themeColor="text1"/>
        </w:rPr>
        <w:t>纳税人、</w:t>
      </w:r>
      <w:r>
        <w:rPr>
          <w:color w:val="000000" w:themeColor="text1"/>
        </w:rPr>
        <w:t>扣缴义务人</w:t>
      </w:r>
      <w:r>
        <w:rPr>
          <w:rFonts w:hint="default" w:ascii="宋体" w:hAnsi="宋体" w:cs="Times New Roman"/>
          <w:color w:val="000000" w:themeColor="text1"/>
        </w:rPr>
        <w:t>报送材料录入数据。根据信息系统的提示信息，提醒</w:t>
      </w:r>
      <w:r>
        <w:rPr>
          <w:rFonts w:ascii="宋体" w:hAnsi="宋体" w:cs="Times New Roman"/>
          <w:color w:val="000000" w:themeColor="text1"/>
        </w:rPr>
        <w:t>纳税人、</w:t>
      </w:r>
      <w:r>
        <w:rPr>
          <w:color w:val="000000" w:themeColor="text1"/>
        </w:rPr>
        <w:t>扣缴义务人</w:t>
      </w:r>
      <w:r>
        <w:rPr>
          <w:rFonts w:hint="default" w:ascii="宋体" w:hAnsi="宋体" w:cs="Times New Roman"/>
          <w:color w:val="000000" w:themeColor="text1"/>
        </w:rPr>
        <w:t>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）办税服务厅收到反馈后</w:t>
      </w:r>
      <w:r>
        <w:rPr>
          <w:rFonts w:cs="Times New Roman"/>
          <w:color w:val="000000" w:themeColor="text1"/>
        </w:rPr>
        <w:t>1</w:t>
      </w:r>
      <w:r>
        <w:rPr>
          <w:rFonts w:ascii="宋体" w:hAnsi="宋体" w:cs="Times New Roman"/>
          <w:color w:val="000000" w:themeColor="text1"/>
        </w:rPr>
        <w:t>个工作日内通知纳税人、</w:t>
      </w:r>
      <w:r>
        <w:rPr>
          <w:color w:val="000000" w:themeColor="text1"/>
        </w:rPr>
        <w:t>扣缴义务人</w:t>
      </w:r>
      <w:r>
        <w:rPr>
          <w:rFonts w:ascii="宋体" w:hAnsi="宋体" w:cs="Times New Roman"/>
          <w:color w:val="000000" w:themeColor="text1"/>
        </w:rPr>
        <w:t>凭《税务行政许可受理通知书》领取《准予税务行政许可决定书》或《不予税务行政许可决定书》，并制作《税务文书送达回证》，由纳税人、</w:t>
      </w:r>
      <w:r>
        <w:rPr>
          <w:color w:val="000000" w:themeColor="text1"/>
        </w:rPr>
        <w:t>扣缴义务人</w:t>
      </w:r>
      <w:r>
        <w:rPr>
          <w:rFonts w:ascii="宋体" w:hAnsi="宋体" w:cs="Times New Roman"/>
          <w:color w:val="000000" w:themeColor="text1"/>
        </w:rPr>
        <w:t>签收。审批结果为“不予税务行政许可”的，应当说明理由并告知纳税人、</w:t>
      </w:r>
      <w:r>
        <w:rPr>
          <w:color w:val="000000" w:themeColor="text1"/>
        </w:rPr>
        <w:t>扣缴义务人</w:t>
      </w:r>
      <w:r>
        <w:rPr>
          <w:rFonts w:ascii="宋体" w:hAnsi="宋体" w:cs="Times New Roman"/>
          <w:color w:val="000000" w:themeColor="text1"/>
        </w:rPr>
        <w:t>在《不予税务行政许可决定书》上注明的期限内，享有依法申请行政复议或提起行政诉讼的权利。</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hint="default" w:ascii="宋体" w:hAnsi="宋体" w:cs="Times New Roman"/>
          <w:color w:val="000000" w:themeColor="text1"/>
        </w:rPr>
        <w:t>电子税务局办理的，将办理结果通过电子税务局反馈给</w:t>
      </w:r>
      <w:r>
        <w:rPr>
          <w:rFonts w:ascii="宋体" w:hAnsi="宋体" w:cs="Times New Roman"/>
          <w:color w:val="000000" w:themeColor="text1"/>
        </w:rPr>
        <w:t>纳税人、</w:t>
      </w:r>
      <w:r>
        <w:rPr>
          <w:color w:val="000000" w:themeColor="text1"/>
        </w:rPr>
        <w:t>扣缴义务人</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）受理税务机关与纳税人、</w:t>
      </w:r>
      <w:r>
        <w:rPr>
          <w:color w:val="000000" w:themeColor="text1"/>
        </w:rPr>
        <w:t>扣缴义务人</w:t>
      </w:r>
      <w:r>
        <w:rPr>
          <w:rFonts w:ascii="宋体" w:hAnsi="宋体" w:cs="Times New Roman"/>
          <w:color w:val="000000" w:themeColor="text1"/>
        </w:rPr>
        <w:t>不在同一县（市、区、旗），或者直接送达税务行政许可文书存在其他困难情形的，可以根据纳税人、</w:t>
      </w:r>
      <w:r>
        <w:rPr>
          <w:color w:val="000000" w:themeColor="text1"/>
        </w:rPr>
        <w:t>扣缴义务人</w:t>
      </w:r>
      <w:r>
        <w:rPr>
          <w:rFonts w:ascii="宋体" w:hAnsi="宋体" w:cs="Times New Roman"/>
          <w:color w:val="000000" w:themeColor="text1"/>
        </w:rPr>
        <w:t>书面要求，按照申请人在《税务行政许可申请表》上填写的地址，在文书出具之日起</w:t>
      </w:r>
      <w:r>
        <w:rPr>
          <w:rFonts w:cs="Times New Roman"/>
          <w:color w:val="000000" w:themeColor="text1"/>
        </w:rPr>
        <w:t>2</w:t>
      </w:r>
      <w:r>
        <w:rPr>
          <w:rFonts w:ascii="宋体" w:hAnsi="宋体" w:cs="Times New Roman"/>
          <w:color w:val="000000" w:themeColor="text1"/>
        </w:rPr>
        <w:t>个工作日内向纳税人、</w:t>
      </w:r>
      <w:r>
        <w:rPr>
          <w:color w:val="000000" w:themeColor="text1"/>
        </w:rPr>
        <w:t>扣缴义务人</w:t>
      </w:r>
      <w:r>
        <w:rPr>
          <w:rFonts w:ascii="宋体" w:hAnsi="宋体" w:cs="Times New Roman"/>
          <w:color w:val="000000" w:themeColor="text1"/>
        </w:rPr>
        <w:t>邮寄送达。邮寄送达的，以挂号函件回执上注明的收件日期为送达日期，并视为已送达。税务机关应当保留邮寄单据并做好台账登记。邮寄送达不得收取任何费用。</w:t>
      </w:r>
    </w:p>
    <w:p>
      <w:pPr>
        <w:wordWrap w:val="0"/>
        <w:spacing w:line="360" w:lineRule="auto"/>
        <w:ind w:firstLine="480"/>
        <w:rPr>
          <w:rFonts w:hint="default" w:ascii="等线" w:hAnsi="等线" w:cs="Times New Roman"/>
          <w:color w:val="000000" w:themeColor="text1"/>
          <w:sz w:val="21"/>
          <w:szCs w:val="2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）在作出准予税务行政许可决定之日起</w:t>
      </w:r>
      <w:r>
        <w:rPr>
          <w:rFonts w:cs="Times New Roman"/>
          <w:color w:val="000000" w:themeColor="text1"/>
        </w:rPr>
        <w:t>7</w:t>
      </w:r>
      <w:r>
        <w:rPr>
          <w:rFonts w:ascii="宋体" w:hAnsi="宋体" w:cs="Times New Roman"/>
          <w:color w:val="000000" w:themeColor="text1"/>
        </w:rPr>
        <w:t>日内，在办税服务厅或者其他办公场所以及税务机关门户网站上公开税务行政许可决定。</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w:t>
      </w:r>
      <w:r>
        <w:rPr>
          <w:rFonts w:hint="default" w:ascii="宋体" w:hAnsi="宋体" w:cs="Times New Roman"/>
          <w:color w:val="000000" w:themeColor="text1"/>
        </w:rPr>
        <w:t>不得将</w:t>
      </w:r>
      <w:r>
        <w:rPr>
          <w:rFonts w:ascii="宋体" w:hAnsi="宋体" w:cs="Times New Roman"/>
          <w:color w:val="000000" w:themeColor="text1"/>
        </w:rPr>
        <w:t>纳税人、</w:t>
      </w:r>
      <w:r>
        <w:rPr>
          <w:color w:val="000000" w:themeColor="text1"/>
        </w:rPr>
        <w:t>扣缴义务人</w:t>
      </w:r>
      <w:r>
        <w:rPr>
          <w:rFonts w:hint="default" w:ascii="宋体" w:hAnsi="宋体" w:cs="Times New Roman"/>
          <w:color w:val="000000" w:themeColor="text1"/>
        </w:rPr>
        <w:t>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办理时限提速至</w:t>
      </w:r>
      <w:r>
        <w:rPr>
          <w:rFonts w:cs="Times New Roman"/>
          <w:color w:val="000000" w:themeColor="text1"/>
        </w:rPr>
        <w:t>5</w:t>
      </w:r>
      <w:r>
        <w:rPr>
          <w:rFonts w:ascii="宋体" w:hAnsi="宋体" w:cs="Times New Roman"/>
          <w:color w:val="000000" w:themeColor="text1"/>
        </w:rPr>
        <w:t>个工作日。</w:t>
      </w:r>
    </w:p>
    <w:p>
      <w:pPr>
        <w:pStyle w:val="31"/>
        <w:wordWrap w:val="0"/>
        <w:adjustRightInd/>
        <w:snapToGrid/>
        <w:rPr>
          <w:color w:val="000000" w:themeColor="text1"/>
        </w:rPr>
      </w:pPr>
      <w:r>
        <w:rPr>
          <w:rFonts w:hint="eastAsia"/>
          <w:color w:val="000000" w:themeColor="text1"/>
        </w:rPr>
        <w:t>【操作规范】</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1.</w:t>
      </w:r>
      <w:r>
        <w:rPr>
          <w:rFonts w:ascii="宋体" w:hAnsi="宋体" w:eastAsia="宋体"/>
          <w:bCs w:val="0"/>
          <w:color w:val="000000" w:themeColor="text1"/>
        </w:rPr>
        <w:t>受理环节</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进入金三操作系统，通过文书受理岗权限，按照【管理服务】—【文书管理】—【延期类】—【延期申报申请】的路径进入功能模块。点击界面上【税务行政许可申报征收类】按钮触发税务行政许可申请。返回【延期申报申请】界面，录入相关信息。</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2.</w:t>
      </w:r>
      <w:r>
        <w:rPr>
          <w:rFonts w:ascii="宋体" w:hAnsi="宋体" w:eastAsia="宋体"/>
          <w:bCs w:val="0"/>
          <w:color w:val="000000" w:themeColor="text1"/>
        </w:rPr>
        <w:t>预缴税款环节</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进入金三操作系统，通过申报征收岗权限，按照【申报征收】—【征收开票】—【预缴开票】的路径进入功能模块，对已核定的预缴税款进行征收。</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3.</w:t>
      </w:r>
      <w:r>
        <w:rPr>
          <w:rFonts w:ascii="宋体" w:hAnsi="宋体" w:eastAsia="宋体"/>
          <w:bCs w:val="0"/>
          <w:color w:val="000000" w:themeColor="text1"/>
        </w:rPr>
        <w:t>发放环节</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核准流程完成后，进入金三操作系统，通过文书受理岗权限，在待办任务栏中找到相对应的业务任务，制作《准予税务行政许可决定书》或《不予税务行政许可决定书》及《税务文书送达回证》。</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4.</w:t>
      </w:r>
      <w:r>
        <w:rPr>
          <w:rFonts w:ascii="宋体" w:hAnsi="宋体" w:eastAsia="宋体"/>
          <w:bCs w:val="0"/>
          <w:color w:val="000000" w:themeColor="text1"/>
        </w:rPr>
        <w:t>提示事项</w:t>
      </w:r>
    </w:p>
    <w:p>
      <w:pPr>
        <w:pStyle w:val="31"/>
        <w:wordWrap w:val="0"/>
        <w:adjustRightInd/>
        <w:snapToGrid/>
        <w:rPr>
          <w:rFonts w:ascii="宋体" w:hAnsi="宋体" w:eastAsia="宋体"/>
          <w:bCs w:val="0"/>
          <w:color w:val="000000" w:themeColor="text1"/>
        </w:rPr>
      </w:pPr>
      <w:r>
        <w:rPr>
          <w:rFonts w:ascii="宋体" w:hAnsi="宋体" w:eastAsia="宋体"/>
          <w:bCs w:val="0"/>
          <w:color w:val="000000" w:themeColor="text1"/>
        </w:rPr>
        <w:t>在受理环节，金三操作系统根据税（费）种认定信息，带出纳税人登记过的所有税（费）种。可勾选删行无需延期申报的税（费）种，录入所属期起止、申报延期申报期限。录入延期申报理由（必填）。若有附加税种，点击“附征”按钮。录入完后保存将申请信息发送至核准岗位推送到核准环节，核准环节核定预缴税额。</w:t>
      </w:r>
    </w:p>
    <w:p>
      <w:pPr>
        <w:ind w:firstLine="482"/>
        <w:rPr>
          <w:rFonts w:hint="default"/>
          <w:b/>
          <w:sz w:val="36"/>
          <w:szCs w:val="36"/>
        </w:rPr>
      </w:pPr>
      <w:r>
        <w:rPr>
          <w:b/>
        </w:rPr>
        <w:t>【表证单书填写范本】</w:t>
      </w:r>
    </w:p>
    <w:p>
      <w:pPr>
        <w:ind w:firstLine="0" w:firstLineChars="0"/>
        <w:jc w:val="center"/>
        <w:rPr>
          <w:rFonts w:hint="default"/>
          <w:b/>
          <w:sz w:val="36"/>
          <w:szCs w:val="36"/>
        </w:rPr>
      </w:pPr>
      <w:r>
        <w:rPr>
          <w:b/>
          <w:sz w:val="36"/>
          <w:szCs w:val="36"/>
        </w:rPr>
        <w:t>税务行政许可申请表</w:t>
      </w:r>
      <w:r>
        <w:drawing>
          <wp:anchor distT="0" distB="0" distL="114300" distR="114300" simplePos="0" relativeHeight="251644928" behindDoc="0" locked="0" layoutInCell="1" allowOverlap="1">
            <wp:simplePos x="0" y="0"/>
            <wp:positionH relativeFrom="column">
              <wp:posOffset>2805430</wp:posOffset>
            </wp:positionH>
            <wp:positionV relativeFrom="paragraph">
              <wp:posOffset>106045</wp:posOffset>
            </wp:positionV>
            <wp:extent cx="1143000" cy="1066800"/>
            <wp:effectExtent l="0" t="0" r="0" b="0"/>
            <wp:wrapNone/>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noChangeArrowheads="1"/>
                    </pic:cNvPicPr>
                  </pic:nvPicPr>
                  <pic:blipFill>
                    <a:blip r:embed="rId14"/>
                    <a:srcRect/>
                    <a:stretch>
                      <a:fillRect/>
                    </a:stretch>
                  </pic:blipFill>
                  <pic:spPr>
                    <a:xfrm>
                      <a:off x="0" y="0"/>
                      <a:ext cx="1143000" cy="1066800"/>
                    </a:xfrm>
                    <a:prstGeom prst="rect">
                      <a:avLst/>
                    </a:prstGeom>
                    <a:noFill/>
                    <a:ln w="9525">
                      <a:noFill/>
                      <a:miter lim="800000"/>
                      <a:headEnd/>
                      <a:tailEnd/>
                    </a:ln>
                  </pic:spPr>
                </pic:pic>
              </a:graphicData>
            </a:graphic>
          </wp:anchor>
        </w:drawing>
      </w:r>
    </w:p>
    <w:p>
      <w:pPr>
        <w:ind w:firstLine="460"/>
        <w:jc w:val="left"/>
        <w:rPr>
          <w:rFonts w:hint="default" w:asciiTheme="minorEastAsia" w:hAnsiTheme="minorEastAsia" w:eastAsiaTheme="minorEastAsia"/>
          <w:sz w:val="23"/>
          <w:szCs w:val="23"/>
        </w:rPr>
      </w:pPr>
      <w:r>
        <w:rPr>
          <w:rFonts w:asciiTheme="minorEastAsia" w:hAnsiTheme="minorEastAsia" w:eastAsiaTheme="minorEastAsia"/>
          <w:sz w:val="23"/>
          <w:szCs w:val="23"/>
        </w:rPr>
        <w:t>申请日期：</w:t>
      </w:r>
      <w:r>
        <w:rPr>
          <w:rFonts w:asciiTheme="minorEastAsia" w:hAnsiTheme="minorEastAsia" w:eastAsiaTheme="minorEastAsia"/>
          <w:b/>
          <w:color w:val="0000FF"/>
          <w:sz w:val="23"/>
          <w:szCs w:val="23"/>
        </w:rPr>
        <w:t>XXXX</w:t>
      </w:r>
      <w:r>
        <w:rPr>
          <w:rFonts w:asciiTheme="minorEastAsia" w:hAnsiTheme="minorEastAsia" w:eastAsiaTheme="minorEastAsia"/>
          <w:sz w:val="23"/>
          <w:szCs w:val="23"/>
        </w:rPr>
        <w:t>年</w:t>
      </w:r>
      <w:r>
        <w:rPr>
          <w:rFonts w:asciiTheme="minorEastAsia" w:hAnsiTheme="minorEastAsia" w:eastAsiaTheme="minorEastAsia"/>
          <w:b/>
          <w:color w:val="0000FF"/>
          <w:sz w:val="23"/>
          <w:szCs w:val="23"/>
        </w:rPr>
        <w:t>XX</w:t>
      </w:r>
      <w:r>
        <w:rPr>
          <w:rFonts w:asciiTheme="minorEastAsia" w:hAnsiTheme="minorEastAsia" w:eastAsiaTheme="minorEastAsia"/>
          <w:sz w:val="23"/>
          <w:szCs w:val="23"/>
        </w:rPr>
        <w:t>月</w:t>
      </w:r>
      <w:r>
        <w:rPr>
          <w:rFonts w:asciiTheme="minorEastAsia" w:hAnsiTheme="minorEastAsia" w:eastAsiaTheme="minorEastAsia"/>
          <w:b/>
          <w:color w:val="0000FF"/>
          <w:sz w:val="23"/>
          <w:szCs w:val="23"/>
        </w:rPr>
        <w:t>XX</w:t>
      </w:r>
      <w:r>
        <w:rPr>
          <w:rFonts w:asciiTheme="minorEastAsia" w:hAnsiTheme="minorEastAsia" w:eastAsiaTheme="minorEastAsia"/>
          <w:sz w:val="23"/>
          <w:szCs w:val="23"/>
        </w:rPr>
        <w:t>日</w:t>
      </w:r>
    </w:p>
    <w:tbl>
      <w:tblPr>
        <w:tblStyle w:val="18"/>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819"/>
        <w:gridCol w:w="1655"/>
        <w:gridCol w:w="1655"/>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77" w:type="dxa"/>
            <w:vMerge w:val="restart"/>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请</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人</w:t>
            </w:r>
          </w:p>
        </w:tc>
        <w:tc>
          <w:tcPr>
            <w:tcW w:w="1819"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申请人名称</w:t>
            </w:r>
          </w:p>
        </w:tc>
        <w:tc>
          <w:tcPr>
            <w:tcW w:w="6288" w:type="dxa"/>
            <w:gridSpan w:val="3"/>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b/>
                <w:bCs/>
                <w:color w:val="0000FF"/>
                <w:sz w:val="21"/>
              </w:rPr>
              <w:t>XX</w:t>
            </w:r>
            <w:r>
              <w:rPr>
                <w:rFonts w:hint="default" w:asciiTheme="minorEastAsia" w:hAnsiTheme="minorEastAsia" w:eastAsiaTheme="minorEastAsia"/>
                <w:b/>
                <w:bCs/>
                <w:color w:val="0000FF"/>
                <w:sz w:val="21"/>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4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统一社会信用代码（纳税人识别号）</w:t>
            </w:r>
          </w:p>
        </w:tc>
        <w:tc>
          <w:tcPr>
            <w:tcW w:w="6288" w:type="dxa"/>
            <w:gridSpan w:val="3"/>
            <w:vAlign w:val="center"/>
          </w:tcPr>
          <w:p>
            <w:pPr>
              <w:ind w:firstLine="0" w:firstLineChars="0"/>
              <w:jc w:val="center"/>
              <w:rPr>
                <w:rFonts w:hint="default" w:asciiTheme="minorEastAsia" w:hAnsiTheme="minorEastAsia" w:eastAsiaTheme="minorEastAsia"/>
                <w:color w:val="0000FF"/>
                <w:sz w:val="23"/>
                <w:szCs w:val="23"/>
              </w:rPr>
            </w:pPr>
            <w:r>
              <w:rPr>
                <w:rFonts w:asciiTheme="minorEastAsia" w:hAnsiTheme="minorEastAsia" w:eastAsiaTheme="minorEastAsia"/>
                <w:b/>
                <w:color w:val="0000FF"/>
                <w:sz w:val="23"/>
                <w:szCs w:val="23"/>
              </w:rPr>
              <w:t>XXXXXXXXXXXXXXXXXX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法定代表人</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（负责人）</w:t>
            </w:r>
          </w:p>
        </w:tc>
        <w:tc>
          <w:tcPr>
            <w:tcW w:w="6288" w:type="dxa"/>
            <w:gridSpan w:val="3"/>
            <w:vAlign w:val="center"/>
          </w:tcPr>
          <w:p>
            <w:pPr>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某某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地址及邮政编码</w:t>
            </w:r>
          </w:p>
        </w:tc>
        <w:tc>
          <w:tcPr>
            <w:tcW w:w="6288" w:type="dxa"/>
            <w:gridSpan w:val="3"/>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XX省XX市XX区（县）XX路XX号XXXXXX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经办人</w:t>
            </w:r>
          </w:p>
        </w:tc>
        <w:tc>
          <w:tcPr>
            <w:tcW w:w="1655" w:type="dxa"/>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某某</w:t>
            </w:r>
          </w:p>
        </w:tc>
        <w:tc>
          <w:tcPr>
            <w:tcW w:w="1655"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身份证件号码</w:t>
            </w:r>
          </w:p>
        </w:tc>
        <w:tc>
          <w:tcPr>
            <w:tcW w:w="2978" w:type="dxa"/>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X</w:t>
            </w:r>
            <w:r>
              <w:rPr>
                <w:rFonts w:hint="default" w:asciiTheme="minorEastAsia" w:hAnsiTheme="minorEastAsia" w:eastAsiaTheme="minorEastAsia"/>
                <w:b/>
                <w:color w:val="0000FF"/>
                <w:sz w:val="23"/>
                <w:szCs w:val="23"/>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联系电话</w:t>
            </w:r>
          </w:p>
        </w:tc>
        <w:tc>
          <w:tcPr>
            <w:tcW w:w="1655" w:type="dxa"/>
            <w:vAlign w:val="center"/>
          </w:tcPr>
          <w:p>
            <w:pPr>
              <w:spacing w:line="500" w:lineRule="exact"/>
              <w:ind w:firstLine="0" w:firstLineChars="0"/>
              <w:jc w:val="center"/>
              <w:rPr>
                <w:rFonts w:hint="default" w:asciiTheme="minorEastAsia" w:hAnsiTheme="minorEastAsia" w:eastAsiaTheme="minorEastAsia"/>
                <w:b/>
                <w:color w:val="0000FF"/>
                <w:sz w:val="21"/>
                <w:szCs w:val="21"/>
              </w:rPr>
            </w:pPr>
            <w:r>
              <w:rPr>
                <w:rFonts w:asciiTheme="minorEastAsia" w:hAnsiTheme="minorEastAsia" w:eastAsiaTheme="minorEastAsia"/>
                <w:b/>
                <w:color w:val="0000FF"/>
                <w:sz w:val="21"/>
                <w:szCs w:val="21"/>
              </w:rPr>
              <w:t>XXXX</w:t>
            </w:r>
            <w:r>
              <w:rPr>
                <w:rFonts w:hint="default" w:asciiTheme="minorEastAsia" w:hAnsiTheme="minorEastAsia" w:eastAsiaTheme="minorEastAsia"/>
                <w:b/>
                <w:color w:val="0000FF"/>
                <w:sz w:val="21"/>
                <w:szCs w:val="21"/>
              </w:rPr>
              <w:t>XXXXXXX</w:t>
            </w: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联系地址</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r>
              <w:rPr>
                <w:rFonts w:asciiTheme="minorEastAsia" w:hAnsiTheme="minorEastAsia" w:eastAsiaTheme="minorEastAsia"/>
                <w:b/>
                <w:color w:val="0000FF"/>
                <w:sz w:val="18"/>
                <w:szCs w:val="18"/>
              </w:rPr>
              <w:t>XX省XX市XX区（县）XX路XX号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委托代理人</w:t>
            </w:r>
          </w:p>
        </w:tc>
        <w:tc>
          <w:tcPr>
            <w:tcW w:w="1655" w:type="dxa"/>
            <w:vAlign w:val="center"/>
          </w:tcPr>
          <w:p>
            <w:pPr>
              <w:spacing w:line="500" w:lineRule="exact"/>
              <w:ind w:firstLine="0" w:firstLineChars="0"/>
              <w:jc w:val="center"/>
              <w:rPr>
                <w:rFonts w:hint="default" w:asciiTheme="minorEastAsia" w:hAnsiTheme="minorEastAsia" w:eastAsiaTheme="minorEastAsia"/>
                <w:color w:val="0000FF"/>
                <w:sz w:val="23"/>
                <w:szCs w:val="23"/>
              </w:rPr>
            </w:pP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身份证件号码</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联系电话</w:t>
            </w:r>
          </w:p>
        </w:tc>
        <w:tc>
          <w:tcPr>
            <w:tcW w:w="1655" w:type="dxa"/>
            <w:vAlign w:val="center"/>
          </w:tcPr>
          <w:p>
            <w:pPr>
              <w:spacing w:line="500" w:lineRule="exact"/>
              <w:ind w:firstLine="0" w:firstLineChars="0"/>
              <w:jc w:val="center"/>
              <w:rPr>
                <w:rFonts w:hint="default" w:asciiTheme="minorEastAsia" w:hAnsiTheme="minorEastAsia" w:eastAsiaTheme="minorEastAsia"/>
                <w:color w:val="0000FF"/>
                <w:sz w:val="23"/>
                <w:szCs w:val="23"/>
              </w:rPr>
            </w:pP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联系地址</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577"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请</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事</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项</w:t>
            </w:r>
          </w:p>
        </w:tc>
        <w:tc>
          <w:tcPr>
            <w:tcW w:w="8107" w:type="dxa"/>
            <w:gridSpan w:val="4"/>
            <w:vAlign w:val="center"/>
          </w:tcPr>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□企业印制发票审批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对纳税人延期申报的核准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□对纳税人延期缴纳税款的核准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□增值税专用发票（增值税税控系统）最高开票限额审批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□对纳税人变更纳税定额的核准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□对采取实际利润额预缴以外的其他企业所得税预缴方式的核定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577"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申请材料</w:t>
            </w:r>
          </w:p>
        </w:tc>
        <w:tc>
          <w:tcPr>
            <w:tcW w:w="8107" w:type="dxa"/>
            <w:gridSpan w:val="4"/>
            <w:vAlign w:val="center"/>
          </w:tcPr>
          <w:p>
            <w:pPr>
              <w:spacing w:line="36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除提供经办人身份证件（□）外，应根据申请事项提供以下相应材料：</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一、企业印制发票审批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□1.《印刷经营许可证》或《其他印刷品印制许可证》</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□2.生产设备、生产流程及安全管理制度</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□3.生产工艺及产品检验制度</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□4.保存、运输及交付相关制度</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二、对纳税人延期缴纳税款的核准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□1.《延期缴纳税款申请审批表》</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2.纳税人申请延期缴纳税款报告（详细说明申请延期原因，人员工资、社会保险费支出情况，连续3个月缴纳税款情况。因不可抗力，导致纳税人发生较大损失，正常生产经营活动受到较大影响的，在报告中对不可抗力情况进行说明并承诺：“以上情况属实，特此承诺。”）</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□3.当期货币资金余额情况及所有银行存款账户的对账单</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□4.应付职工工资和社会保险费等省税务机关要求提供的支出预算</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□5.《资产负债表》</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三、对纳税人延期申报的核准</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1.《延期申报申请核准表》</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2.确有困难不能正常申报的情况说明</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四、对纳税人变更纳税定额的核准</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□申请变更纳税定额的相关证明材料</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五、增值税专用发票（增值税税控系统）最高开票限额审批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□增值税专用发票最高开票限额申请单</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六、对采取实际利润额预缴以外的其他企业所得税预缴方式的核定</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□按照月度或者季度的实际利润额预缴确有困难的证明材料</w:t>
            </w:r>
          </w:p>
          <w:p>
            <w:pPr>
              <w:spacing w:line="400" w:lineRule="exact"/>
              <w:ind w:firstLine="0" w:firstLineChars="0"/>
              <w:rPr>
                <w:rFonts w:hint="default" w:asciiTheme="minorEastAsia" w:hAnsiTheme="minorEastAsia" w:eastAsiaTheme="minorEastAsia"/>
                <w:sz w:val="23"/>
                <w:szCs w:val="23"/>
              </w:rPr>
            </w:pPr>
          </w:p>
          <w:p>
            <w:pPr>
              <w:spacing w:line="36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委托代理人提出申请的，还应当提供代理委托书（□）、代理人身份证件（□）。</w:t>
            </w:r>
          </w:p>
        </w:tc>
      </w:tr>
    </w:tbl>
    <w:p>
      <w:pPr>
        <w:ind w:firstLine="0" w:firstLineChars="0"/>
        <w:rPr>
          <w:rFonts w:hint="default" w:asciiTheme="minorEastAsia" w:hAnsiTheme="minorEastAsia" w:eastAsiaTheme="minorEastAsia"/>
        </w:rPr>
      </w:pPr>
      <w:r>
        <w:rPr>
          <w:rFonts w:asciiTheme="minorEastAsia" w:hAnsiTheme="minorEastAsia" w:eastAsiaTheme="minorEastAsia"/>
        </w:rPr>
        <w:t xml:space="preserve">收件人：             收件日期：   年   月   日 </w:t>
      </w:r>
      <w:r>
        <w:rPr>
          <w:rFonts w:hint="default" w:asciiTheme="minorEastAsia" w:hAnsiTheme="minorEastAsia" w:eastAsiaTheme="minorEastAsia"/>
        </w:rPr>
        <w:t xml:space="preserve">        </w:t>
      </w:r>
      <w:r>
        <w:rPr>
          <w:rFonts w:asciiTheme="minorEastAsia" w:hAnsiTheme="minorEastAsia" w:eastAsiaTheme="minorEastAsia"/>
        </w:rPr>
        <w:t>编号：</w:t>
      </w:r>
    </w:p>
    <w:p>
      <w:pPr>
        <w:ind w:firstLine="420"/>
        <w:rPr>
          <w:rFonts w:hint="default" w:ascii="Calibri" w:hAnsi="Calibri"/>
          <w:sz w:val="21"/>
          <w:szCs w:val="21"/>
        </w:rPr>
      </w:pPr>
    </w:p>
    <w:p>
      <w:pPr>
        <w:pStyle w:val="55"/>
        <w:jc w:val="center"/>
        <w:rPr>
          <w:rFonts w:ascii="宋体" w:hAnsi="宋体"/>
          <w:b/>
          <w:sz w:val="36"/>
          <w:szCs w:val="36"/>
        </w:rPr>
      </w:pPr>
      <w:r>
        <w:rPr>
          <w:szCs w:val="21"/>
        </w:rPr>
        <w:br w:type="page"/>
      </w:r>
      <w:r>
        <w:rPr>
          <w:rFonts w:hint="eastAsia" w:ascii="宋体" w:hAnsi="宋体"/>
          <w:b/>
          <w:spacing w:val="20"/>
          <w:sz w:val="36"/>
          <w:szCs w:val="36"/>
        </w:rPr>
        <w:t>延期申报申请核准表</w:t>
      </w:r>
    </w:p>
    <w:tbl>
      <w:tblPr>
        <w:tblStyle w:val="18"/>
        <w:tblW w:w="83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39"/>
        <w:gridCol w:w="112"/>
        <w:gridCol w:w="796"/>
        <w:gridCol w:w="490"/>
        <w:gridCol w:w="436"/>
        <w:gridCol w:w="1066"/>
        <w:gridCol w:w="1037"/>
        <w:gridCol w:w="855"/>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751"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纳税人识别号</w:t>
            </w:r>
          </w:p>
        </w:tc>
        <w:tc>
          <w:tcPr>
            <w:tcW w:w="1722" w:type="dxa"/>
            <w:gridSpan w:val="3"/>
            <w:tcMar>
              <w:top w:w="0" w:type="dxa"/>
              <w:left w:w="108" w:type="dxa"/>
              <w:bottom w:w="0" w:type="dxa"/>
              <w:right w:w="108" w:type="dxa"/>
            </w:tcMar>
            <w:vAlign w:val="center"/>
          </w:tcPr>
          <w:p>
            <w:pPr>
              <w:ind w:firstLine="0" w:firstLineChars="0"/>
              <w:jc w:val="center"/>
              <w:rPr>
                <w:rFonts w:hint="default" w:cs="Arial" w:asciiTheme="minorEastAsia" w:hAnsiTheme="minorEastAsia" w:eastAsiaTheme="minorEastAsia"/>
                <w:b/>
                <w:color w:val="0000FF"/>
              </w:rPr>
            </w:pPr>
            <w:r>
              <w:rPr>
                <w:rFonts w:cs="Arial" w:asciiTheme="minorEastAsia" w:hAnsiTheme="minorEastAsia" w:eastAsiaTheme="minorEastAsia"/>
                <w:b/>
                <w:color w:val="0000FF"/>
              </w:rPr>
              <w:t>税务登记证号</w:t>
            </w:r>
          </w:p>
          <w:p>
            <w:pPr>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（统一社会信用代码）</w:t>
            </w:r>
          </w:p>
        </w:tc>
        <w:tc>
          <w:tcPr>
            <w:tcW w:w="2958"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纳税人（扣缴义务人）名称</w:t>
            </w:r>
          </w:p>
        </w:tc>
        <w:tc>
          <w:tcPr>
            <w:tcW w:w="19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b/>
                <w:bCs/>
                <w:color w:val="0000FF"/>
              </w:rPr>
              <w:t>XX</w:t>
            </w:r>
            <w:r>
              <w:rPr>
                <w:rFonts w:hint="default" w:asciiTheme="minorEastAsia" w:hAnsiTheme="minorEastAsia" w:eastAsiaTheme="minorEastAsia"/>
                <w:b/>
                <w:bCs/>
                <w:color w:val="0000FF"/>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751"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申请延期申报税种</w:t>
            </w:r>
          </w:p>
        </w:tc>
        <w:tc>
          <w:tcPr>
            <w:tcW w:w="1722"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税款所属时期</w:t>
            </w:r>
          </w:p>
        </w:tc>
        <w:tc>
          <w:tcPr>
            <w:tcW w:w="2958"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规定申报期限</w:t>
            </w:r>
          </w:p>
        </w:tc>
        <w:tc>
          <w:tcPr>
            <w:tcW w:w="19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申请延期申报的期限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751"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XX税</w:t>
            </w:r>
          </w:p>
        </w:tc>
        <w:tc>
          <w:tcPr>
            <w:tcW w:w="1722"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bCs/>
                <w:color w:val="0000FF"/>
              </w:rPr>
            </w:pPr>
            <w:r>
              <w:rPr>
                <w:rFonts w:asciiTheme="minorEastAsia" w:hAnsiTheme="minorEastAsia" w:eastAsiaTheme="minorEastAsia"/>
                <w:b/>
                <w:bCs/>
                <w:color w:val="0000FF"/>
              </w:rPr>
              <w:t>XXXX年XX月XX日至XXXX年XX月XX日</w:t>
            </w:r>
          </w:p>
        </w:tc>
        <w:tc>
          <w:tcPr>
            <w:tcW w:w="2958"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bCs/>
                <w:color w:val="0000FF"/>
              </w:rPr>
            </w:pPr>
            <w:r>
              <w:rPr>
                <w:rFonts w:asciiTheme="minorEastAsia" w:hAnsiTheme="minorEastAsia" w:eastAsiaTheme="minorEastAsia"/>
                <w:b/>
                <w:bCs/>
                <w:color w:val="0000FF"/>
              </w:rPr>
              <w:t>XXXX年XX月XX日</w:t>
            </w:r>
          </w:p>
        </w:tc>
        <w:tc>
          <w:tcPr>
            <w:tcW w:w="19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bCs/>
                <w:color w:val="0000FF"/>
              </w:rPr>
            </w:pPr>
            <w:r>
              <w:rPr>
                <w:rFonts w:asciiTheme="minorEastAsia" w:hAnsiTheme="minorEastAsia" w:eastAsiaTheme="minorEastAsia"/>
                <w:b/>
                <w:bCs/>
                <w:color w:val="0000FF"/>
              </w:rPr>
              <w:t>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751"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color w:val="0000FF"/>
              </w:rPr>
              <w:t>XX税</w:t>
            </w:r>
          </w:p>
        </w:tc>
        <w:tc>
          <w:tcPr>
            <w:tcW w:w="1722"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XXXX年XX月XX日至XXXX年XX月XX日</w:t>
            </w:r>
          </w:p>
        </w:tc>
        <w:tc>
          <w:tcPr>
            <w:tcW w:w="2958"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bCs/>
                <w:color w:val="0000FF"/>
              </w:rPr>
            </w:pPr>
            <w:r>
              <w:rPr>
                <w:rFonts w:asciiTheme="minorEastAsia" w:hAnsiTheme="minorEastAsia" w:eastAsiaTheme="minorEastAsia"/>
                <w:b/>
                <w:bCs/>
                <w:color w:val="0000FF"/>
              </w:rPr>
              <w:t>XXXX年XX月XX日</w:t>
            </w:r>
          </w:p>
        </w:tc>
        <w:tc>
          <w:tcPr>
            <w:tcW w:w="19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bCs/>
                <w:color w:val="0000FF"/>
              </w:rPr>
            </w:pPr>
            <w:r>
              <w:rPr>
                <w:rFonts w:asciiTheme="minorEastAsia" w:hAnsiTheme="minorEastAsia" w:eastAsiaTheme="minorEastAsia"/>
                <w:b/>
                <w:bCs/>
                <w:color w:val="0000FF"/>
              </w:rPr>
              <w:t>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751" w:type="dxa"/>
            <w:gridSpan w:val="2"/>
            <w:tcMar>
              <w:top w:w="0" w:type="dxa"/>
              <w:left w:w="108" w:type="dxa"/>
              <w:bottom w:w="0" w:type="dxa"/>
              <w:right w:w="108" w:type="dxa"/>
            </w:tcMar>
          </w:tcPr>
          <w:p>
            <w:pPr>
              <w:ind w:firstLine="0" w:firstLineChars="0"/>
              <w:jc w:val="center"/>
              <w:rPr>
                <w:rFonts w:hint="default" w:asciiTheme="minorEastAsia" w:hAnsiTheme="minorEastAsia" w:eastAsiaTheme="minorEastAsia"/>
              </w:rPr>
            </w:pPr>
          </w:p>
        </w:tc>
        <w:tc>
          <w:tcPr>
            <w:tcW w:w="1722" w:type="dxa"/>
            <w:gridSpan w:val="3"/>
            <w:tcMar>
              <w:top w:w="0" w:type="dxa"/>
              <w:left w:w="108" w:type="dxa"/>
              <w:bottom w:w="0" w:type="dxa"/>
              <w:right w:w="108" w:type="dxa"/>
            </w:tcMar>
          </w:tcPr>
          <w:p>
            <w:pPr>
              <w:ind w:firstLine="0" w:firstLineChars="0"/>
              <w:jc w:val="center"/>
              <w:rPr>
                <w:rFonts w:hint="default" w:asciiTheme="minorEastAsia" w:hAnsiTheme="minorEastAsia" w:eastAsiaTheme="minorEastAsia"/>
              </w:rPr>
            </w:pPr>
          </w:p>
        </w:tc>
        <w:tc>
          <w:tcPr>
            <w:tcW w:w="2958" w:type="dxa"/>
            <w:gridSpan w:val="3"/>
            <w:tcMar>
              <w:top w:w="0" w:type="dxa"/>
              <w:left w:w="108" w:type="dxa"/>
              <w:bottom w:w="0" w:type="dxa"/>
              <w:right w:w="108" w:type="dxa"/>
            </w:tcMar>
          </w:tcPr>
          <w:p>
            <w:pPr>
              <w:ind w:firstLine="0" w:firstLineChars="0"/>
              <w:jc w:val="center"/>
              <w:rPr>
                <w:rFonts w:hint="default" w:asciiTheme="minorEastAsia" w:hAnsiTheme="minorEastAsia" w:eastAsiaTheme="minorEastAsia"/>
              </w:rPr>
            </w:pPr>
          </w:p>
        </w:tc>
        <w:tc>
          <w:tcPr>
            <w:tcW w:w="1956" w:type="dxa"/>
            <w:tcMar>
              <w:top w:w="0" w:type="dxa"/>
              <w:left w:w="108" w:type="dxa"/>
              <w:bottom w:w="0" w:type="dxa"/>
              <w:right w:w="108" w:type="dxa"/>
            </w:tcMar>
          </w:tcPr>
          <w:p>
            <w:pPr>
              <w:ind w:firstLine="0" w:firstLineChars="0"/>
              <w:jc w:val="center"/>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1751" w:type="dxa"/>
            <w:gridSpan w:val="2"/>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722" w:type="dxa"/>
            <w:gridSpan w:val="3"/>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2958" w:type="dxa"/>
            <w:gridSpan w:val="3"/>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956" w:type="dxa"/>
            <w:tcMar>
              <w:top w:w="0" w:type="dxa"/>
              <w:left w:w="108" w:type="dxa"/>
              <w:bottom w:w="0" w:type="dxa"/>
              <w:right w:w="108" w:type="dxa"/>
            </w:tcMar>
          </w:tcPr>
          <w:p>
            <w:pPr>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8387" w:type="dxa"/>
            <w:gridSpan w:val="9"/>
            <w:tcMar>
              <w:top w:w="0" w:type="dxa"/>
              <w:left w:w="108" w:type="dxa"/>
              <w:bottom w:w="0" w:type="dxa"/>
              <w:right w:w="108" w:type="dxa"/>
            </w:tcMar>
          </w:tcPr>
          <w:p>
            <w:pPr>
              <w:ind w:firstLine="0" w:firstLineChars="0"/>
              <w:rPr>
                <w:rFonts w:hint="default" w:asciiTheme="minorEastAsia" w:hAnsiTheme="minorEastAsia" w:eastAsiaTheme="minorEastAsia"/>
              </w:rPr>
            </w:pPr>
            <w:r>
              <w:rPr>
                <w:rFonts w:asciiTheme="minorEastAsia" w:hAnsiTheme="minorEastAsia" w:eastAsiaTheme="minorEastAsia"/>
              </w:rPr>
              <w:t>申请延期申报的理由：</w:t>
            </w:r>
          </w:p>
          <w:p>
            <w:pPr>
              <w:ind w:firstLine="482"/>
              <w:rPr>
                <w:rFonts w:hint="default" w:asciiTheme="minorEastAsia" w:hAnsiTheme="minorEastAsia" w:eastAsiaTheme="minorEastAsia"/>
                <w:b/>
                <w:color w:val="0000FF"/>
              </w:rPr>
            </w:pPr>
            <w:r>
              <w:rPr>
                <w:rFonts w:asciiTheme="minorEastAsia" w:hAnsiTheme="minorEastAsia" w:eastAsiaTheme="minorEastAsia"/>
                <w:b/>
                <w:color w:val="0000FF"/>
              </w:rPr>
              <w:t>依据《中华人民共和国税收征收管理法》（中华人民共和国主席令第四十九号）第二十七条提出申请。</w:t>
            </w:r>
          </w:p>
          <w:p>
            <w:pPr>
              <w:ind w:firstLine="0" w:firstLineChars="0"/>
              <w:rPr>
                <w:rFonts w:hint="default" w:asciiTheme="minorEastAsia" w:hAnsiTheme="minorEastAsia" w:eastAsiaTheme="minorEastAsia"/>
              </w:rPr>
            </w:pPr>
            <w:r>
              <w:rPr>
                <w:rFonts w:asciiTheme="minorEastAsia" w:hAnsiTheme="minorEastAsia" w:eastAsiaTheme="minorEastAsia"/>
              </w:rPr>
              <w:drawing>
                <wp:anchor distT="0" distB="0" distL="114300" distR="114300" simplePos="0" relativeHeight="251646976" behindDoc="0" locked="0" layoutInCell="1" allowOverlap="1">
                  <wp:simplePos x="0" y="0"/>
                  <wp:positionH relativeFrom="column">
                    <wp:posOffset>3808730</wp:posOffset>
                  </wp:positionH>
                  <wp:positionV relativeFrom="paragraph">
                    <wp:posOffset>73660</wp:posOffset>
                  </wp:positionV>
                  <wp:extent cx="1143000" cy="1066800"/>
                  <wp:effectExtent l="0" t="0" r="0" b="0"/>
                  <wp:wrapNone/>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noChangeArrowheads="1"/>
                          </pic:cNvPicPr>
                        </pic:nvPicPr>
                        <pic:blipFill>
                          <a:blip r:embed="rId14"/>
                          <a:srcRect/>
                          <a:stretch>
                            <a:fillRect/>
                          </a:stretch>
                        </pic:blipFill>
                        <pic:spPr>
                          <a:xfrm>
                            <a:off x="0" y="0"/>
                            <a:ext cx="1143000" cy="1066800"/>
                          </a:xfrm>
                          <a:prstGeom prst="rect">
                            <a:avLst/>
                          </a:prstGeom>
                          <a:noFill/>
                          <a:ln w="9525">
                            <a:noFill/>
                            <a:miter lim="800000"/>
                            <a:headEnd/>
                            <a:tailEnd/>
                          </a:ln>
                        </pic:spPr>
                      </pic:pic>
                    </a:graphicData>
                  </a:graphic>
                </wp:anchor>
              </w:drawing>
            </w:r>
          </w:p>
          <w:p>
            <w:pPr>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2547" w:type="dxa"/>
            <w:gridSpan w:val="3"/>
            <w:tcMar>
              <w:top w:w="0" w:type="dxa"/>
              <w:left w:w="108" w:type="dxa"/>
              <w:bottom w:w="0" w:type="dxa"/>
              <w:right w:w="108" w:type="dxa"/>
            </w:tcMar>
          </w:tcPr>
          <w:p>
            <w:pPr>
              <w:ind w:firstLine="0" w:firstLineChars="0"/>
              <w:rPr>
                <w:rFonts w:hint="default" w:asciiTheme="minorEastAsia" w:hAnsiTheme="minorEastAsia" w:eastAsiaTheme="minorEastAsia"/>
              </w:rPr>
            </w:pPr>
            <w:r>
              <w:rPr>
                <w:rFonts w:asciiTheme="minorEastAsia" w:hAnsiTheme="minorEastAsia" w:eastAsiaTheme="minorEastAsia"/>
              </w:rPr>
              <w:t>经办人：</w:t>
            </w:r>
            <w:r>
              <w:rPr>
                <w:rFonts w:asciiTheme="minorEastAsia" w:hAnsiTheme="minorEastAsia" w:eastAsiaTheme="minorEastAsia"/>
                <w:b/>
                <w:color w:val="0000FF"/>
              </w:rPr>
              <w:t>某某</w:t>
            </w:r>
          </w:p>
        </w:tc>
        <w:tc>
          <w:tcPr>
            <w:tcW w:w="3029" w:type="dxa"/>
            <w:gridSpan w:val="4"/>
          </w:tcPr>
          <w:p>
            <w:pPr>
              <w:ind w:firstLine="0" w:firstLineChars="0"/>
              <w:rPr>
                <w:rFonts w:hint="default" w:asciiTheme="minorEastAsia" w:hAnsiTheme="minorEastAsia" w:eastAsiaTheme="minorEastAsia"/>
              </w:rPr>
            </w:pPr>
            <w:r>
              <w:rPr>
                <w:rFonts w:asciiTheme="minorEastAsia" w:hAnsiTheme="minorEastAsia" w:eastAsiaTheme="minorEastAsia"/>
              </w:rPr>
              <w:t>法定代表人（负责人）：</w:t>
            </w:r>
            <w:r>
              <w:rPr>
                <w:rFonts w:asciiTheme="minorEastAsia" w:hAnsiTheme="minorEastAsia" w:eastAsiaTheme="minorEastAsia"/>
                <w:b/>
                <w:color w:val="0000FF"/>
              </w:rPr>
              <w:t>某某</w:t>
            </w:r>
          </w:p>
        </w:tc>
        <w:tc>
          <w:tcPr>
            <w:tcW w:w="2811" w:type="dxa"/>
            <w:gridSpan w:val="2"/>
          </w:tcPr>
          <w:p>
            <w:pPr>
              <w:ind w:firstLine="0" w:firstLineChars="0"/>
              <w:rPr>
                <w:rFonts w:hint="default" w:asciiTheme="minorEastAsia" w:hAnsiTheme="minorEastAsia" w:eastAsiaTheme="minorEastAsia"/>
              </w:rPr>
            </w:pPr>
            <w:r>
              <w:rPr>
                <w:rFonts w:asciiTheme="minorEastAsia" w:hAnsiTheme="minorEastAsia" w:eastAsiaTheme="minorEastAsia"/>
              </w:rPr>
              <w:t>纳税人（签章）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2547" w:type="dxa"/>
            <w:gridSpan w:val="3"/>
            <w:tcMar>
              <w:top w:w="0" w:type="dxa"/>
              <w:left w:w="108" w:type="dxa"/>
              <w:bottom w:w="0" w:type="dxa"/>
              <w:right w:w="108" w:type="dxa"/>
            </w:tcMar>
          </w:tcPr>
          <w:p>
            <w:pPr>
              <w:ind w:right="241" w:firstLine="0" w:firstLineChars="0"/>
              <w:rPr>
                <w:rFonts w:hint="default" w:asciiTheme="minorEastAsia" w:hAnsiTheme="minorEastAsia" w:eastAsiaTheme="minorEastAsia"/>
              </w:rPr>
            </w:pPr>
            <w:r>
              <w:rPr>
                <w:rFonts w:asciiTheme="minorEastAsia" w:hAnsiTheme="minorEastAsia" w:eastAsiaTheme="minorEastAsia"/>
                <w:b/>
                <w:bCs/>
                <w:color w:val="0000FF"/>
              </w:rPr>
              <w:t>XXXX</w:t>
            </w:r>
            <w:r>
              <w:rPr>
                <w:rFonts w:asciiTheme="minorEastAsia" w:hAnsiTheme="minorEastAsia" w:eastAsiaTheme="minorEastAsia"/>
              </w:rPr>
              <w:t>年</w:t>
            </w:r>
            <w:r>
              <w:rPr>
                <w:rFonts w:asciiTheme="minorEastAsia" w:hAnsiTheme="minorEastAsia" w:eastAsiaTheme="minorEastAsia"/>
                <w:b/>
                <w:bCs/>
                <w:color w:val="0000FF"/>
              </w:rPr>
              <w:t>XX</w:t>
            </w:r>
            <w:r>
              <w:rPr>
                <w:rFonts w:asciiTheme="minorEastAsia" w:hAnsiTheme="minorEastAsia" w:eastAsiaTheme="minorEastAsia"/>
              </w:rPr>
              <w:t>月</w:t>
            </w:r>
            <w:r>
              <w:rPr>
                <w:rFonts w:asciiTheme="minorEastAsia" w:hAnsiTheme="minorEastAsia" w:eastAsiaTheme="minorEastAsia"/>
                <w:b/>
                <w:bCs/>
                <w:color w:val="0000FF"/>
              </w:rPr>
              <w:t>XX</w:t>
            </w:r>
            <w:r>
              <w:rPr>
                <w:rFonts w:asciiTheme="minorEastAsia" w:hAnsiTheme="minorEastAsia" w:eastAsiaTheme="minorEastAsia"/>
              </w:rPr>
              <w:t>日</w:t>
            </w:r>
          </w:p>
        </w:tc>
        <w:tc>
          <w:tcPr>
            <w:tcW w:w="3029" w:type="dxa"/>
            <w:gridSpan w:val="4"/>
          </w:tcPr>
          <w:p>
            <w:pPr>
              <w:ind w:right="241" w:firstLine="0" w:firstLineChars="0"/>
              <w:jc w:val="center"/>
              <w:rPr>
                <w:rFonts w:hint="default" w:asciiTheme="minorEastAsia" w:hAnsiTheme="minorEastAsia" w:eastAsiaTheme="minorEastAsia"/>
              </w:rPr>
            </w:pPr>
            <w:r>
              <w:rPr>
                <w:rFonts w:asciiTheme="minorEastAsia" w:hAnsiTheme="minorEastAsia" w:eastAsiaTheme="minorEastAsia"/>
                <w:b/>
                <w:bCs/>
                <w:color w:val="0000FF"/>
              </w:rPr>
              <w:t>XXXX</w:t>
            </w:r>
            <w:r>
              <w:rPr>
                <w:rFonts w:asciiTheme="minorEastAsia" w:hAnsiTheme="minorEastAsia" w:eastAsiaTheme="minorEastAsia"/>
              </w:rPr>
              <w:t>年</w:t>
            </w:r>
            <w:r>
              <w:rPr>
                <w:rFonts w:asciiTheme="minorEastAsia" w:hAnsiTheme="minorEastAsia" w:eastAsiaTheme="minorEastAsia"/>
                <w:b/>
                <w:bCs/>
                <w:color w:val="0000FF"/>
              </w:rPr>
              <w:t>XX</w:t>
            </w:r>
            <w:r>
              <w:rPr>
                <w:rFonts w:asciiTheme="minorEastAsia" w:hAnsiTheme="minorEastAsia" w:eastAsiaTheme="minorEastAsia"/>
              </w:rPr>
              <w:t>月</w:t>
            </w:r>
            <w:r>
              <w:rPr>
                <w:rFonts w:asciiTheme="minorEastAsia" w:hAnsiTheme="minorEastAsia" w:eastAsiaTheme="minorEastAsia"/>
                <w:b/>
                <w:bCs/>
                <w:color w:val="0000FF"/>
              </w:rPr>
              <w:t>XX</w:t>
            </w:r>
            <w:r>
              <w:rPr>
                <w:rFonts w:asciiTheme="minorEastAsia" w:hAnsiTheme="minorEastAsia" w:eastAsiaTheme="minorEastAsia"/>
              </w:rPr>
              <w:t>日</w:t>
            </w:r>
          </w:p>
        </w:tc>
        <w:tc>
          <w:tcPr>
            <w:tcW w:w="2811" w:type="dxa"/>
            <w:gridSpan w:val="2"/>
          </w:tcPr>
          <w:p>
            <w:pPr>
              <w:ind w:right="241" w:firstLine="0" w:firstLineChars="0"/>
              <w:jc w:val="center"/>
              <w:rPr>
                <w:rFonts w:hint="default" w:asciiTheme="minorEastAsia" w:hAnsiTheme="minorEastAsia" w:eastAsiaTheme="minorEastAsia"/>
              </w:rPr>
            </w:pPr>
            <w:r>
              <w:rPr>
                <w:rFonts w:asciiTheme="minorEastAsia" w:hAnsiTheme="minorEastAsia" w:eastAsiaTheme="minorEastAsia"/>
                <w:b/>
                <w:bCs/>
                <w:color w:val="0000FF"/>
              </w:rPr>
              <w:t>XXXX</w:t>
            </w:r>
            <w:r>
              <w:rPr>
                <w:rFonts w:asciiTheme="minorEastAsia" w:hAnsiTheme="minorEastAsia" w:eastAsiaTheme="minorEastAsia"/>
              </w:rPr>
              <w:t>年</w:t>
            </w:r>
            <w:r>
              <w:rPr>
                <w:rFonts w:asciiTheme="minorEastAsia" w:hAnsiTheme="minorEastAsia" w:eastAsiaTheme="minorEastAsia"/>
                <w:b/>
                <w:bCs/>
                <w:color w:val="0000FF"/>
              </w:rPr>
              <w:t>XX</w:t>
            </w:r>
            <w:r>
              <w:rPr>
                <w:rFonts w:asciiTheme="minorEastAsia" w:hAnsiTheme="minorEastAsia" w:eastAsiaTheme="minorEastAsia"/>
              </w:rPr>
              <w:t>月</w:t>
            </w:r>
            <w:r>
              <w:rPr>
                <w:rFonts w:asciiTheme="minorEastAsia" w:hAnsiTheme="minorEastAsia" w:eastAsiaTheme="minorEastAsia"/>
                <w:b/>
                <w:bCs/>
                <w:color w:val="0000FF"/>
              </w:rPr>
              <w:t>XX</w:t>
            </w:r>
            <w:r>
              <w:rPr>
                <w:rFonts w:asciiTheme="minorEastAsia" w:hAnsiTheme="minorEastAsia" w:eastAsiaTheme="minor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8387" w:type="dxa"/>
            <w:gridSpan w:val="9"/>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以下由税务机关填写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8387" w:type="dxa"/>
            <w:gridSpan w:val="9"/>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核准延期申报期限：  年  月  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639"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预缴税款核定方式</w:t>
            </w:r>
          </w:p>
        </w:tc>
        <w:tc>
          <w:tcPr>
            <w:tcW w:w="6748" w:type="dxa"/>
            <w:gridSpan w:val="8"/>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□上期实际缴纳税额</w:t>
            </w:r>
          </w:p>
          <w:p>
            <w:pPr>
              <w:ind w:firstLine="0" w:firstLineChars="0"/>
              <w:rPr>
                <w:rFonts w:hint="default" w:asciiTheme="minorEastAsia" w:hAnsiTheme="minorEastAsia" w:eastAsiaTheme="minorEastAsia"/>
              </w:rPr>
            </w:pPr>
            <w:r>
              <w:rPr>
                <w:rFonts w:asciiTheme="minorEastAsia" w:hAnsiTheme="minorEastAsia" w:eastAsiaTheme="minorEastAsia"/>
              </w:rPr>
              <w:t>□税务机关核定税额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639"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预缴税种</w:t>
            </w:r>
          </w:p>
        </w:tc>
        <w:tc>
          <w:tcPr>
            <w:tcW w:w="1398" w:type="dxa"/>
            <w:gridSpan w:val="3"/>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税目</w:t>
            </w:r>
          </w:p>
        </w:tc>
        <w:tc>
          <w:tcPr>
            <w:tcW w:w="1502"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税款所属</w:t>
            </w:r>
          </w:p>
          <w:p>
            <w:pPr>
              <w:ind w:firstLine="0" w:firstLineChars="0"/>
              <w:jc w:val="center"/>
              <w:rPr>
                <w:rFonts w:hint="default" w:asciiTheme="minorEastAsia" w:hAnsiTheme="minorEastAsia" w:eastAsiaTheme="minorEastAsia"/>
              </w:rPr>
            </w:pPr>
            <w:r>
              <w:rPr>
                <w:rFonts w:asciiTheme="minorEastAsia" w:hAnsiTheme="minorEastAsia" w:eastAsiaTheme="minorEastAsia"/>
              </w:rPr>
              <w:t>时期</w:t>
            </w:r>
          </w:p>
        </w:tc>
        <w:tc>
          <w:tcPr>
            <w:tcW w:w="1892"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上期实际缴纳税额</w:t>
            </w:r>
          </w:p>
        </w:tc>
        <w:tc>
          <w:tcPr>
            <w:tcW w:w="19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核定预缴税额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639" w:type="dxa"/>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398" w:type="dxa"/>
            <w:gridSpan w:val="3"/>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502" w:type="dxa"/>
            <w:gridSpan w:val="2"/>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892" w:type="dxa"/>
            <w:gridSpan w:val="2"/>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956" w:type="dxa"/>
            <w:tcMar>
              <w:top w:w="0" w:type="dxa"/>
              <w:left w:w="108" w:type="dxa"/>
              <w:bottom w:w="0" w:type="dxa"/>
              <w:right w:w="108" w:type="dxa"/>
            </w:tcMar>
          </w:tcPr>
          <w:p>
            <w:pPr>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639" w:type="dxa"/>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398" w:type="dxa"/>
            <w:gridSpan w:val="3"/>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502" w:type="dxa"/>
            <w:gridSpan w:val="2"/>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892" w:type="dxa"/>
            <w:gridSpan w:val="2"/>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956" w:type="dxa"/>
            <w:tcMar>
              <w:top w:w="0" w:type="dxa"/>
              <w:left w:w="108" w:type="dxa"/>
              <w:bottom w:w="0" w:type="dxa"/>
              <w:right w:w="108" w:type="dxa"/>
            </w:tcMar>
          </w:tcPr>
          <w:p>
            <w:pPr>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639" w:type="dxa"/>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398" w:type="dxa"/>
            <w:gridSpan w:val="3"/>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502" w:type="dxa"/>
            <w:gridSpan w:val="2"/>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892" w:type="dxa"/>
            <w:gridSpan w:val="2"/>
            <w:tcMar>
              <w:top w:w="0" w:type="dxa"/>
              <w:left w:w="108" w:type="dxa"/>
              <w:bottom w:w="0" w:type="dxa"/>
              <w:right w:w="108" w:type="dxa"/>
            </w:tcMar>
          </w:tcPr>
          <w:p>
            <w:pPr>
              <w:ind w:firstLine="0" w:firstLineChars="0"/>
              <w:rPr>
                <w:rFonts w:hint="default" w:asciiTheme="minorEastAsia" w:hAnsiTheme="minorEastAsia" w:eastAsiaTheme="minorEastAsia"/>
              </w:rPr>
            </w:pPr>
          </w:p>
        </w:tc>
        <w:tc>
          <w:tcPr>
            <w:tcW w:w="1956" w:type="dxa"/>
            <w:tcMar>
              <w:top w:w="0" w:type="dxa"/>
              <w:left w:w="108" w:type="dxa"/>
              <w:bottom w:w="0" w:type="dxa"/>
              <w:right w:w="108" w:type="dxa"/>
            </w:tcMar>
          </w:tcPr>
          <w:p>
            <w:pPr>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8387" w:type="dxa"/>
            <w:gridSpan w:val="9"/>
            <w:tcMar>
              <w:top w:w="0" w:type="dxa"/>
              <w:left w:w="108" w:type="dxa"/>
              <w:bottom w:w="0" w:type="dxa"/>
              <w:right w:w="108" w:type="dxa"/>
            </w:tcMar>
          </w:tcPr>
          <w:p>
            <w:pPr>
              <w:ind w:firstLine="0" w:firstLineChars="0"/>
              <w:rPr>
                <w:rFonts w:hint="default" w:asciiTheme="minorEastAsia" w:hAnsiTheme="minorEastAsia" w:eastAsiaTheme="minorEastAsia"/>
              </w:rPr>
            </w:pPr>
            <w:r>
              <w:rPr>
                <w:rFonts w:asciiTheme="minorEastAsia" w:hAnsiTheme="minorEastAsia" w:eastAsiaTheme="minorEastAsia"/>
              </w:rPr>
              <w:t>经办人：    负责人：                   税务机关（签章）</w:t>
            </w:r>
          </w:p>
          <w:p>
            <w:pPr>
              <w:ind w:firstLine="0" w:firstLineChars="0"/>
              <w:rPr>
                <w:rFonts w:hint="default" w:asciiTheme="minorEastAsia" w:hAnsiTheme="minorEastAsia" w:eastAsiaTheme="minorEastAsia"/>
              </w:rPr>
            </w:pPr>
          </w:p>
          <w:p>
            <w:pPr>
              <w:ind w:firstLine="0" w:firstLineChars="0"/>
              <w:rPr>
                <w:rFonts w:hint="default" w:asciiTheme="minorEastAsia" w:hAnsiTheme="minorEastAsia" w:eastAsiaTheme="minorEastAsia"/>
              </w:rPr>
            </w:pPr>
            <w:r>
              <w:rPr>
                <w:rFonts w:asciiTheme="minorEastAsia" w:hAnsiTheme="minorEastAsia" w:eastAsiaTheme="minorEastAsia"/>
              </w:rPr>
              <w:t>年  月  日   年 月  日                      年  月  日</w:t>
            </w:r>
          </w:p>
        </w:tc>
      </w:tr>
    </w:tbl>
    <w:p>
      <w:pPr>
        <w:ind w:firstLine="0" w:firstLineChars="0"/>
        <w:rPr>
          <w:rFonts w:hint="default"/>
          <w:sz w:val="21"/>
        </w:rPr>
        <w:sectPr>
          <w:pgSz w:w="11906" w:h="16838"/>
          <w:pgMar w:top="1440" w:right="1418" w:bottom="1440" w:left="1418" w:header="851" w:footer="992" w:gutter="0"/>
          <w:cols w:space="720" w:num="1"/>
          <w:docGrid w:type="lines" w:linePitch="312" w:charSpace="0"/>
        </w:sectPr>
      </w:pP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83"/>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83" w:type="dxa"/>
            <w:vAlign w:val="center"/>
          </w:tcPr>
          <w:p>
            <w:pPr>
              <w:pStyle w:val="33"/>
              <w:adjustRightInd/>
              <w:snapToGrid/>
              <w:spacing w:line="276" w:lineRule="auto"/>
            </w:pPr>
            <w:r>
              <w:rPr>
                <w:rFonts w:hint="eastAsia"/>
              </w:rPr>
              <w:t>文件名称</w:t>
            </w:r>
          </w:p>
        </w:tc>
        <w:tc>
          <w:tcPr>
            <w:tcW w:w="1667"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83" w:type="dxa"/>
            <w:vAlign w:val="center"/>
          </w:tcPr>
          <w:p>
            <w:pPr>
              <w:pStyle w:val="50"/>
              <w:adjustRightInd/>
              <w:snapToGrid/>
              <w:spacing w:line="276" w:lineRule="auto"/>
            </w:pPr>
            <w:r>
              <w:rPr>
                <w:rFonts w:hint="eastAsia"/>
              </w:rPr>
              <w:t>《中华人民共和国税收征收管理法》</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83" w:type="dxa"/>
            <w:vAlign w:val="center"/>
          </w:tcPr>
          <w:p>
            <w:pPr>
              <w:pStyle w:val="50"/>
              <w:adjustRightInd/>
              <w:snapToGrid/>
              <w:spacing w:line="276" w:lineRule="auto"/>
            </w:pPr>
            <w:r>
              <w:rPr>
                <w:rFonts w:hint="eastAsia"/>
              </w:rPr>
              <w:t>《中华人民共和国税收征收管理法实施细则》</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3</w:t>
            </w:r>
          </w:p>
        </w:tc>
        <w:tc>
          <w:tcPr>
            <w:tcW w:w="5783" w:type="dxa"/>
            <w:vAlign w:val="center"/>
          </w:tcPr>
          <w:p>
            <w:pPr>
              <w:pStyle w:val="50"/>
              <w:adjustRightInd/>
              <w:snapToGrid/>
              <w:spacing w:line="276" w:lineRule="auto"/>
            </w:pPr>
            <w:r>
              <w:rPr>
                <w:rFonts w:hint="eastAsia"/>
              </w:rPr>
              <w:t>《国家税务总局关于税务行政许可若干问题的公告》（国家税务总局公告</w:t>
            </w:r>
            <w:r>
              <w:t>2016</w:t>
            </w:r>
            <w:r>
              <w:rPr>
                <w:rFonts w:hint="eastAsia"/>
              </w:rPr>
              <w:t>年第</w:t>
            </w:r>
            <w:r>
              <w:t>11</w:t>
            </w:r>
            <w:r>
              <w:rPr>
                <w:rFonts w:hint="eastAsia"/>
              </w:rPr>
              <w:t>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4</w:t>
            </w:r>
          </w:p>
        </w:tc>
        <w:tc>
          <w:tcPr>
            <w:tcW w:w="5783" w:type="dxa"/>
            <w:vAlign w:val="center"/>
          </w:tcPr>
          <w:p>
            <w:pPr>
              <w:pStyle w:val="50"/>
              <w:adjustRightInd/>
              <w:snapToGrid/>
              <w:spacing w:line="276" w:lineRule="auto"/>
            </w:pPr>
            <w:r>
              <w:rPr>
                <w:rFonts w:hint="eastAsia"/>
              </w:rPr>
              <w:t>《国家税务总局关于简化税务行政许可事项办理程序的公告》（国家税务总局公告2017年第21号）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5</w:t>
            </w:r>
          </w:p>
        </w:tc>
        <w:tc>
          <w:tcPr>
            <w:tcW w:w="5783" w:type="dxa"/>
            <w:vAlign w:val="center"/>
          </w:tcPr>
          <w:p>
            <w:pPr>
              <w:pStyle w:val="50"/>
              <w:adjustRightInd/>
              <w:snapToGrid/>
              <w:spacing w:line="276" w:lineRule="auto"/>
            </w:pPr>
            <w:r>
              <w:rPr>
                <w:rFonts w:hint="eastAsia"/>
              </w:rPr>
              <w:t>《国家税务总局关于公布已取消税务行政许可事项的公告》（国家税务总局公告</w:t>
            </w:r>
            <w:r>
              <w:t>2019年第11号）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6</w:t>
            </w:r>
          </w:p>
        </w:tc>
        <w:tc>
          <w:tcPr>
            <w:tcW w:w="5783" w:type="dxa"/>
            <w:vAlign w:val="center"/>
          </w:tcPr>
          <w:p>
            <w:pPr>
              <w:pStyle w:val="50"/>
              <w:adjustRightInd/>
              <w:snapToGrid/>
              <w:spacing w:line="276" w:lineRule="auto"/>
            </w:pPr>
            <w:r>
              <w:rPr>
                <w:rFonts w:hint="eastAsia"/>
              </w:rPr>
              <w:t>《国家税务总局关于印发&lt;办税服务厅管理办法&gt;的通知》（税总发〔2018〕189号）</w:t>
            </w:r>
          </w:p>
        </w:tc>
        <w:tc>
          <w:tcPr>
            <w:tcW w:w="1667"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7</w:t>
            </w:r>
          </w:p>
        </w:tc>
        <w:tc>
          <w:tcPr>
            <w:tcW w:w="5783" w:type="dxa"/>
            <w:vAlign w:val="center"/>
          </w:tcPr>
          <w:p>
            <w:pPr>
              <w:pStyle w:val="50"/>
              <w:adjustRightInd/>
              <w:snapToGrid/>
              <w:spacing w:line="276" w:lineRule="auto"/>
            </w:pPr>
            <w:r>
              <w:rPr>
                <w:rFonts w:hint="eastAsia"/>
              </w:rPr>
              <w:t>《国家税务总局关于延期申报预缴税款滞纳金问题的批复》（国税函〔2007〕753号）</w:t>
            </w:r>
          </w:p>
        </w:tc>
        <w:tc>
          <w:tcPr>
            <w:tcW w:w="1667"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8</w:t>
            </w:r>
          </w:p>
        </w:tc>
        <w:tc>
          <w:tcPr>
            <w:tcW w:w="5783" w:type="dxa"/>
            <w:vAlign w:val="center"/>
          </w:tcPr>
          <w:p>
            <w:pPr>
              <w:pStyle w:val="50"/>
              <w:adjustRightInd/>
              <w:snapToGrid/>
              <w:spacing w:line="276" w:lineRule="auto"/>
            </w:pPr>
            <w:r>
              <w:rPr>
                <w:rFonts w:hint="eastAsia"/>
              </w:rPr>
              <w:t>《国家税务总局关于取消一批涉税事项和报送资料的通知》（税总函〔2017〕403号）</w:t>
            </w:r>
          </w:p>
        </w:tc>
        <w:tc>
          <w:tcPr>
            <w:tcW w:w="1667" w:type="dxa"/>
            <w:vAlign w:val="center"/>
          </w:tcPr>
          <w:p>
            <w:pPr>
              <w:pStyle w:val="50"/>
              <w:adjustRightInd/>
              <w:snapToGrid/>
              <w:spacing w:line="276" w:lineRule="auto"/>
            </w:pPr>
            <w:r>
              <w:rPr>
                <w:rFonts w:hint="eastAsia"/>
              </w:rPr>
              <w:t>主动公开</w:t>
            </w:r>
          </w:p>
        </w:tc>
      </w:tr>
    </w:tbl>
    <w:p>
      <w:pPr>
        <w:pStyle w:val="37"/>
        <w:wordWrap w:val="0"/>
        <w:topLinePunct w:val="0"/>
        <w:spacing w:before="312" w:after="312"/>
      </w:pPr>
      <w:bookmarkStart w:id="251" w:name="_Toc32251"/>
      <w:bookmarkStart w:id="252" w:name="_Toc16823"/>
      <w:bookmarkStart w:id="253" w:name="_Toc459388285"/>
      <w:bookmarkStart w:id="254" w:name="_Toc26693"/>
      <w:bookmarkStart w:id="255" w:name="_Toc459387105"/>
      <w:bookmarkStart w:id="256" w:name="_Toc459987266"/>
      <w:bookmarkStart w:id="257" w:name="_Toc4809"/>
      <w:bookmarkStart w:id="258" w:name="_Toc18096184"/>
      <w:bookmarkStart w:id="259" w:name="_Toc25171"/>
      <w:bookmarkStart w:id="260" w:name="_Hlk16023316"/>
      <w:r>
        <w:rPr>
          <w:rFonts w:hint="eastAsia"/>
        </w:rPr>
        <w:t>3.23.2—11</w:t>
      </w:r>
      <w:r>
        <w:t>6</w:t>
      </w:r>
      <w:r>
        <w:rPr>
          <w:rFonts w:hint="eastAsia"/>
        </w:rPr>
        <w:t>　</w:t>
      </w:r>
      <w:r>
        <w:rPr>
          <w:color w:val="000000" w:themeColor="text1"/>
        </w:rPr>
        <w:t>　</w:t>
      </w:r>
      <w:r>
        <w:rPr>
          <w:rFonts w:hint="eastAsia"/>
        </w:rPr>
        <w:t>对纳税人延期缴纳税款</w:t>
      </w:r>
      <w:bookmarkEnd w:id="251"/>
      <w:bookmarkEnd w:id="252"/>
      <w:r>
        <w:rPr>
          <w:rFonts w:hint="eastAsia"/>
        </w:rPr>
        <w:t>的核准</w:t>
      </w:r>
      <w:bookmarkEnd w:id="253"/>
      <w:bookmarkEnd w:id="254"/>
      <w:bookmarkEnd w:id="255"/>
      <w:bookmarkEnd w:id="256"/>
      <w:bookmarkEnd w:id="257"/>
      <w:bookmarkEnd w:id="258"/>
      <w:bookmarkEnd w:id="259"/>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对纳税人延期缴纳税款的核准</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纳税人因有特殊困难，不能按期缴纳税款的，经省、自治区、直辖市、计划单列市税务局批准，可以延期缴纳税款，但是最长不得超过三个月。纳税人有下列情形之一的，属于特殊困难</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因不可抗力，导致纳税人发生较大损失，正常生产经营活动受到较大影响的；</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当期货币资金在扣除应付职工工资、社会保险费后，不足以缴纳税款的。</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《中华人民共和国税收征收管理法》第三十一</w:t>
      </w:r>
      <w:r>
        <w:rPr>
          <w:rFonts w:hint="default" w:ascii="宋体" w:hAnsi="宋体" w:cs="Times New Roman"/>
          <w:color w:val="000000" w:themeColor="text1"/>
        </w:rPr>
        <w:t>条第</w:t>
      </w:r>
      <w:r>
        <w:rPr>
          <w:rFonts w:ascii="宋体" w:hAnsi="宋体" w:cs="Times New Roman"/>
          <w:color w:val="000000" w:themeColor="text1"/>
        </w:rPr>
        <w:t>二</w:t>
      </w:r>
      <w:r>
        <w:rPr>
          <w:rFonts w:hint="default" w:ascii="宋体" w:hAnsi="宋体" w:cs="Times New Roman"/>
          <w:color w:val="000000" w:themeColor="text1"/>
        </w:rPr>
        <w:t>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《中华人民共和国税收征收管理法实施细则》第四十一</w:t>
      </w:r>
      <w:r>
        <w:rPr>
          <w:rFonts w:hint="default" w:ascii="宋体" w:hAnsi="宋体" w:cs="Times New Roman"/>
          <w:color w:val="000000" w:themeColor="text1"/>
        </w:rPr>
        <w:t>条</w:t>
      </w:r>
      <w:r>
        <w:rPr>
          <w:rFonts w:ascii="宋体" w:hAnsi="宋体" w:cs="Times New Roman"/>
          <w:color w:val="000000" w:themeColor="text1"/>
        </w:rPr>
        <w:t>、第四十二条第一款</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73"/>
        <w:gridCol w:w="3262"/>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《税务行政许可申请表》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《延期缴纳税款申请审批表》</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3</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纳税人申请延期缴纳税款报告</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1份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color w:val="000000" w:themeColor="text1"/>
              </w:rPr>
              <w:t>详细说明申请延期原因，人员工资、社会保险费支出情况，连续3个月缴纳税款情况。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4</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当期货币资金余额情况及所有银行存款账户的对账单</w:t>
            </w:r>
          </w:p>
        </w:tc>
        <w:tc>
          <w:tcPr>
            <w:tcW w:w="680" w:type="dxa"/>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1份</w:t>
            </w:r>
          </w:p>
        </w:tc>
        <w:tc>
          <w:tcPr>
            <w:tcW w:w="226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5</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应付职工工资支出预算</w:t>
            </w:r>
          </w:p>
        </w:tc>
        <w:tc>
          <w:tcPr>
            <w:tcW w:w="680" w:type="dxa"/>
            <w:vMerge w:val="continue"/>
            <w:tcBorders>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p>
        </w:tc>
        <w:tc>
          <w:tcPr>
            <w:tcW w:w="2268" w:type="dxa"/>
            <w:tcBorders>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ascii="Times New Roman" w:hAnsi="Times New Roman"/>
                <w:color w:val="000000" w:themeColor="text1"/>
              </w:rPr>
              <w:t>6</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经办人身份证件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rFonts w:ascii="Times New Roman" w:hAnsi="Times New Roman"/>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tcBorders>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3262" w:type="dxa"/>
            <w:tcBorders>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8" w:type="dxa"/>
            <w:tcBorders>
              <w:top w:val="single" w:color="auto" w:sz="4" w:space="0"/>
              <w:left w:val="single" w:color="auto" w:sz="4" w:space="0"/>
              <w:right w:val="single" w:color="auto" w:sz="4" w:space="0"/>
            </w:tcBorders>
            <w:shd w:val="clear" w:color="auto" w:fill="D9D9D9"/>
            <w:vAlign w:val="center"/>
          </w:tcPr>
          <w:p>
            <w:pPr>
              <w:pStyle w:val="34"/>
              <w:wordWrap w:val="0"/>
              <w:adjustRightInd/>
              <w:snapToGrid/>
              <w:spacing w:line="240" w:lineRule="auto"/>
              <w:rPr>
                <w:color w:val="000000" w:themeColor="text1"/>
                <w:kern w:val="0"/>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restart"/>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委托代理人提出申请</w:t>
            </w:r>
          </w:p>
        </w:tc>
        <w:tc>
          <w:tcPr>
            <w:tcW w:w="3262"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代理委托书</w:t>
            </w:r>
          </w:p>
        </w:tc>
        <w:tc>
          <w:tcPr>
            <w:tcW w:w="680" w:type="dxa"/>
            <w:vMerge w:val="restart"/>
            <w:tcBorders>
              <w:top w:val="single" w:color="auto" w:sz="4" w:space="0"/>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color w:val="000000" w:themeColor="text1"/>
              </w:rPr>
              <w:t>份</w:t>
            </w:r>
          </w:p>
        </w:tc>
        <w:tc>
          <w:tcPr>
            <w:tcW w:w="2268" w:type="dxa"/>
            <w:tcBorders>
              <w:top w:val="single" w:color="auto" w:sz="4" w:space="0"/>
              <w:left w:val="single" w:color="auto" w:sz="4" w:space="0"/>
              <w:right w:val="single" w:color="auto" w:sz="4" w:space="0"/>
            </w:tcBorders>
            <w:vAlign w:val="center"/>
          </w:tcPr>
          <w:p>
            <w:pPr>
              <w:pStyle w:val="34"/>
              <w:wordWrap w:val="0"/>
              <w:adjustRightInd/>
              <w:snapToGrid/>
              <w:spacing w:line="240" w:lineRule="auto"/>
              <w:jc w:val="both"/>
              <w:rPr>
                <w:color w:val="000000" w:themeColor="text1"/>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continue"/>
            <w:tcBorders>
              <w:left w:val="single" w:color="auto" w:sz="4" w:space="0"/>
              <w:right w:val="single" w:color="auto" w:sz="4" w:space="0"/>
            </w:tcBorders>
            <w:vAlign w:val="center"/>
          </w:tcPr>
          <w:p>
            <w:pPr>
              <w:wordWrap w:val="0"/>
              <w:spacing w:line="240" w:lineRule="auto"/>
              <w:ind w:firstLine="0" w:firstLineChars="0"/>
              <w:rPr>
                <w:rFonts w:hint="default" w:ascii="宋体" w:hAnsi="宋体" w:cs="Times New Roman"/>
                <w:color w:val="000000" w:themeColor="text1"/>
              </w:rPr>
            </w:pPr>
          </w:p>
        </w:tc>
        <w:tc>
          <w:tcPr>
            <w:tcW w:w="3262"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代理人身份证件</w:t>
            </w:r>
          </w:p>
        </w:tc>
        <w:tc>
          <w:tcPr>
            <w:tcW w:w="680" w:type="dxa"/>
            <w:vMerge w:val="continue"/>
            <w:tcBorders>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2268" w:type="dxa"/>
            <w:tcBorders>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查验后退回</w:t>
            </w: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主管税务机关办税服务厅（场所）可代办转报。</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国家税务总局湖南省税务局</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cs="Times New Roman"/>
          <w:color w:val="000000" w:themeColor="text1"/>
        </w:rPr>
        <w:t>20</w:t>
      </w:r>
      <w:r>
        <w:rPr>
          <w:rFonts w:ascii="宋体" w:hAnsi="宋体" w:cs="Times New Roman"/>
          <w:color w:val="000000" w:themeColor="text1"/>
        </w:rPr>
        <w:t>日内办结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省税务机关对外公布的联系电话</w:t>
      </w:r>
      <w:r>
        <w:rPr>
          <w:rFonts w:hint="default" w:ascii="宋体" w:hAnsi="宋体" w:cs="Times New Roman"/>
          <w:color w:val="000000" w:themeColor="text1"/>
        </w:rPr>
        <w:t>，可从国家税务总局湖南省税务局网站“纳税服务”栏目查询。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rFonts w:hint="eastAsia"/>
          <w:color w:val="000000" w:themeColor="text1"/>
        </w:rPr>
        <w:drawing>
          <wp:inline distT="0" distB="0" distL="114300" distR="114300">
            <wp:extent cx="5184140" cy="1967230"/>
            <wp:effectExtent l="0" t="0" r="10160" b="1270"/>
            <wp:docPr id="171" name="图片 171" descr="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纳税人"/>
                    <pic:cNvPicPr>
                      <a:picLocks noChangeAspect="1"/>
                    </pic:cNvPicPr>
                  </pic:nvPicPr>
                  <pic:blipFill>
                    <a:blip r:embed="rId13"/>
                    <a:stretch>
                      <a:fillRect/>
                    </a:stretch>
                  </pic:blipFill>
                  <pic:spPr>
                    <a:xfrm>
                      <a:off x="0" y="0"/>
                      <a:ext cx="5184140" cy="1967230"/>
                    </a:xfrm>
                    <a:prstGeom prst="rect">
                      <a:avLst/>
                    </a:prstGeom>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“不可抗力”是指人们无法预见、无法避免、无法克服的自然灾害，如水灾、火灾、风灾、地震等。</w:t>
      </w:r>
      <w:r>
        <w:rPr>
          <w:color w:val="000000" w:themeColor="text1"/>
        </w:rPr>
        <w:t>因不可抗力，导致纳税人发生较大损失，正常生产经营活动受到较大影响的，纳税人应在申请延期缴纳税款报告中对不可抗力情况进行说明并承诺：“以上情况属实，特此承诺。”</w:t>
      </w:r>
    </w:p>
    <w:p>
      <w:pPr>
        <w:wordWrap w:val="0"/>
        <w:spacing w:line="360" w:lineRule="auto"/>
        <w:ind w:firstLine="480"/>
        <w:rPr>
          <w:rStyle w:val="39"/>
          <w:rFonts w:hint="default"/>
          <w:color w:val="000000" w:themeColor="text1"/>
        </w:rPr>
      </w:pPr>
      <w:r>
        <w:rPr>
          <w:rFonts w:cs="Times New Roman"/>
          <w:color w:val="000000" w:themeColor="text1"/>
        </w:rPr>
        <w:t>6.</w:t>
      </w:r>
      <w:r>
        <w:rPr>
          <w:rFonts w:ascii="宋体" w:hAnsi="宋体" w:cs="Times New Roman"/>
          <w:color w:val="000000" w:themeColor="text1"/>
        </w:rPr>
        <w:t>纳税人需要延期缴纳税款的，应当在缴纳税款期限届满前提出申请。税</w:t>
      </w:r>
      <w:r>
        <w:rPr>
          <w:rStyle w:val="39"/>
          <w:color w:val="000000" w:themeColor="text1"/>
        </w:rPr>
        <w:t>务机关作出不予行政许可决定的，从缴纳税款期限届满之日起加收滞纳金。</w:t>
      </w:r>
    </w:p>
    <w:p>
      <w:pPr>
        <w:wordWrap w:val="0"/>
        <w:spacing w:line="360" w:lineRule="auto"/>
        <w:ind w:firstLine="480"/>
        <w:rPr>
          <w:rFonts w:hint="default" w:ascii="宋体" w:hAnsi="宋体" w:cs="Times New Roman"/>
          <w:color w:val="000000" w:themeColor="text1"/>
        </w:rPr>
      </w:pPr>
      <w:r>
        <w:rPr>
          <w:rStyle w:val="39"/>
          <w:color w:val="000000" w:themeColor="text1"/>
        </w:rPr>
        <w:t>7.</w:t>
      </w:r>
      <w:r>
        <w:rPr>
          <w:rFonts w:ascii="宋体" w:hAnsi="宋体" w:cs="Times New Roman"/>
          <w:color w:val="000000" w:themeColor="text1"/>
        </w:rPr>
        <w:t>税务行政许可实施机关与申请人不在同一县（市、区、旗）的，申请人可在规定的申请期限内，选择由其主管税务机关代为转报申请材料。主管税务机关在核对申请材料后向申请人出具材料接收清单，并向税务行政许可实施机关转报。代办转报一般应当在</w:t>
      </w:r>
      <w:r>
        <w:rPr>
          <w:rFonts w:cs="Times New Roman"/>
          <w:color w:val="000000" w:themeColor="text1"/>
        </w:rPr>
        <w:t>5</w:t>
      </w:r>
      <w:r>
        <w:rPr>
          <w:rFonts w:hint="default" w:ascii="宋体" w:hAnsi="宋体" w:cs="Times New Roman"/>
          <w:color w:val="000000" w:themeColor="text1"/>
        </w:rPr>
        <w:t>个工作日内完成</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省税务机关行政许可受理窗口接收纳税人报送的资料，核对资料是否齐全、是否符合法定形式、填写内容是否完整，符合的即时受理，制作《税务行政许可受理通知书》送达纳税人，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）申请材料存在问题可以当场更正的，应当一次性告知纳税人更正；申请材料不齐全或不符合法定形式的，应当当场或者</w:t>
      </w:r>
      <w:r>
        <w:rPr>
          <w:rFonts w:cs="Times New Roman"/>
          <w:color w:val="000000" w:themeColor="text1"/>
        </w:rPr>
        <w:t>5</w:t>
      </w:r>
      <w:r>
        <w:rPr>
          <w:rFonts w:ascii="宋体" w:hAnsi="宋体" w:cs="Times New Roman"/>
          <w:color w:val="000000" w:themeColor="text1"/>
        </w:rPr>
        <w:t>日内制作《补正税务行政许可材料告知书》，一次性告知纳税人需要补正的材料，并制作《税务文书送达回证》由纳税人签收。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）纳税人提出的行政许可申请事项依法不属于本行政机关职权范围的，办税服务厅不予受理，当场制作并送达《税务行政许可不予受理通知书》，并制作《税务文书送达回证》由纳税人签收。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）申请事项属于税务机关管辖范围，但不需要取得税务行政许可的，应当即告知纳税人不受理，同时告知其解决的途径。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）纳税人选择由其主管税务机关代为转报申请材料的，主管税务机关在核对申请材料后向申请人出具材料接收清单，并在</w:t>
      </w:r>
      <w:r>
        <w:rPr>
          <w:rFonts w:cs="Times New Roman"/>
          <w:color w:val="000000" w:themeColor="text1"/>
        </w:rPr>
        <w:t>5</w:t>
      </w:r>
      <w:r>
        <w:rPr>
          <w:rFonts w:hint="default" w:ascii="宋体" w:hAnsi="宋体" w:cs="Times New Roman"/>
          <w:color w:val="000000" w:themeColor="text1"/>
        </w:rPr>
        <w:t>个工作日内向税务行政许可实施机关转报。税务行政许可实施机关收到转报材料后，对符合受理条件的，出具并及时送达《税务行政许可受理通知书》。税务机关对代办转报事项应当做好台账登记。代办转报不得收取任何费用</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6</w:t>
      </w:r>
      <w:r>
        <w:rPr>
          <w:rFonts w:ascii="宋体" w:hAnsi="宋体" w:cs="Times New Roman"/>
          <w:color w:val="000000" w:themeColor="text1"/>
        </w:rPr>
        <w:t>）对能够当即办理的税务行政许可事项，直接出具和送达《准予税务行政许可决定书》，不再出具《税务行政许可受理通知书》</w:t>
      </w:r>
    </w:p>
    <w:p>
      <w:pPr>
        <w:wordWrap w:val="0"/>
        <w:spacing w:line="360" w:lineRule="auto"/>
        <w:ind w:firstLine="480"/>
        <w:jc w:val="left"/>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7</w:t>
      </w:r>
      <w:r>
        <w:rPr>
          <w:rFonts w:ascii="宋体" w:hAnsi="宋体" w:cs="Times New Roman"/>
          <w:color w:val="000000" w:themeColor="text1"/>
        </w:rPr>
        <w:t>）纳税人通过电子税务局申请的，电子税务局接收纳税人报送的资料信息，</w:t>
      </w:r>
      <w:r>
        <w:rPr>
          <w:rFonts w:hint="default" w:ascii="宋体" w:hAnsi="宋体" w:cs="Times New Roman"/>
          <w:color w:val="000000" w:themeColor="text1"/>
        </w:rPr>
        <w:t>核对资料是否齐全、是否符合法定形式、填写内容是否完整，符合的即时受理</w:t>
      </w:r>
      <w:r>
        <w:rPr>
          <w:rFonts w:ascii="宋体" w:hAnsi="宋体" w:cs="Times New Roman"/>
          <w:color w:val="000000" w:themeColor="text1"/>
        </w:rPr>
        <w:t>；资料不齐全或者填写内容不符合规定的，一次性告知补正内容或要求纳税人重新填报。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）省税务机关行政许可受理窗口收到反馈后</w:t>
      </w:r>
      <w:r>
        <w:rPr>
          <w:rFonts w:cs="Times New Roman"/>
          <w:color w:val="000000" w:themeColor="text1"/>
        </w:rPr>
        <w:t>1</w:t>
      </w:r>
      <w:r>
        <w:rPr>
          <w:rFonts w:ascii="宋体" w:hAnsi="宋体" w:cs="Times New Roman"/>
          <w:color w:val="000000" w:themeColor="text1"/>
        </w:rPr>
        <w:t>个工作日内通知纳税人凭《税务行政许可受理通知书》领取《准予税务行政许可决定书》或《不予税务行政许可决定书》，并制作《税务文书送达回证》由纳税人签收。审查结果为“不予税务行政许可”的，应当说明理由并告知纳税人在《不予税务行政许可决定书》上注明的期限内，享有依法申请行政复议或提起行政诉讼的权利。</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hint="default" w:ascii="宋体" w:hAnsi="宋体" w:cs="Times New Roman"/>
          <w:color w:val="000000" w:themeColor="text1"/>
        </w:rPr>
        <w:t>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省税务机关行政许可受理窗口与纳税人不在同一县（市、区、旗），或者直接送达税务行政许可文书存在其他困难情形的，可以委托纳税人主管税务机关代为送达，也可以根据纳税人书面要求，按照纳税人在《税务行政许可申请表》上填写的地址，在文书出具之日起</w:t>
      </w:r>
      <w:r>
        <w:rPr>
          <w:rFonts w:cs="Times New Roman"/>
          <w:color w:val="000000" w:themeColor="text1"/>
        </w:rPr>
        <w:t>2</w:t>
      </w:r>
      <w:r>
        <w:rPr>
          <w:rFonts w:ascii="宋体" w:hAnsi="宋体" w:cs="Times New Roman"/>
          <w:color w:val="000000" w:themeColor="text1"/>
        </w:rPr>
        <w:t>个工作日内向纳税人邮寄送达。邮寄送达的，以挂号函件回执上注明的收件日期为送达日期，并视为已送达。税务机关应当保留邮寄单据并做好台账登记。邮寄送达不得收取任何费用。</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）在作出准予税务行政许可决定之日起</w:t>
      </w:r>
      <w:r>
        <w:rPr>
          <w:rFonts w:cs="Times New Roman"/>
          <w:color w:val="000000" w:themeColor="text1"/>
        </w:rPr>
        <w:t>7</w:t>
      </w:r>
      <w:r>
        <w:rPr>
          <w:rFonts w:hint="default" w:ascii="宋体" w:hAnsi="宋体" w:cs="Times New Roman"/>
          <w:color w:val="000000" w:themeColor="text1"/>
        </w:rPr>
        <w:t>日内，在办税服务厅或者其他办公场所以及税务机关门户网站上公开税务行政许可决定。</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w:t>
      </w:r>
      <w:r>
        <w:rPr>
          <w:rFonts w:hint="default" w:ascii="宋体" w:hAnsi="宋体" w:cs="Times New Roman"/>
          <w:color w:val="000000" w:themeColor="text1"/>
        </w:rPr>
        <w:t>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办理时限提速至</w:t>
      </w:r>
      <w:r>
        <w:rPr>
          <w:rFonts w:cs="Times New Roman"/>
          <w:color w:val="000000" w:themeColor="text1"/>
        </w:rPr>
        <w:t>10</w:t>
      </w:r>
      <w:r>
        <w:rPr>
          <w:rFonts w:ascii="宋体" w:hAnsi="宋体" w:cs="Times New Roman"/>
          <w:color w:val="000000" w:themeColor="text1"/>
        </w:rPr>
        <w:t>个工作日。</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省级税务机关直接受理</w:t>
      </w:r>
      <w:r>
        <w:rPr>
          <w:rFonts w:ascii="宋体" w:hAnsi="宋体" w:cs="Times New Roman"/>
          <w:color w:val="000000" w:themeColor="text1"/>
        </w:rPr>
        <w:t>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受理环节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通过【延期缴纳税款申请】模块受理纳税人申请，点击〔税务行政许可申报征收类〕，进行</w:t>
      </w:r>
      <w:r>
        <w:rPr>
          <w:rFonts w:ascii="宋体" w:hAnsi="宋体" w:cs="Times New Roman"/>
          <w:color w:val="000000" w:themeColor="text1"/>
        </w:rPr>
        <w:t>行政</w:t>
      </w:r>
      <w:r>
        <w:rPr>
          <w:rFonts w:hint="default" w:ascii="宋体" w:hAnsi="宋体" w:cs="Times New Roman"/>
          <w:color w:val="000000" w:themeColor="text1"/>
        </w:rPr>
        <w:t>许可操作。在税务行政许可申报征收类页面中，录入相关信息后点击〔保存〕，打印《税务行政许可受理通知书》，进行文书送达并销号。返回至延期缴纳税费申请页面，系统自动查询出符合延期缴纳的欠税信息，选择延期缴纳的欠税记录，填写延期缴纳税额与延期缴纳期限，填写申请理由，保存并启动后推送至下一环办理机关与办理人员。</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发放环节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在“待办任务”中找到待审批的延期缴纳税务申请记录，填写审批结果和审批意见，检查无误保存推送至下一环节办理机关及办理人员。在对应岗位人员的“待办任务”中找到流程，发放《准予行政许可决定书》及《延期缴纳税款通知书》或《不予税务行政许可决定书》。</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县市区级税务机关代办转报</w:t>
      </w:r>
      <w:r>
        <w:rPr>
          <w:rFonts w:ascii="宋体" w:hAnsi="宋体" w:cs="Times New Roman"/>
          <w:color w:val="000000" w:themeColor="text1"/>
        </w:rPr>
        <w:t>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资料接收环节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进入金三操作系统，通过文书受理岗权限，按照【管理服务】—【文书管理】—【延期类】—【延期缴纳税款申请】的路径进入功能模块。点击〔代办转报〕，选择省级税务机关（纳税服务处）及对应岗位人员，查询途径录入“电话查询”，保存并打印清单。</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受理环节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对应岗位人员点击“待办任务”中该任务。点击〔税务行政许可申报征收类〕，进行许可操作。在税务行政许可申报征收类页面中，录入相关信息后点击〔保存〕，打印《税务行政许可受理通知书》，进行文书送达并销号。返回至延期缴纳税费申请页面，系统自动查询出符合延期缴纳的欠税信息，选择延期缴纳的欠税记录，填写延期缴纳税额与延期缴纳期限，填写申请理由，保存并启动后推送至下一环办理机关与办理人员。</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（3）</w:t>
      </w:r>
      <w:r>
        <w:rPr>
          <w:rFonts w:hint="default" w:ascii="宋体" w:hAnsi="宋体" w:cs="Times New Roman"/>
          <w:color w:val="000000" w:themeColor="text1"/>
        </w:rPr>
        <w:t>发放环节</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在“待办任务”中找到待审批的延期缴纳税务申请记录，填写审批结果和审批意见，检查无误保存推送至下一环节办理机关及办理人员。在对应岗位人员的“待办任务”中找到流程，发放《准予行政许可决定书》及《延期缴纳税款通知书》或《不予税务行政许可决定书》。</w:t>
      </w:r>
    </w:p>
    <w:p>
      <w:pPr>
        <w:ind w:firstLine="482"/>
        <w:jc w:val="left"/>
        <w:rPr>
          <w:rFonts w:hint="default"/>
          <w:b/>
        </w:rPr>
        <w:sectPr>
          <w:pgSz w:w="11906" w:h="16838"/>
          <w:pgMar w:top="1440" w:right="1418" w:bottom="1440" w:left="1418" w:header="851" w:footer="992" w:gutter="0"/>
          <w:cols w:space="720" w:num="1"/>
          <w:docGrid w:type="lines" w:linePitch="312" w:charSpace="0"/>
        </w:sectPr>
      </w:pPr>
      <w:r>
        <w:rPr>
          <w:b/>
        </w:rPr>
        <w:t>【表证单书填写范本】</w:t>
      </w:r>
    </w:p>
    <w:p>
      <w:pPr>
        <w:ind w:firstLine="0" w:firstLineChars="0"/>
        <w:jc w:val="center"/>
        <w:rPr>
          <w:rFonts w:hint="default"/>
          <w:b/>
          <w:sz w:val="36"/>
          <w:szCs w:val="36"/>
        </w:rPr>
      </w:pPr>
      <w:r>
        <w:rPr>
          <w:b/>
          <w:sz w:val="36"/>
          <w:szCs w:val="36"/>
        </w:rPr>
        <w:t>税务行政许可申请表</w:t>
      </w:r>
      <w:r>
        <w:drawing>
          <wp:anchor distT="0" distB="0" distL="114300" distR="114300" simplePos="0" relativeHeight="251669504" behindDoc="0" locked="0" layoutInCell="1" allowOverlap="1">
            <wp:simplePos x="0" y="0"/>
            <wp:positionH relativeFrom="column">
              <wp:posOffset>2805430</wp:posOffset>
            </wp:positionH>
            <wp:positionV relativeFrom="paragraph">
              <wp:posOffset>106045</wp:posOffset>
            </wp:positionV>
            <wp:extent cx="1143000" cy="1066800"/>
            <wp:effectExtent l="0" t="0" r="0" b="0"/>
            <wp:wrapNone/>
            <wp:docPr id="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pic:cNvPicPr>
                      <a:picLocks noChangeAspect="1" noChangeArrowheads="1"/>
                    </pic:cNvPicPr>
                  </pic:nvPicPr>
                  <pic:blipFill>
                    <a:blip r:embed="rId14"/>
                    <a:srcRect/>
                    <a:stretch>
                      <a:fillRect/>
                    </a:stretch>
                  </pic:blipFill>
                  <pic:spPr>
                    <a:xfrm>
                      <a:off x="0" y="0"/>
                      <a:ext cx="1143000" cy="1066800"/>
                    </a:xfrm>
                    <a:prstGeom prst="rect">
                      <a:avLst/>
                    </a:prstGeom>
                    <a:noFill/>
                    <a:ln w="9525">
                      <a:noFill/>
                      <a:miter lim="800000"/>
                      <a:headEnd/>
                      <a:tailEnd/>
                    </a:ln>
                  </pic:spPr>
                </pic:pic>
              </a:graphicData>
            </a:graphic>
          </wp:anchor>
        </w:drawing>
      </w:r>
    </w:p>
    <w:p>
      <w:pPr>
        <w:ind w:firstLine="460"/>
        <w:jc w:val="left"/>
        <w:rPr>
          <w:rFonts w:hint="default" w:asciiTheme="minorEastAsia" w:hAnsiTheme="minorEastAsia" w:eastAsiaTheme="minorEastAsia"/>
          <w:sz w:val="23"/>
          <w:szCs w:val="23"/>
        </w:rPr>
      </w:pPr>
      <w:r>
        <w:rPr>
          <w:rFonts w:asciiTheme="minorEastAsia" w:hAnsiTheme="minorEastAsia" w:eastAsiaTheme="minorEastAsia"/>
          <w:sz w:val="23"/>
          <w:szCs w:val="23"/>
        </w:rPr>
        <w:t>申请日期：</w:t>
      </w:r>
      <w:r>
        <w:rPr>
          <w:rFonts w:asciiTheme="minorEastAsia" w:hAnsiTheme="minorEastAsia" w:eastAsiaTheme="minorEastAsia"/>
          <w:b/>
          <w:color w:val="0000FF"/>
          <w:sz w:val="23"/>
          <w:szCs w:val="23"/>
        </w:rPr>
        <w:t>XXXX</w:t>
      </w:r>
      <w:r>
        <w:rPr>
          <w:rFonts w:asciiTheme="minorEastAsia" w:hAnsiTheme="minorEastAsia" w:eastAsiaTheme="minorEastAsia"/>
          <w:sz w:val="23"/>
          <w:szCs w:val="23"/>
        </w:rPr>
        <w:t>年</w:t>
      </w:r>
      <w:r>
        <w:rPr>
          <w:rFonts w:asciiTheme="minorEastAsia" w:hAnsiTheme="minorEastAsia" w:eastAsiaTheme="minorEastAsia"/>
          <w:b/>
          <w:color w:val="0000FF"/>
          <w:sz w:val="23"/>
          <w:szCs w:val="23"/>
        </w:rPr>
        <w:t>XX</w:t>
      </w:r>
      <w:r>
        <w:rPr>
          <w:rFonts w:asciiTheme="minorEastAsia" w:hAnsiTheme="minorEastAsia" w:eastAsiaTheme="minorEastAsia"/>
          <w:sz w:val="23"/>
          <w:szCs w:val="23"/>
        </w:rPr>
        <w:t>月</w:t>
      </w:r>
      <w:r>
        <w:rPr>
          <w:rFonts w:asciiTheme="minorEastAsia" w:hAnsiTheme="minorEastAsia" w:eastAsiaTheme="minorEastAsia"/>
          <w:b/>
          <w:color w:val="0000FF"/>
          <w:sz w:val="23"/>
          <w:szCs w:val="23"/>
        </w:rPr>
        <w:t>XX</w:t>
      </w:r>
      <w:r>
        <w:rPr>
          <w:rFonts w:asciiTheme="minorEastAsia" w:hAnsiTheme="minorEastAsia" w:eastAsiaTheme="minorEastAsia"/>
          <w:sz w:val="23"/>
          <w:szCs w:val="23"/>
        </w:rPr>
        <w:t>日</w:t>
      </w:r>
    </w:p>
    <w:tbl>
      <w:tblPr>
        <w:tblStyle w:val="18"/>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819"/>
        <w:gridCol w:w="1655"/>
        <w:gridCol w:w="1655"/>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77" w:type="dxa"/>
            <w:vMerge w:val="restart"/>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请</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人</w:t>
            </w:r>
          </w:p>
        </w:tc>
        <w:tc>
          <w:tcPr>
            <w:tcW w:w="1819"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申请人名称</w:t>
            </w:r>
          </w:p>
        </w:tc>
        <w:tc>
          <w:tcPr>
            <w:tcW w:w="6288" w:type="dxa"/>
            <w:gridSpan w:val="3"/>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b/>
                <w:bCs/>
                <w:color w:val="0000FF"/>
                <w:sz w:val="21"/>
              </w:rPr>
              <w:t>XX</w:t>
            </w:r>
            <w:r>
              <w:rPr>
                <w:rFonts w:hint="default" w:asciiTheme="minorEastAsia" w:hAnsiTheme="minorEastAsia" w:eastAsiaTheme="minorEastAsia"/>
                <w:b/>
                <w:bCs/>
                <w:color w:val="0000FF"/>
                <w:sz w:val="21"/>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4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统一社会信用代码（纳税人识别号）</w:t>
            </w:r>
          </w:p>
        </w:tc>
        <w:tc>
          <w:tcPr>
            <w:tcW w:w="6288" w:type="dxa"/>
            <w:gridSpan w:val="3"/>
            <w:vAlign w:val="center"/>
          </w:tcPr>
          <w:p>
            <w:pPr>
              <w:ind w:firstLine="0" w:firstLineChars="0"/>
              <w:jc w:val="center"/>
              <w:rPr>
                <w:rFonts w:hint="default" w:asciiTheme="minorEastAsia" w:hAnsiTheme="minorEastAsia" w:eastAsiaTheme="minorEastAsia"/>
                <w:color w:val="0000FF"/>
                <w:sz w:val="23"/>
                <w:szCs w:val="23"/>
              </w:rPr>
            </w:pPr>
            <w:r>
              <w:rPr>
                <w:rFonts w:asciiTheme="minorEastAsia" w:hAnsiTheme="minorEastAsia" w:eastAsiaTheme="minorEastAsia"/>
                <w:b/>
                <w:color w:val="0000FF"/>
                <w:sz w:val="23"/>
                <w:szCs w:val="23"/>
              </w:rPr>
              <w:t>XXXXXXXXXXXXXXXXXX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法定代表人</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（负责人）</w:t>
            </w:r>
          </w:p>
        </w:tc>
        <w:tc>
          <w:tcPr>
            <w:tcW w:w="6288" w:type="dxa"/>
            <w:gridSpan w:val="3"/>
            <w:vAlign w:val="center"/>
          </w:tcPr>
          <w:p>
            <w:pPr>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某某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地址及邮政编码</w:t>
            </w:r>
          </w:p>
        </w:tc>
        <w:tc>
          <w:tcPr>
            <w:tcW w:w="6288" w:type="dxa"/>
            <w:gridSpan w:val="3"/>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XX省XX市XX区（县）XX路XX号XXXXXX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经办人</w:t>
            </w:r>
          </w:p>
        </w:tc>
        <w:tc>
          <w:tcPr>
            <w:tcW w:w="1655" w:type="dxa"/>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某某</w:t>
            </w:r>
          </w:p>
        </w:tc>
        <w:tc>
          <w:tcPr>
            <w:tcW w:w="1655"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身份证件号码</w:t>
            </w:r>
          </w:p>
        </w:tc>
        <w:tc>
          <w:tcPr>
            <w:tcW w:w="2978" w:type="dxa"/>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X</w:t>
            </w:r>
            <w:r>
              <w:rPr>
                <w:rFonts w:hint="default" w:asciiTheme="minorEastAsia" w:hAnsiTheme="minorEastAsia" w:eastAsiaTheme="minorEastAsia"/>
                <w:b/>
                <w:color w:val="0000FF"/>
                <w:sz w:val="23"/>
                <w:szCs w:val="23"/>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联系电话</w:t>
            </w:r>
          </w:p>
        </w:tc>
        <w:tc>
          <w:tcPr>
            <w:tcW w:w="1655" w:type="dxa"/>
            <w:vAlign w:val="center"/>
          </w:tcPr>
          <w:p>
            <w:pPr>
              <w:spacing w:line="500" w:lineRule="exact"/>
              <w:ind w:firstLine="0" w:firstLineChars="0"/>
              <w:jc w:val="center"/>
              <w:rPr>
                <w:rFonts w:hint="default" w:asciiTheme="minorEastAsia" w:hAnsiTheme="minorEastAsia" w:eastAsiaTheme="minorEastAsia"/>
                <w:b/>
                <w:color w:val="0000FF"/>
                <w:sz w:val="21"/>
                <w:szCs w:val="21"/>
              </w:rPr>
            </w:pPr>
            <w:r>
              <w:rPr>
                <w:rFonts w:asciiTheme="minorEastAsia" w:hAnsiTheme="minorEastAsia" w:eastAsiaTheme="minorEastAsia"/>
                <w:b/>
                <w:color w:val="0000FF"/>
                <w:sz w:val="21"/>
                <w:szCs w:val="21"/>
              </w:rPr>
              <w:t>XXXX</w:t>
            </w:r>
            <w:r>
              <w:rPr>
                <w:rFonts w:hint="default" w:asciiTheme="minorEastAsia" w:hAnsiTheme="minorEastAsia" w:eastAsiaTheme="minorEastAsia"/>
                <w:b/>
                <w:color w:val="0000FF"/>
                <w:sz w:val="21"/>
                <w:szCs w:val="21"/>
              </w:rPr>
              <w:t>XXXXXXX</w:t>
            </w: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联系地址</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r>
              <w:rPr>
                <w:rFonts w:asciiTheme="minorEastAsia" w:hAnsiTheme="minorEastAsia" w:eastAsiaTheme="minorEastAsia"/>
                <w:b/>
                <w:color w:val="0000FF"/>
                <w:sz w:val="18"/>
                <w:szCs w:val="18"/>
              </w:rPr>
              <w:t>XX省XX市XX区（县）XX路XX号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委托代理人</w:t>
            </w:r>
          </w:p>
        </w:tc>
        <w:tc>
          <w:tcPr>
            <w:tcW w:w="1655" w:type="dxa"/>
            <w:vAlign w:val="center"/>
          </w:tcPr>
          <w:p>
            <w:pPr>
              <w:spacing w:line="500" w:lineRule="exact"/>
              <w:ind w:firstLine="0" w:firstLineChars="0"/>
              <w:jc w:val="center"/>
              <w:rPr>
                <w:rFonts w:hint="default" w:asciiTheme="minorEastAsia" w:hAnsiTheme="minorEastAsia" w:eastAsiaTheme="minorEastAsia"/>
                <w:color w:val="0000FF"/>
                <w:sz w:val="23"/>
                <w:szCs w:val="23"/>
              </w:rPr>
            </w:pP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身份证件号码</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联系电话</w:t>
            </w:r>
          </w:p>
        </w:tc>
        <w:tc>
          <w:tcPr>
            <w:tcW w:w="1655" w:type="dxa"/>
            <w:vAlign w:val="center"/>
          </w:tcPr>
          <w:p>
            <w:pPr>
              <w:spacing w:line="500" w:lineRule="exact"/>
              <w:ind w:firstLine="0" w:firstLineChars="0"/>
              <w:jc w:val="center"/>
              <w:rPr>
                <w:rFonts w:hint="default" w:asciiTheme="minorEastAsia" w:hAnsiTheme="minorEastAsia" w:eastAsiaTheme="minorEastAsia"/>
                <w:color w:val="0000FF"/>
                <w:sz w:val="23"/>
                <w:szCs w:val="23"/>
              </w:rPr>
            </w:pP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联系地址</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577"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请</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事</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项</w:t>
            </w:r>
          </w:p>
        </w:tc>
        <w:tc>
          <w:tcPr>
            <w:tcW w:w="8107" w:type="dxa"/>
            <w:gridSpan w:val="4"/>
            <w:vAlign w:val="center"/>
          </w:tcPr>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□企业印制发票审批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□对纳税人延期申报的核准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对纳税人延期缴纳税款的核准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□增值税专用发票（增值税税控系统）最高开票限额审批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□对纳税人变更纳税定额的核准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□对采取实际利润额预缴以外的其他企业所得税预缴方式的核定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577"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申请材料</w:t>
            </w:r>
          </w:p>
        </w:tc>
        <w:tc>
          <w:tcPr>
            <w:tcW w:w="8107" w:type="dxa"/>
            <w:gridSpan w:val="4"/>
            <w:vAlign w:val="center"/>
          </w:tcPr>
          <w:p>
            <w:pPr>
              <w:spacing w:line="36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除提供经办人身份证件（□）外，应根据申请事项提供以下相应材料：</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一、企业印制发票审批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□1.《印刷经营许可证》或《其他印刷品印制许可证》</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□2.生产设备、生产流程及安全管理制度</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□3.生产工艺及产品检验制度</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□4.保存、运输及交付相关制度</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二、对纳税人延期缴纳税款的核准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1.《延期缴纳税款申请审批表》</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2.纳税人申请延期缴纳税款报告（详细说明申请延期原因，人员工资、社会保险费支出情况，连续3个月缴纳税款情况。因不可抗力，导致纳税人发生较大损失，正常生产经营活动受到较大影响的，在报告中对不可抗力情况进行说明并承诺：“以上情况属实，特此承诺。”）</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3.当期货币资金余额情况及所有银行存款账户的对账单</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4.应付职工工资和社会保险费等省税务机关要求提供的支出预算</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5.《资产负债表》</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三、对纳税人延期申报的核准</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□1.《延期申报申请核准表》</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□2.确有困难不能正常申报的情况说明</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四、对纳税人变更纳税定额的核准</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□申请变更纳税定额的相关证明材料</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五、增值税专用发票（增值税税控系统）最高开票限额审批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□增值税专用发票最高开票限额申请单</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六、对采取实际利润额预缴以外的其他企业所得税预缴方式的核定</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□按照月度或者季度的实际利润额预缴确有困难的证明材料</w:t>
            </w:r>
          </w:p>
          <w:p>
            <w:pPr>
              <w:spacing w:line="400" w:lineRule="exact"/>
              <w:ind w:firstLine="0" w:firstLineChars="0"/>
              <w:rPr>
                <w:rFonts w:hint="default" w:asciiTheme="minorEastAsia" w:hAnsiTheme="minorEastAsia" w:eastAsiaTheme="minorEastAsia"/>
                <w:sz w:val="23"/>
                <w:szCs w:val="23"/>
              </w:rPr>
            </w:pPr>
          </w:p>
          <w:p>
            <w:pPr>
              <w:spacing w:line="36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委托代理人提出申请的，还应当提供代理委托书（□）、代理人身份证件（□）。</w:t>
            </w:r>
          </w:p>
        </w:tc>
      </w:tr>
    </w:tbl>
    <w:p>
      <w:pPr>
        <w:ind w:firstLine="0" w:firstLineChars="0"/>
        <w:rPr>
          <w:rFonts w:hint="default" w:asciiTheme="minorEastAsia" w:hAnsiTheme="minorEastAsia" w:eastAsiaTheme="minorEastAsia"/>
        </w:rPr>
      </w:pPr>
      <w:r>
        <w:rPr>
          <w:rFonts w:asciiTheme="minorEastAsia" w:hAnsiTheme="minorEastAsia" w:eastAsiaTheme="minorEastAsia"/>
        </w:rPr>
        <w:t xml:space="preserve">收件人：             收件日期：   年   月   日 </w:t>
      </w:r>
      <w:r>
        <w:rPr>
          <w:rFonts w:hint="default" w:asciiTheme="minorEastAsia" w:hAnsiTheme="minorEastAsia" w:eastAsiaTheme="minorEastAsia"/>
        </w:rPr>
        <w:t xml:space="preserve">        </w:t>
      </w:r>
      <w:r>
        <w:rPr>
          <w:rFonts w:asciiTheme="minorEastAsia" w:hAnsiTheme="minorEastAsia" w:eastAsiaTheme="minorEastAsia"/>
        </w:rPr>
        <w:t>编号：</w:t>
      </w:r>
    </w:p>
    <w:p>
      <w:pPr>
        <w:pStyle w:val="55"/>
        <w:jc w:val="center"/>
        <w:rPr>
          <w:rFonts w:ascii="宋体" w:hAnsi="宋体"/>
          <w:b/>
          <w:sz w:val="36"/>
          <w:szCs w:val="36"/>
        </w:rPr>
      </w:pPr>
      <w:r>
        <w:rPr>
          <w:szCs w:val="21"/>
        </w:rPr>
        <w:br w:type="page"/>
      </w:r>
      <w:r>
        <w:rPr>
          <w:rFonts w:hint="eastAsia" w:ascii="宋体" w:hAnsi="宋体"/>
          <w:b/>
          <w:sz w:val="36"/>
          <w:szCs w:val="36"/>
        </w:rPr>
        <w:t>延期缴纳税款申请审批表</w:t>
      </w:r>
    </w:p>
    <w:tbl>
      <w:tblPr>
        <w:tblStyle w:val="18"/>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3"/>
        <w:gridCol w:w="316"/>
        <w:gridCol w:w="284"/>
        <w:gridCol w:w="428"/>
        <w:gridCol w:w="226"/>
        <w:gridCol w:w="322"/>
        <w:gridCol w:w="224"/>
        <w:gridCol w:w="1652"/>
        <w:gridCol w:w="97"/>
        <w:gridCol w:w="944"/>
        <w:gridCol w:w="638"/>
        <w:gridCol w:w="705"/>
        <w:gridCol w:w="375"/>
        <w:gridCol w:w="479"/>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8599" w:type="dxa"/>
            <w:gridSpan w:val="15"/>
            <w:tcMar>
              <w:top w:w="0" w:type="dxa"/>
              <w:left w:w="108" w:type="dxa"/>
              <w:bottom w:w="0" w:type="dxa"/>
              <w:right w:w="108" w:type="dxa"/>
            </w:tcMar>
            <w:vAlign w:val="center"/>
          </w:tcPr>
          <w:p>
            <w:pPr>
              <w:ind w:right="146" w:firstLine="0" w:firstLineChars="0"/>
              <w:jc w:val="right"/>
              <w:rPr>
                <w:rFonts w:hint="default" w:asciiTheme="minorEastAsia" w:hAnsiTheme="minorEastAsia" w:eastAsiaTheme="minorEastAsia"/>
              </w:rPr>
            </w:pPr>
            <w:r>
              <w:rPr>
                <w:rFonts w:asciiTheme="minorEastAsia" w:hAnsiTheme="minorEastAsia" w:eastAsiaTheme="minorEastAsia"/>
              </w:rPr>
              <w:t>金额单位：元（列至角分）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1681" w:type="dxa"/>
            <w:gridSpan w:val="4"/>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纳税人识别号</w:t>
            </w:r>
          </w:p>
        </w:tc>
        <w:tc>
          <w:tcPr>
            <w:tcW w:w="2424" w:type="dxa"/>
            <w:gridSpan w:val="4"/>
            <w:tcMar>
              <w:top w:w="0" w:type="dxa"/>
              <w:left w:w="108" w:type="dxa"/>
              <w:bottom w:w="0" w:type="dxa"/>
              <w:right w:w="108" w:type="dxa"/>
            </w:tcMar>
            <w:vAlign w:val="center"/>
          </w:tcPr>
          <w:p>
            <w:pPr>
              <w:ind w:firstLine="0" w:firstLineChars="0"/>
              <w:jc w:val="center"/>
              <w:rPr>
                <w:rFonts w:hint="default" w:cs="Arial" w:asciiTheme="minorEastAsia" w:hAnsiTheme="minorEastAsia" w:eastAsiaTheme="minorEastAsia"/>
                <w:b/>
                <w:color w:val="0000FF"/>
              </w:rPr>
            </w:pPr>
            <w:r>
              <w:rPr>
                <w:rFonts w:cs="Arial" w:asciiTheme="minorEastAsia" w:hAnsiTheme="minorEastAsia" w:eastAsiaTheme="minorEastAsia"/>
                <w:b/>
                <w:color w:val="0000FF"/>
              </w:rPr>
              <w:t>税务登记证号（统一社会信用代码）</w:t>
            </w:r>
          </w:p>
        </w:tc>
        <w:tc>
          <w:tcPr>
            <w:tcW w:w="1679" w:type="dxa"/>
            <w:gridSpan w:val="3"/>
            <w:tcMar>
              <w:top w:w="0" w:type="dxa"/>
              <w:left w:w="108" w:type="dxa"/>
              <w:bottom w:w="0" w:type="dxa"/>
              <w:right w:w="108" w:type="dxa"/>
            </w:tcMar>
            <w:vAlign w:val="center"/>
          </w:tcPr>
          <w:p>
            <w:pPr>
              <w:ind w:left="84" w:firstLine="0" w:firstLineChars="0"/>
              <w:jc w:val="center"/>
              <w:rPr>
                <w:rFonts w:hint="default" w:asciiTheme="minorEastAsia" w:hAnsiTheme="minorEastAsia" w:eastAsiaTheme="minorEastAsia"/>
              </w:rPr>
            </w:pPr>
            <w:r>
              <w:rPr>
                <w:rFonts w:asciiTheme="minorEastAsia" w:hAnsiTheme="minorEastAsia" w:eastAsiaTheme="minorEastAsia"/>
              </w:rPr>
              <w:t>纳税人名称</w:t>
            </w:r>
          </w:p>
        </w:tc>
        <w:tc>
          <w:tcPr>
            <w:tcW w:w="2815" w:type="dxa"/>
            <w:gridSpan w:val="4"/>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hint="default" w:asciiTheme="minorEastAsia" w:hAnsiTheme="minorEastAsia" w:eastAsiaTheme="minorEastAsia"/>
                <w:b/>
                <w:bCs/>
                <w:color w:val="0000FF"/>
              </w:rPr>
              <w:t>XX</w:t>
            </w:r>
            <w:r>
              <w:rPr>
                <w:rFonts w:asciiTheme="minorEastAsia" w:hAnsiTheme="minorEastAsia" w:eastAsiaTheme="minorEastAsia"/>
                <w:b/>
                <w:bCs/>
                <w:color w:val="0000FF"/>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969" w:type="dxa"/>
            <w:gridSpan w:val="2"/>
            <w:vMerge w:val="restart"/>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申请延期缴纳税款情况</w:t>
            </w:r>
          </w:p>
        </w:tc>
        <w:tc>
          <w:tcPr>
            <w:tcW w:w="1260" w:type="dxa"/>
            <w:gridSpan w:val="4"/>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税种</w:t>
            </w:r>
          </w:p>
        </w:tc>
        <w:tc>
          <w:tcPr>
            <w:tcW w:w="1876"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税款所属时期</w:t>
            </w:r>
          </w:p>
        </w:tc>
        <w:tc>
          <w:tcPr>
            <w:tcW w:w="1679"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应纳税额</w:t>
            </w:r>
          </w:p>
        </w:tc>
        <w:tc>
          <w:tcPr>
            <w:tcW w:w="1559" w:type="dxa"/>
            <w:gridSpan w:val="3"/>
            <w:tcMar>
              <w:top w:w="0" w:type="dxa"/>
              <w:left w:w="108" w:type="dxa"/>
              <w:bottom w:w="0" w:type="dxa"/>
              <w:right w:w="108" w:type="dxa"/>
            </w:tcMar>
            <w:vAlign w:val="center"/>
          </w:tcPr>
          <w:p>
            <w:pPr>
              <w:ind w:left="210" w:firstLine="0" w:firstLineChars="0"/>
              <w:jc w:val="center"/>
              <w:rPr>
                <w:rFonts w:hint="default" w:asciiTheme="minorEastAsia" w:hAnsiTheme="minorEastAsia" w:eastAsiaTheme="minorEastAsia"/>
              </w:rPr>
            </w:pPr>
            <w:r>
              <w:rPr>
                <w:rFonts w:asciiTheme="minorEastAsia" w:hAnsiTheme="minorEastAsia" w:eastAsiaTheme="minorEastAsia"/>
              </w:rPr>
              <w:t>申请延期</w:t>
            </w:r>
          </w:p>
          <w:p>
            <w:pPr>
              <w:ind w:left="210" w:firstLine="0" w:firstLineChars="0"/>
              <w:jc w:val="center"/>
              <w:rPr>
                <w:rFonts w:hint="default" w:asciiTheme="minorEastAsia" w:hAnsiTheme="minorEastAsia" w:eastAsiaTheme="minorEastAsia"/>
              </w:rPr>
            </w:pPr>
            <w:r>
              <w:rPr>
                <w:rFonts w:asciiTheme="minorEastAsia" w:hAnsiTheme="minorEastAsia" w:eastAsiaTheme="minorEastAsia"/>
              </w:rPr>
              <w:t>缴纳税额</w:t>
            </w:r>
          </w:p>
        </w:tc>
        <w:tc>
          <w:tcPr>
            <w:tcW w:w="12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申请延期缴纳期限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jc w:val="center"/>
        </w:trPr>
        <w:tc>
          <w:tcPr>
            <w:tcW w:w="969" w:type="dxa"/>
            <w:gridSpan w:val="2"/>
            <w:vMerge w:val="continue"/>
            <w:vAlign w:val="center"/>
          </w:tcPr>
          <w:p>
            <w:pPr>
              <w:ind w:firstLine="0" w:firstLineChars="0"/>
              <w:jc w:val="center"/>
              <w:rPr>
                <w:rFonts w:hint="default" w:asciiTheme="minorEastAsia" w:hAnsiTheme="minorEastAsia" w:eastAsiaTheme="minorEastAsia"/>
              </w:rPr>
            </w:pPr>
          </w:p>
        </w:tc>
        <w:tc>
          <w:tcPr>
            <w:tcW w:w="1260" w:type="dxa"/>
            <w:gridSpan w:val="4"/>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XX税</w:t>
            </w:r>
          </w:p>
        </w:tc>
        <w:tc>
          <w:tcPr>
            <w:tcW w:w="1876"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XXXX年XX月XX日至XXXX年XX月XX日</w:t>
            </w:r>
          </w:p>
        </w:tc>
        <w:tc>
          <w:tcPr>
            <w:tcW w:w="1679"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color w:val="0000FF"/>
              </w:rPr>
              <w:t>XX</w:t>
            </w:r>
          </w:p>
        </w:tc>
        <w:tc>
          <w:tcPr>
            <w:tcW w:w="1559"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XX</w:t>
            </w:r>
          </w:p>
        </w:tc>
        <w:tc>
          <w:tcPr>
            <w:tcW w:w="12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color w:val="0000FF"/>
              </w:rPr>
              <w:t>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969" w:type="dxa"/>
            <w:gridSpan w:val="2"/>
            <w:vMerge w:val="continue"/>
            <w:vAlign w:val="center"/>
          </w:tcPr>
          <w:p>
            <w:pPr>
              <w:ind w:firstLine="0" w:firstLineChars="0"/>
              <w:jc w:val="center"/>
              <w:rPr>
                <w:rFonts w:hint="default" w:asciiTheme="minorEastAsia" w:hAnsiTheme="minorEastAsia" w:eastAsiaTheme="minorEastAsia"/>
              </w:rPr>
            </w:pPr>
          </w:p>
        </w:tc>
        <w:tc>
          <w:tcPr>
            <w:tcW w:w="1260" w:type="dxa"/>
            <w:gridSpan w:val="4"/>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color w:val="0000FF"/>
              </w:rPr>
              <w:t>XX税</w:t>
            </w:r>
          </w:p>
        </w:tc>
        <w:tc>
          <w:tcPr>
            <w:tcW w:w="1876"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XXXX年XX月XX日至XXXX年XX月XX日</w:t>
            </w:r>
          </w:p>
        </w:tc>
        <w:tc>
          <w:tcPr>
            <w:tcW w:w="1679"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color w:val="0000FF"/>
              </w:rPr>
              <w:t>XX</w:t>
            </w:r>
          </w:p>
        </w:tc>
        <w:tc>
          <w:tcPr>
            <w:tcW w:w="1559"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color w:val="0000FF"/>
              </w:rPr>
            </w:pPr>
            <w:bookmarkStart w:id="261" w:name="_Hlk13081401"/>
            <w:bookmarkEnd w:id="261"/>
          </w:p>
          <w:p>
            <w:pPr>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XX</w:t>
            </w:r>
          </w:p>
        </w:tc>
        <w:tc>
          <w:tcPr>
            <w:tcW w:w="12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color w:val="0000FF"/>
              </w:rPr>
              <w:t>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969" w:type="dxa"/>
            <w:gridSpan w:val="2"/>
            <w:vMerge w:val="continue"/>
            <w:vAlign w:val="center"/>
          </w:tcPr>
          <w:p>
            <w:pPr>
              <w:ind w:firstLine="0" w:firstLineChars="0"/>
              <w:jc w:val="center"/>
              <w:rPr>
                <w:rFonts w:hint="default" w:asciiTheme="minorEastAsia" w:hAnsiTheme="minorEastAsia" w:eastAsiaTheme="minorEastAsia"/>
              </w:rPr>
            </w:pPr>
          </w:p>
        </w:tc>
        <w:tc>
          <w:tcPr>
            <w:tcW w:w="1260" w:type="dxa"/>
            <w:gridSpan w:val="4"/>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p>
        </w:tc>
        <w:tc>
          <w:tcPr>
            <w:tcW w:w="1876"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p>
        </w:tc>
        <w:tc>
          <w:tcPr>
            <w:tcW w:w="1679"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p>
        </w:tc>
        <w:tc>
          <w:tcPr>
            <w:tcW w:w="1559"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p>
        </w:tc>
        <w:tc>
          <w:tcPr>
            <w:tcW w:w="1256" w:type="dxa"/>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color w:val="0000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1907" w:type="dxa"/>
            <w:gridSpan w:val="5"/>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当期货币资金余额</w:t>
            </w:r>
          </w:p>
        </w:tc>
        <w:tc>
          <w:tcPr>
            <w:tcW w:w="6692" w:type="dxa"/>
            <w:gridSpan w:val="10"/>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人民币（大写）</w:t>
            </w:r>
            <w:r>
              <w:rPr>
                <w:rFonts w:asciiTheme="minorEastAsia" w:hAnsiTheme="minorEastAsia" w:eastAsiaTheme="minorEastAsia"/>
                <w:b/>
                <w:color w:val="0000FF"/>
              </w:rPr>
              <w:t>XX</w:t>
            </w:r>
            <w:r>
              <w:rPr>
                <w:rFonts w:hint="default" w:asciiTheme="minorEastAsia" w:hAnsiTheme="minorEastAsia" w:eastAsiaTheme="minorEastAsia"/>
                <w:b/>
                <w:color w:val="0000FF"/>
              </w:rPr>
              <w:t>XX</w:t>
            </w:r>
            <w:r>
              <w:rPr>
                <w:rFonts w:asciiTheme="minorEastAsia" w:hAnsiTheme="minorEastAsia" w:eastAsiaTheme="minorEastAsia"/>
                <w:b/>
                <w:color w:val="0000FF"/>
              </w:rPr>
              <w:t>（申请日当天的余额：现金+银行存款）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1907" w:type="dxa"/>
            <w:gridSpan w:val="5"/>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sz w:val="22"/>
                <w:szCs w:val="22"/>
              </w:rPr>
            </w:pPr>
            <w:r>
              <w:rPr>
                <w:rFonts w:asciiTheme="minorEastAsia" w:hAnsiTheme="minorEastAsia" w:eastAsiaTheme="minorEastAsia"/>
                <w:sz w:val="22"/>
                <w:szCs w:val="22"/>
              </w:rPr>
              <w:t>当期应付职工资</w:t>
            </w:r>
          </w:p>
          <w:p>
            <w:pPr>
              <w:ind w:firstLine="0" w:firstLineChars="0"/>
              <w:jc w:val="center"/>
              <w:rPr>
                <w:rFonts w:hint="default" w:asciiTheme="minorEastAsia" w:hAnsiTheme="minorEastAsia" w:eastAsiaTheme="minorEastAsia"/>
              </w:rPr>
            </w:pPr>
            <w:r>
              <w:rPr>
                <w:rFonts w:asciiTheme="minorEastAsia" w:hAnsiTheme="minorEastAsia" w:eastAsiaTheme="minorEastAsia"/>
                <w:sz w:val="22"/>
                <w:szCs w:val="22"/>
              </w:rPr>
              <w:t>支出预算</w:t>
            </w:r>
          </w:p>
        </w:tc>
        <w:tc>
          <w:tcPr>
            <w:tcW w:w="2295" w:type="dxa"/>
            <w:gridSpan w:val="4"/>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b/>
                <w:color w:val="0000FF"/>
              </w:rPr>
              <w:t>XX（申请日所在月的应付工资）</w:t>
            </w:r>
          </w:p>
        </w:tc>
        <w:tc>
          <w:tcPr>
            <w:tcW w:w="2287"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当期社会保险费支出预算</w:t>
            </w:r>
          </w:p>
        </w:tc>
        <w:tc>
          <w:tcPr>
            <w:tcW w:w="2110"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b/>
                <w:color w:val="0000FF"/>
              </w:rPr>
              <w:t>XX（申请日所在月的应付社保）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1253"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申请延期缴纳税款理由</w:t>
            </w:r>
          </w:p>
        </w:tc>
        <w:tc>
          <w:tcPr>
            <w:tcW w:w="7346" w:type="dxa"/>
            <w:gridSpan w:val="12"/>
            <w:tcMar>
              <w:top w:w="0" w:type="dxa"/>
              <w:left w:w="108" w:type="dxa"/>
              <w:bottom w:w="0" w:type="dxa"/>
              <w:right w:w="108" w:type="dxa"/>
            </w:tcMar>
            <w:vAlign w:val="center"/>
          </w:tcPr>
          <w:p>
            <w:pPr>
              <w:ind w:firstLine="0" w:firstLineChars="0"/>
              <w:rPr>
                <w:rFonts w:hint="default" w:cs="宋体" w:asciiTheme="minorEastAsia" w:hAnsiTheme="minorEastAsia" w:eastAsiaTheme="minorEastAsia"/>
                <w:color w:val="0000FF"/>
              </w:rPr>
            </w:pPr>
          </w:p>
          <w:p>
            <w:pPr>
              <w:ind w:firstLine="0" w:firstLineChars="0"/>
              <w:rPr>
                <w:rFonts w:hint="default" w:asciiTheme="minorEastAsia" w:hAnsiTheme="minorEastAsia" w:eastAsiaTheme="minorEastAsia"/>
                <w:b/>
                <w:color w:val="0000FF"/>
              </w:rPr>
            </w:pPr>
            <w:r>
              <w:rPr>
                <w:rFonts w:asciiTheme="minorEastAsia" w:hAnsiTheme="minorEastAsia" w:eastAsiaTheme="minorEastAsia"/>
              </w:rPr>
              <w:drawing>
                <wp:anchor distT="0" distB="0" distL="114300" distR="114300" simplePos="0" relativeHeight="251667456" behindDoc="0" locked="0" layoutInCell="1" allowOverlap="1">
                  <wp:simplePos x="0" y="0"/>
                  <wp:positionH relativeFrom="column">
                    <wp:posOffset>3363595</wp:posOffset>
                  </wp:positionH>
                  <wp:positionV relativeFrom="paragraph">
                    <wp:posOffset>259715</wp:posOffset>
                  </wp:positionV>
                  <wp:extent cx="1143000" cy="1066800"/>
                  <wp:effectExtent l="0" t="0" r="0" b="0"/>
                  <wp:wrapNone/>
                  <wp:docPr id="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pic:cNvPicPr>
                            <a:picLocks noChangeAspect="1" noChangeArrowheads="1"/>
                          </pic:cNvPicPr>
                        </pic:nvPicPr>
                        <pic:blipFill>
                          <a:blip r:embed="rId14"/>
                          <a:srcRect/>
                          <a:stretch>
                            <a:fillRect/>
                          </a:stretch>
                        </pic:blipFill>
                        <pic:spPr>
                          <a:xfrm>
                            <a:off x="0" y="0"/>
                            <a:ext cx="1143000" cy="1066800"/>
                          </a:xfrm>
                          <a:prstGeom prst="rect">
                            <a:avLst/>
                          </a:prstGeom>
                          <a:noFill/>
                          <a:ln w="9525">
                            <a:noFill/>
                            <a:miter lim="800000"/>
                            <a:headEnd/>
                            <a:tailEnd/>
                          </a:ln>
                        </pic:spPr>
                      </pic:pic>
                    </a:graphicData>
                  </a:graphic>
                </wp:anchor>
              </w:drawing>
            </w:r>
            <w:r>
              <w:rPr>
                <w:rFonts w:asciiTheme="minorEastAsia" w:hAnsiTheme="minorEastAsia" w:eastAsiaTheme="minorEastAsia"/>
                <w:b/>
                <w:color w:val="0000FF"/>
              </w:rPr>
              <w:t>依据《中华人民共和国税收征收管理法》（中华人民共和国主席令第四十九号）第三十一条提出申请。</w:t>
            </w:r>
          </w:p>
          <w:p>
            <w:pPr>
              <w:tabs>
                <w:tab w:val="center" w:pos="4153"/>
                <w:tab w:val="right" w:pos="8306"/>
              </w:tabs>
              <w:ind w:firstLine="0" w:firstLineChars="0"/>
              <w:rPr>
                <w:rFonts w:hint="default" w:cs="宋体" w:asciiTheme="minorEastAsia" w:hAnsiTheme="minorEastAsia" w:eastAsiaTheme="minorEastAsia"/>
                <w:color w:val="0000FF"/>
              </w:rPr>
            </w:pPr>
          </w:p>
          <w:p>
            <w:pPr>
              <w:tabs>
                <w:tab w:val="center" w:pos="4153"/>
                <w:tab w:val="right" w:pos="8306"/>
              </w:tabs>
              <w:ind w:firstLine="0" w:firstLineChars="0"/>
              <w:rPr>
                <w:rFonts w:hint="default" w:cs="宋体" w:asciiTheme="minorEastAsia" w:hAnsiTheme="minorEastAsia" w:eastAsiaTheme="minorEastAsia"/>
                <w:color w:val="0000FF"/>
              </w:rPr>
            </w:pPr>
          </w:p>
          <w:p>
            <w:pPr>
              <w:tabs>
                <w:tab w:val="center" w:pos="4153"/>
                <w:tab w:val="right" w:pos="8306"/>
              </w:tabs>
              <w:ind w:firstLine="0" w:firstLineChars="0"/>
              <w:rPr>
                <w:rFonts w:hint="default" w:asciiTheme="minorEastAsia" w:hAnsiTheme="minorEastAsia" w:eastAsiaTheme="minorEastAsia"/>
              </w:rPr>
            </w:pPr>
            <w:r>
              <w:rPr>
                <w:rFonts w:asciiTheme="minorEastAsia" w:hAnsiTheme="minorEastAsia" w:eastAsiaTheme="minorEastAsia"/>
              </w:rPr>
              <w:t>经办人：</w:t>
            </w:r>
            <w:r>
              <w:rPr>
                <w:rFonts w:asciiTheme="minorEastAsia" w:hAnsiTheme="minorEastAsia" w:eastAsiaTheme="minorEastAsia"/>
                <w:b/>
                <w:color w:val="0000FF"/>
              </w:rPr>
              <w:t>XX</w:t>
            </w:r>
            <w:r>
              <w:rPr>
                <w:rFonts w:hint="default" w:asciiTheme="minorEastAsia" w:hAnsiTheme="minorEastAsia" w:eastAsiaTheme="minorEastAsia"/>
                <w:b/>
                <w:color w:val="0000FF"/>
              </w:rPr>
              <w:t xml:space="preserve">       </w:t>
            </w:r>
            <w:r>
              <w:rPr>
                <w:rFonts w:asciiTheme="minorEastAsia" w:hAnsiTheme="minorEastAsia" w:eastAsiaTheme="minorEastAsia"/>
              </w:rPr>
              <w:t>法定代表人（负责人）：</w:t>
            </w:r>
            <w:r>
              <w:rPr>
                <w:rFonts w:asciiTheme="minorEastAsia" w:hAnsiTheme="minorEastAsia" w:eastAsiaTheme="minorEastAsia"/>
                <w:b/>
                <w:color w:val="0000FF"/>
              </w:rPr>
              <w:t xml:space="preserve">XX </w:t>
            </w:r>
            <w:r>
              <w:rPr>
                <w:rFonts w:hint="default" w:asciiTheme="minorEastAsia" w:hAnsiTheme="minorEastAsia" w:eastAsiaTheme="minorEastAsia"/>
                <w:b/>
                <w:color w:val="0000FF"/>
              </w:rPr>
              <w:t xml:space="preserve">    </w:t>
            </w:r>
            <w:r>
              <w:rPr>
                <w:rFonts w:asciiTheme="minorEastAsia" w:hAnsiTheme="minorEastAsia" w:eastAsiaTheme="minorEastAsia"/>
              </w:rPr>
              <w:t>纳税人（签章）</w:t>
            </w:r>
          </w:p>
          <w:p>
            <w:pPr>
              <w:tabs>
                <w:tab w:val="center" w:pos="4153"/>
                <w:tab w:val="right" w:pos="8306"/>
              </w:tabs>
              <w:ind w:firstLine="0" w:firstLineChars="0"/>
              <w:rPr>
                <w:rFonts w:hint="default" w:asciiTheme="minorEastAsia" w:hAnsiTheme="minorEastAsia" w:eastAsiaTheme="minorEastAsia"/>
                <w:color w:val="0000FF"/>
              </w:rPr>
            </w:pPr>
            <w:r>
              <w:rPr>
                <w:rFonts w:asciiTheme="minorEastAsia" w:hAnsiTheme="minorEastAsia" w:eastAsiaTheme="minorEastAsia"/>
                <w:b/>
                <w:color w:val="0000FF"/>
              </w:rPr>
              <w:t>XXXX</w:t>
            </w:r>
            <w:r>
              <w:rPr>
                <w:rFonts w:asciiTheme="minorEastAsia" w:hAnsiTheme="minorEastAsia" w:eastAsiaTheme="minorEastAsia"/>
              </w:rPr>
              <w:t>年</w:t>
            </w:r>
            <w:r>
              <w:rPr>
                <w:rFonts w:asciiTheme="minorEastAsia" w:hAnsiTheme="minorEastAsia" w:eastAsiaTheme="minorEastAsia"/>
                <w:b/>
                <w:color w:val="0000FF"/>
              </w:rPr>
              <w:t>XX</w:t>
            </w:r>
            <w:r>
              <w:rPr>
                <w:rFonts w:asciiTheme="minorEastAsia" w:hAnsiTheme="minorEastAsia" w:eastAsiaTheme="minorEastAsia"/>
              </w:rPr>
              <w:t>月</w:t>
            </w:r>
            <w:r>
              <w:rPr>
                <w:rFonts w:asciiTheme="minorEastAsia" w:hAnsiTheme="minorEastAsia" w:eastAsiaTheme="minorEastAsia"/>
                <w:b/>
                <w:color w:val="0000FF"/>
              </w:rPr>
              <w:t>XX</w:t>
            </w:r>
            <w:r>
              <w:rPr>
                <w:rFonts w:asciiTheme="minorEastAsia" w:hAnsiTheme="minorEastAsia" w:eastAsiaTheme="minorEastAsia"/>
              </w:rPr>
              <w:t xml:space="preserve">日 </w:t>
            </w:r>
            <w:r>
              <w:rPr>
                <w:rFonts w:hint="default" w:asciiTheme="minorEastAsia" w:hAnsiTheme="minorEastAsia" w:eastAsiaTheme="minorEastAsia"/>
              </w:rPr>
              <w:t xml:space="preserve"> </w:t>
            </w:r>
            <w:r>
              <w:rPr>
                <w:rFonts w:asciiTheme="minorEastAsia" w:hAnsiTheme="minorEastAsia" w:eastAsiaTheme="minorEastAsia"/>
                <w:b/>
                <w:color w:val="0000FF"/>
              </w:rPr>
              <w:t>XXXX</w:t>
            </w:r>
            <w:r>
              <w:rPr>
                <w:rFonts w:asciiTheme="minorEastAsia" w:hAnsiTheme="minorEastAsia" w:eastAsiaTheme="minorEastAsia"/>
              </w:rPr>
              <w:t>年</w:t>
            </w:r>
            <w:r>
              <w:rPr>
                <w:rFonts w:asciiTheme="minorEastAsia" w:hAnsiTheme="minorEastAsia" w:eastAsiaTheme="minorEastAsia"/>
                <w:b/>
                <w:color w:val="0000FF"/>
              </w:rPr>
              <w:t>XX</w:t>
            </w:r>
            <w:r>
              <w:rPr>
                <w:rFonts w:asciiTheme="minorEastAsia" w:hAnsiTheme="minorEastAsia" w:eastAsiaTheme="minorEastAsia"/>
              </w:rPr>
              <w:t>月</w:t>
            </w:r>
            <w:r>
              <w:rPr>
                <w:rFonts w:asciiTheme="minorEastAsia" w:hAnsiTheme="minorEastAsia" w:eastAsiaTheme="minorEastAsia"/>
                <w:b/>
                <w:color w:val="0000FF"/>
              </w:rPr>
              <w:t>XX</w:t>
            </w:r>
            <w:r>
              <w:rPr>
                <w:rFonts w:asciiTheme="minorEastAsia" w:hAnsiTheme="minorEastAsia" w:eastAsiaTheme="minorEastAsia"/>
              </w:rPr>
              <w:t xml:space="preserve">日 </w:t>
            </w:r>
            <w:r>
              <w:rPr>
                <w:rFonts w:hint="default" w:asciiTheme="minorEastAsia" w:hAnsiTheme="minorEastAsia" w:eastAsiaTheme="minorEastAsia"/>
              </w:rPr>
              <w:t xml:space="preserve">       </w:t>
            </w:r>
            <w:r>
              <w:rPr>
                <w:rFonts w:asciiTheme="minorEastAsia" w:hAnsiTheme="minorEastAsia" w:eastAsiaTheme="minorEastAsia"/>
                <w:b/>
                <w:color w:val="0000FF"/>
              </w:rPr>
              <w:t>XXXX</w:t>
            </w:r>
            <w:r>
              <w:rPr>
                <w:rFonts w:asciiTheme="minorEastAsia" w:hAnsiTheme="minorEastAsia" w:eastAsiaTheme="minorEastAsia"/>
              </w:rPr>
              <w:t>年</w:t>
            </w:r>
            <w:r>
              <w:rPr>
                <w:rFonts w:asciiTheme="minorEastAsia" w:hAnsiTheme="minorEastAsia" w:eastAsiaTheme="minorEastAsia"/>
                <w:b/>
                <w:color w:val="0000FF"/>
              </w:rPr>
              <w:t>XX</w:t>
            </w:r>
            <w:r>
              <w:rPr>
                <w:rFonts w:asciiTheme="minorEastAsia" w:hAnsiTheme="minorEastAsia" w:eastAsiaTheme="minorEastAsia"/>
              </w:rPr>
              <w:t>月</w:t>
            </w:r>
            <w:r>
              <w:rPr>
                <w:rFonts w:asciiTheme="minorEastAsia" w:hAnsiTheme="minorEastAsia" w:eastAsiaTheme="minorEastAsia"/>
                <w:b/>
                <w:color w:val="0000FF"/>
              </w:rPr>
              <w:t>XX</w:t>
            </w:r>
            <w:r>
              <w:rPr>
                <w:rFonts w:asciiTheme="minorEastAsia" w:hAnsiTheme="minorEastAsia" w:eastAsiaTheme="minor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8599" w:type="dxa"/>
            <w:gridSpan w:val="15"/>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税务机关审批意见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4202" w:type="dxa"/>
            <w:gridSpan w:val="9"/>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管理部门意见</w:t>
            </w:r>
          </w:p>
        </w:tc>
        <w:tc>
          <w:tcPr>
            <w:tcW w:w="4397" w:type="dxa"/>
            <w:gridSpan w:val="6"/>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县（区）税务机关意见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653" w:type="dxa"/>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税种</w:t>
            </w:r>
          </w:p>
        </w:tc>
        <w:tc>
          <w:tcPr>
            <w:tcW w:w="1800" w:type="dxa"/>
            <w:gridSpan w:val="6"/>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延期缴</w:t>
            </w:r>
          </w:p>
          <w:p>
            <w:pPr>
              <w:ind w:firstLine="0" w:firstLineChars="0"/>
              <w:jc w:val="center"/>
              <w:rPr>
                <w:rFonts w:hint="default" w:asciiTheme="minorEastAsia" w:hAnsiTheme="minorEastAsia" w:eastAsiaTheme="minorEastAsia"/>
              </w:rPr>
            </w:pPr>
            <w:r>
              <w:rPr>
                <w:rFonts w:asciiTheme="minorEastAsia" w:hAnsiTheme="minorEastAsia" w:eastAsiaTheme="minorEastAsia"/>
              </w:rPr>
              <w:t>纳税额</w:t>
            </w:r>
          </w:p>
        </w:tc>
        <w:tc>
          <w:tcPr>
            <w:tcW w:w="1749" w:type="dxa"/>
            <w:gridSpan w:val="2"/>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延期缴纳</w:t>
            </w:r>
          </w:p>
          <w:p>
            <w:pPr>
              <w:ind w:firstLine="0" w:firstLineChars="0"/>
              <w:jc w:val="center"/>
              <w:rPr>
                <w:rFonts w:hint="default" w:asciiTheme="minorEastAsia" w:hAnsiTheme="minorEastAsia" w:eastAsiaTheme="minorEastAsia"/>
              </w:rPr>
            </w:pPr>
            <w:r>
              <w:rPr>
                <w:rFonts w:asciiTheme="minorEastAsia" w:hAnsiTheme="minorEastAsia" w:eastAsiaTheme="minorEastAsia"/>
              </w:rPr>
              <w:t>期限</w:t>
            </w:r>
          </w:p>
        </w:tc>
        <w:tc>
          <w:tcPr>
            <w:tcW w:w="944" w:type="dxa"/>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税种</w:t>
            </w:r>
          </w:p>
        </w:tc>
        <w:tc>
          <w:tcPr>
            <w:tcW w:w="1718" w:type="dxa"/>
            <w:gridSpan w:val="3"/>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延期缴纳</w:t>
            </w:r>
          </w:p>
          <w:p>
            <w:pPr>
              <w:ind w:firstLine="0" w:firstLineChars="0"/>
              <w:jc w:val="center"/>
              <w:rPr>
                <w:rFonts w:hint="default" w:asciiTheme="minorEastAsia" w:hAnsiTheme="minorEastAsia" w:eastAsiaTheme="minorEastAsia"/>
              </w:rPr>
            </w:pPr>
            <w:r>
              <w:rPr>
                <w:rFonts w:asciiTheme="minorEastAsia" w:hAnsiTheme="minorEastAsia" w:eastAsiaTheme="minorEastAsia"/>
              </w:rPr>
              <w:t>税额</w:t>
            </w:r>
          </w:p>
        </w:tc>
        <w:tc>
          <w:tcPr>
            <w:tcW w:w="1735" w:type="dxa"/>
            <w:gridSpan w:val="2"/>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延期缴纳期限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653" w:type="dxa"/>
            <w:vAlign w:val="center"/>
          </w:tcPr>
          <w:p>
            <w:pPr>
              <w:ind w:firstLine="0" w:firstLineChars="0"/>
              <w:rPr>
                <w:rFonts w:hint="default" w:asciiTheme="minorEastAsia" w:hAnsiTheme="minorEastAsia" w:eastAsiaTheme="minorEastAsia"/>
              </w:rPr>
            </w:pPr>
          </w:p>
        </w:tc>
        <w:tc>
          <w:tcPr>
            <w:tcW w:w="1800" w:type="dxa"/>
            <w:gridSpan w:val="6"/>
            <w:vAlign w:val="center"/>
          </w:tcPr>
          <w:p>
            <w:pPr>
              <w:ind w:firstLine="0" w:firstLineChars="0"/>
              <w:rPr>
                <w:rFonts w:hint="default" w:asciiTheme="minorEastAsia" w:hAnsiTheme="minorEastAsia" w:eastAsiaTheme="minorEastAsia"/>
              </w:rPr>
            </w:pPr>
          </w:p>
        </w:tc>
        <w:tc>
          <w:tcPr>
            <w:tcW w:w="1749" w:type="dxa"/>
            <w:gridSpan w:val="2"/>
            <w:vAlign w:val="center"/>
          </w:tcPr>
          <w:p>
            <w:pPr>
              <w:ind w:firstLine="0" w:firstLineChars="0"/>
              <w:rPr>
                <w:rFonts w:hint="default" w:asciiTheme="minorEastAsia" w:hAnsiTheme="minorEastAsia" w:eastAsiaTheme="minorEastAsia"/>
              </w:rPr>
            </w:pPr>
          </w:p>
        </w:tc>
        <w:tc>
          <w:tcPr>
            <w:tcW w:w="944" w:type="dxa"/>
            <w:tcMar>
              <w:top w:w="0" w:type="dxa"/>
              <w:left w:w="108" w:type="dxa"/>
              <w:bottom w:w="0" w:type="dxa"/>
              <w:right w:w="108" w:type="dxa"/>
            </w:tcMar>
            <w:vAlign w:val="center"/>
          </w:tcPr>
          <w:p>
            <w:pPr>
              <w:ind w:firstLine="0" w:firstLineChars="0"/>
              <w:rPr>
                <w:rFonts w:hint="default" w:asciiTheme="minorEastAsia" w:hAnsiTheme="minorEastAsia" w:eastAsiaTheme="minorEastAsia"/>
              </w:rPr>
            </w:pPr>
          </w:p>
        </w:tc>
        <w:tc>
          <w:tcPr>
            <w:tcW w:w="1718" w:type="dxa"/>
            <w:gridSpan w:val="3"/>
            <w:tcMar>
              <w:top w:w="0" w:type="dxa"/>
              <w:left w:w="108" w:type="dxa"/>
              <w:bottom w:w="0" w:type="dxa"/>
              <w:right w:w="108" w:type="dxa"/>
            </w:tcMar>
            <w:vAlign w:val="center"/>
          </w:tcPr>
          <w:p>
            <w:pPr>
              <w:ind w:firstLine="0" w:firstLineChars="0"/>
              <w:rPr>
                <w:rFonts w:hint="default" w:asciiTheme="minorEastAsia" w:hAnsiTheme="minorEastAsia" w:eastAsiaTheme="minorEastAsia"/>
              </w:rPr>
            </w:pPr>
          </w:p>
        </w:tc>
        <w:tc>
          <w:tcPr>
            <w:tcW w:w="1735" w:type="dxa"/>
            <w:gridSpan w:val="2"/>
            <w:tcMar>
              <w:top w:w="0" w:type="dxa"/>
              <w:left w:w="108" w:type="dxa"/>
              <w:bottom w:w="0" w:type="dxa"/>
              <w:right w:w="108" w:type="dxa"/>
            </w:tcMar>
            <w:vAlign w:val="center"/>
          </w:tcPr>
          <w:p>
            <w:pPr>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4" w:hRule="atLeast"/>
          <w:jc w:val="center"/>
        </w:trPr>
        <w:tc>
          <w:tcPr>
            <w:tcW w:w="4202" w:type="dxa"/>
            <w:gridSpan w:val="9"/>
            <w:tcMar>
              <w:top w:w="0" w:type="dxa"/>
              <w:left w:w="108" w:type="dxa"/>
              <w:bottom w:w="0" w:type="dxa"/>
              <w:right w:w="108" w:type="dxa"/>
            </w:tcMar>
            <w:vAlign w:val="center"/>
          </w:tcPr>
          <w:p>
            <w:pPr>
              <w:ind w:firstLine="0" w:firstLineChars="0"/>
              <w:rPr>
                <w:rFonts w:hint="default" w:asciiTheme="minorEastAsia" w:hAnsiTheme="minorEastAsia" w:eastAsiaTheme="minorEastAsia"/>
              </w:rPr>
            </w:pPr>
          </w:p>
          <w:p>
            <w:pPr>
              <w:ind w:firstLine="0" w:firstLineChars="0"/>
              <w:rPr>
                <w:rFonts w:hint="default" w:asciiTheme="minorEastAsia" w:hAnsiTheme="minorEastAsia" w:eastAsiaTheme="minorEastAsia"/>
              </w:rPr>
            </w:pPr>
            <w:r>
              <w:rPr>
                <w:rFonts w:asciiTheme="minorEastAsia" w:hAnsiTheme="minorEastAsia" w:eastAsiaTheme="minorEastAsia"/>
              </w:rPr>
              <w:t>经办人：负责人：税务机关（签章）</w:t>
            </w:r>
          </w:p>
          <w:p>
            <w:pPr>
              <w:ind w:firstLine="0" w:firstLineChars="0"/>
              <w:rPr>
                <w:rFonts w:hint="default" w:asciiTheme="minorEastAsia" w:hAnsiTheme="minorEastAsia" w:eastAsiaTheme="minorEastAsia"/>
              </w:rPr>
            </w:pPr>
            <w:r>
              <w:rPr>
                <w:rFonts w:asciiTheme="minorEastAsia" w:hAnsiTheme="minorEastAsia" w:eastAsiaTheme="minorEastAsia"/>
              </w:rPr>
              <w:t>年 月 日 年 月 日 年 月 日</w:t>
            </w:r>
          </w:p>
        </w:tc>
        <w:tc>
          <w:tcPr>
            <w:tcW w:w="4397" w:type="dxa"/>
            <w:gridSpan w:val="6"/>
            <w:tcMar>
              <w:top w:w="0" w:type="dxa"/>
              <w:left w:w="108" w:type="dxa"/>
              <w:bottom w:w="0" w:type="dxa"/>
              <w:right w:w="108" w:type="dxa"/>
            </w:tcMar>
            <w:vAlign w:val="center"/>
          </w:tcPr>
          <w:p>
            <w:pPr>
              <w:ind w:firstLine="0" w:firstLineChars="0"/>
              <w:rPr>
                <w:rFonts w:hint="default" w:asciiTheme="minorEastAsia" w:hAnsiTheme="minorEastAsia" w:eastAsiaTheme="minorEastAsia"/>
              </w:rPr>
            </w:pPr>
          </w:p>
          <w:p>
            <w:pPr>
              <w:ind w:firstLine="0" w:firstLineChars="0"/>
              <w:rPr>
                <w:rFonts w:hint="default" w:asciiTheme="minorEastAsia" w:hAnsiTheme="minorEastAsia" w:eastAsiaTheme="minorEastAsia"/>
              </w:rPr>
            </w:pPr>
            <w:r>
              <w:rPr>
                <w:rFonts w:asciiTheme="minorEastAsia" w:hAnsiTheme="minorEastAsia" w:eastAsiaTheme="minorEastAsia"/>
              </w:rPr>
              <w:t>经办人：负责人：税务机关（签章）</w:t>
            </w:r>
          </w:p>
          <w:p>
            <w:pPr>
              <w:ind w:firstLine="0" w:firstLineChars="0"/>
              <w:rPr>
                <w:rFonts w:hint="default" w:asciiTheme="minorEastAsia" w:hAnsiTheme="minorEastAsia" w:eastAsiaTheme="minorEastAsia"/>
              </w:rPr>
            </w:pPr>
            <w:r>
              <w:rPr>
                <w:rFonts w:asciiTheme="minorEastAsia" w:hAnsiTheme="minorEastAsia" w:eastAsiaTheme="minorEastAsia"/>
              </w:rPr>
              <w:t>年 月 日 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4202" w:type="dxa"/>
            <w:gridSpan w:val="9"/>
            <w:tcMar>
              <w:top w:w="0" w:type="dxa"/>
              <w:left w:w="108" w:type="dxa"/>
              <w:bottom w:w="0" w:type="dxa"/>
              <w:right w:w="108" w:type="dxa"/>
            </w:tcMar>
            <w:vAlign w:val="center"/>
          </w:tcPr>
          <w:p>
            <w:pPr>
              <w:ind w:firstLine="480"/>
              <w:rPr>
                <w:rFonts w:hint="default"/>
              </w:rPr>
            </w:pPr>
            <w:r>
              <w:t>（地）市级税务机关审核意见</w:t>
            </w:r>
          </w:p>
        </w:tc>
        <w:tc>
          <w:tcPr>
            <w:tcW w:w="4397" w:type="dxa"/>
            <w:gridSpan w:val="6"/>
            <w:tcMar>
              <w:top w:w="0" w:type="dxa"/>
              <w:left w:w="108" w:type="dxa"/>
              <w:bottom w:w="0" w:type="dxa"/>
              <w:right w:w="108" w:type="dxa"/>
            </w:tcMar>
            <w:vAlign w:val="center"/>
          </w:tcPr>
          <w:p>
            <w:pPr>
              <w:ind w:firstLine="480"/>
              <w:rPr>
                <w:rFonts w:hint="default"/>
              </w:rPr>
            </w:pPr>
            <w:r>
              <w:t>省级税务机关批准意见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653" w:type="dxa"/>
            <w:vAlign w:val="center"/>
          </w:tcPr>
          <w:p>
            <w:pPr>
              <w:ind w:firstLine="0" w:firstLineChars="0"/>
              <w:rPr>
                <w:rFonts w:hint="default"/>
              </w:rPr>
            </w:pPr>
            <w:r>
              <w:t>税种</w:t>
            </w:r>
          </w:p>
        </w:tc>
        <w:tc>
          <w:tcPr>
            <w:tcW w:w="1800" w:type="dxa"/>
            <w:gridSpan w:val="6"/>
            <w:vAlign w:val="center"/>
          </w:tcPr>
          <w:p>
            <w:pPr>
              <w:ind w:firstLine="480"/>
              <w:jc w:val="center"/>
              <w:rPr>
                <w:rFonts w:hint="default"/>
              </w:rPr>
            </w:pPr>
            <w:r>
              <w:t>延期缴纳</w:t>
            </w:r>
          </w:p>
          <w:p>
            <w:pPr>
              <w:ind w:firstLine="480"/>
              <w:jc w:val="center"/>
              <w:rPr>
                <w:rFonts w:hint="default"/>
              </w:rPr>
            </w:pPr>
            <w:r>
              <w:t>税额</w:t>
            </w:r>
          </w:p>
        </w:tc>
        <w:tc>
          <w:tcPr>
            <w:tcW w:w="1749" w:type="dxa"/>
            <w:gridSpan w:val="2"/>
            <w:vAlign w:val="center"/>
          </w:tcPr>
          <w:p>
            <w:pPr>
              <w:ind w:firstLine="480"/>
              <w:jc w:val="center"/>
              <w:rPr>
                <w:rFonts w:hint="default"/>
              </w:rPr>
            </w:pPr>
            <w:r>
              <w:t>延期缴纳</w:t>
            </w:r>
          </w:p>
          <w:p>
            <w:pPr>
              <w:ind w:firstLine="480"/>
              <w:jc w:val="center"/>
              <w:rPr>
                <w:rFonts w:hint="default"/>
              </w:rPr>
            </w:pPr>
            <w:r>
              <w:t>期限</w:t>
            </w:r>
          </w:p>
        </w:tc>
        <w:tc>
          <w:tcPr>
            <w:tcW w:w="944" w:type="dxa"/>
            <w:tcMar>
              <w:top w:w="0" w:type="dxa"/>
              <w:left w:w="108" w:type="dxa"/>
              <w:bottom w:w="0" w:type="dxa"/>
              <w:right w:w="108" w:type="dxa"/>
            </w:tcMar>
            <w:vAlign w:val="center"/>
          </w:tcPr>
          <w:p>
            <w:pPr>
              <w:ind w:firstLine="0" w:firstLineChars="0"/>
              <w:rPr>
                <w:rFonts w:hint="default"/>
              </w:rPr>
            </w:pPr>
            <w:r>
              <w:t>税种</w:t>
            </w:r>
          </w:p>
        </w:tc>
        <w:tc>
          <w:tcPr>
            <w:tcW w:w="1718" w:type="dxa"/>
            <w:gridSpan w:val="3"/>
            <w:tcMar>
              <w:top w:w="0" w:type="dxa"/>
              <w:left w:w="108" w:type="dxa"/>
              <w:bottom w:w="0" w:type="dxa"/>
              <w:right w:w="108" w:type="dxa"/>
            </w:tcMar>
            <w:vAlign w:val="center"/>
          </w:tcPr>
          <w:p>
            <w:pPr>
              <w:ind w:firstLine="480"/>
              <w:jc w:val="center"/>
              <w:rPr>
                <w:rFonts w:hint="default"/>
              </w:rPr>
            </w:pPr>
            <w:r>
              <w:t>延期缴纳</w:t>
            </w:r>
          </w:p>
          <w:p>
            <w:pPr>
              <w:ind w:firstLine="480"/>
              <w:jc w:val="center"/>
              <w:rPr>
                <w:rFonts w:hint="default"/>
              </w:rPr>
            </w:pPr>
            <w:r>
              <w:t>税额</w:t>
            </w:r>
          </w:p>
        </w:tc>
        <w:tc>
          <w:tcPr>
            <w:tcW w:w="1735" w:type="dxa"/>
            <w:gridSpan w:val="2"/>
            <w:tcMar>
              <w:top w:w="0" w:type="dxa"/>
              <w:left w:w="108" w:type="dxa"/>
              <w:bottom w:w="0" w:type="dxa"/>
              <w:right w:w="108" w:type="dxa"/>
            </w:tcMar>
            <w:vAlign w:val="center"/>
          </w:tcPr>
          <w:p>
            <w:pPr>
              <w:ind w:firstLine="480"/>
              <w:jc w:val="center"/>
              <w:rPr>
                <w:rFonts w:hint="default"/>
              </w:rPr>
            </w:pPr>
            <w:r>
              <w:t>延期缴纳期限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 w:hRule="atLeast"/>
          <w:jc w:val="center"/>
        </w:trPr>
        <w:tc>
          <w:tcPr>
            <w:tcW w:w="653" w:type="dxa"/>
            <w:vAlign w:val="center"/>
          </w:tcPr>
          <w:p>
            <w:pPr>
              <w:ind w:firstLine="480"/>
              <w:rPr>
                <w:rFonts w:hint="default"/>
              </w:rPr>
            </w:pPr>
          </w:p>
        </w:tc>
        <w:tc>
          <w:tcPr>
            <w:tcW w:w="1800" w:type="dxa"/>
            <w:gridSpan w:val="6"/>
            <w:vAlign w:val="center"/>
          </w:tcPr>
          <w:p>
            <w:pPr>
              <w:ind w:firstLine="480"/>
              <w:rPr>
                <w:rFonts w:hint="default"/>
              </w:rPr>
            </w:pPr>
          </w:p>
        </w:tc>
        <w:tc>
          <w:tcPr>
            <w:tcW w:w="1749" w:type="dxa"/>
            <w:gridSpan w:val="2"/>
            <w:vAlign w:val="center"/>
          </w:tcPr>
          <w:p>
            <w:pPr>
              <w:ind w:firstLine="480"/>
              <w:rPr>
                <w:rFonts w:hint="default"/>
              </w:rPr>
            </w:pPr>
          </w:p>
        </w:tc>
        <w:tc>
          <w:tcPr>
            <w:tcW w:w="944" w:type="dxa"/>
            <w:tcMar>
              <w:top w:w="0" w:type="dxa"/>
              <w:left w:w="108" w:type="dxa"/>
              <w:bottom w:w="0" w:type="dxa"/>
              <w:right w:w="108" w:type="dxa"/>
            </w:tcMar>
            <w:vAlign w:val="center"/>
          </w:tcPr>
          <w:p>
            <w:pPr>
              <w:ind w:firstLine="480"/>
              <w:rPr>
                <w:rFonts w:hint="default"/>
              </w:rPr>
            </w:pPr>
          </w:p>
        </w:tc>
        <w:tc>
          <w:tcPr>
            <w:tcW w:w="1718" w:type="dxa"/>
            <w:gridSpan w:val="3"/>
            <w:tcMar>
              <w:top w:w="0" w:type="dxa"/>
              <w:left w:w="108" w:type="dxa"/>
              <w:bottom w:w="0" w:type="dxa"/>
              <w:right w:w="108" w:type="dxa"/>
            </w:tcMar>
            <w:vAlign w:val="center"/>
          </w:tcPr>
          <w:p>
            <w:pPr>
              <w:ind w:firstLine="480"/>
              <w:rPr>
                <w:rFonts w:hint="default"/>
              </w:rPr>
            </w:pPr>
          </w:p>
        </w:tc>
        <w:tc>
          <w:tcPr>
            <w:tcW w:w="1735" w:type="dxa"/>
            <w:gridSpan w:val="2"/>
            <w:tcMar>
              <w:top w:w="0" w:type="dxa"/>
              <w:left w:w="108" w:type="dxa"/>
              <w:bottom w:w="0" w:type="dxa"/>
              <w:right w:w="108" w:type="dxa"/>
            </w:tcMar>
            <w:vAlign w:val="center"/>
          </w:tcPr>
          <w:p>
            <w:pPr>
              <w:ind w:firstLine="48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0" w:hRule="atLeast"/>
          <w:jc w:val="center"/>
        </w:trPr>
        <w:tc>
          <w:tcPr>
            <w:tcW w:w="4202" w:type="dxa"/>
            <w:gridSpan w:val="9"/>
            <w:tcMar>
              <w:top w:w="0" w:type="dxa"/>
              <w:left w:w="108" w:type="dxa"/>
              <w:bottom w:w="0" w:type="dxa"/>
              <w:right w:w="108" w:type="dxa"/>
            </w:tcMar>
            <w:vAlign w:val="center"/>
          </w:tcPr>
          <w:p>
            <w:pPr>
              <w:ind w:firstLine="480"/>
              <w:rPr>
                <w:rFonts w:hint="default"/>
              </w:rPr>
            </w:pPr>
          </w:p>
          <w:p>
            <w:pPr>
              <w:ind w:firstLine="480"/>
              <w:rPr>
                <w:rFonts w:hint="default"/>
              </w:rPr>
            </w:pPr>
          </w:p>
          <w:p>
            <w:pPr>
              <w:ind w:firstLine="0" w:firstLineChars="0"/>
              <w:rPr>
                <w:rFonts w:hint="default"/>
              </w:rPr>
            </w:pPr>
            <w:r>
              <w:t>经办人： 负责人： 税务机关（签章）</w:t>
            </w:r>
          </w:p>
          <w:p>
            <w:pPr>
              <w:ind w:firstLine="240" w:firstLineChars="100"/>
              <w:rPr>
                <w:rFonts w:hint="default"/>
              </w:rPr>
            </w:pPr>
            <w:r>
              <w:t>年  月  日  年 月 日  年 月 日</w:t>
            </w:r>
          </w:p>
        </w:tc>
        <w:tc>
          <w:tcPr>
            <w:tcW w:w="4397" w:type="dxa"/>
            <w:gridSpan w:val="6"/>
            <w:tcMar>
              <w:top w:w="0" w:type="dxa"/>
              <w:left w:w="108" w:type="dxa"/>
              <w:bottom w:w="0" w:type="dxa"/>
              <w:right w:w="108" w:type="dxa"/>
            </w:tcMar>
            <w:vAlign w:val="center"/>
          </w:tcPr>
          <w:p>
            <w:pPr>
              <w:ind w:firstLine="480"/>
              <w:rPr>
                <w:rFonts w:hint="default"/>
              </w:rPr>
            </w:pPr>
          </w:p>
          <w:p>
            <w:pPr>
              <w:ind w:firstLine="480"/>
              <w:rPr>
                <w:rFonts w:hint="default"/>
              </w:rPr>
            </w:pPr>
          </w:p>
          <w:p>
            <w:pPr>
              <w:ind w:firstLine="0" w:firstLineChars="0"/>
              <w:rPr>
                <w:rFonts w:hint="default"/>
              </w:rPr>
            </w:pPr>
            <w:r>
              <w:t>经办人： 负责人：  税务机关（签章）</w:t>
            </w:r>
          </w:p>
          <w:p>
            <w:pPr>
              <w:ind w:firstLine="240" w:firstLineChars="100"/>
              <w:rPr>
                <w:rFonts w:hint="default"/>
              </w:rPr>
            </w:pPr>
            <w:r>
              <w:t>年  月  日  年 月 日  年 月 日</w:t>
            </w:r>
          </w:p>
        </w:tc>
      </w:tr>
    </w:tbl>
    <w:p>
      <w:pPr>
        <w:spacing w:line="360" w:lineRule="exact"/>
        <w:ind w:firstLine="480"/>
        <w:rPr>
          <w:rFonts w:hint="default" w:ascii="黑体" w:eastAsia="黑体"/>
        </w:rPr>
      </w:pPr>
    </w:p>
    <w:p>
      <w:pPr>
        <w:spacing w:line="360" w:lineRule="exact"/>
        <w:ind w:firstLine="480"/>
        <w:rPr>
          <w:rFonts w:hint="default" w:ascii="黑体" w:eastAsia="黑体"/>
        </w:rPr>
      </w:pPr>
      <w:r>
        <w:rPr>
          <w:rFonts w:ascii="黑体" w:eastAsia="黑体"/>
        </w:rPr>
        <w:t>【填表说明】</w:t>
      </w:r>
    </w:p>
    <w:p>
      <w:pPr>
        <w:topLinePunct/>
        <w:spacing w:line="360" w:lineRule="exact"/>
        <w:ind w:firstLine="480"/>
        <w:rPr>
          <w:rFonts w:hint="default"/>
          <w:kern w:val="20"/>
          <w:szCs w:val="20"/>
        </w:rPr>
      </w:pPr>
      <w:r>
        <w:rPr>
          <w:kern w:val="20"/>
          <w:szCs w:val="20"/>
        </w:rPr>
        <w:t>1.</w:t>
      </w:r>
      <w:r>
        <w:rPr>
          <w:rFonts w:cs="宋体"/>
          <w:kern w:val="20"/>
          <w:szCs w:val="20"/>
        </w:rPr>
        <w:t>本表依据《中华人民共和国税收征收管理法》（中华人民共和国主席令第四十九号）第三十一条设置。</w:t>
      </w:r>
    </w:p>
    <w:p>
      <w:pPr>
        <w:topLinePunct/>
        <w:spacing w:line="360" w:lineRule="exact"/>
        <w:ind w:firstLine="480"/>
        <w:rPr>
          <w:rFonts w:hint="default"/>
          <w:kern w:val="20"/>
          <w:szCs w:val="20"/>
        </w:rPr>
      </w:pPr>
      <w:r>
        <w:rPr>
          <w:kern w:val="20"/>
          <w:szCs w:val="20"/>
        </w:rPr>
        <w:t>2.</w:t>
      </w:r>
      <w:r>
        <w:rPr>
          <w:rFonts w:cs="宋体"/>
          <w:kern w:val="20"/>
          <w:szCs w:val="20"/>
        </w:rPr>
        <w:t>适用范围：纳税人因有特殊困难不能按期缴纳税款，申请延期缴纳税款时使用。</w:t>
      </w:r>
    </w:p>
    <w:p>
      <w:pPr>
        <w:topLinePunct/>
        <w:spacing w:line="360" w:lineRule="exact"/>
        <w:ind w:firstLine="480"/>
        <w:rPr>
          <w:rFonts w:hint="default"/>
          <w:kern w:val="20"/>
          <w:szCs w:val="20"/>
        </w:rPr>
      </w:pPr>
      <w:r>
        <w:rPr>
          <w:kern w:val="20"/>
          <w:szCs w:val="20"/>
        </w:rPr>
        <w:t>3.</w:t>
      </w:r>
      <w:r>
        <w:rPr>
          <w:rFonts w:cs="宋体"/>
          <w:kern w:val="20"/>
          <w:szCs w:val="20"/>
        </w:rPr>
        <w:t>申请延期缴纳税款的附报以下材料：</w:t>
      </w:r>
    </w:p>
    <w:p>
      <w:pPr>
        <w:topLinePunct/>
        <w:spacing w:line="360" w:lineRule="exact"/>
        <w:ind w:firstLine="480"/>
        <w:rPr>
          <w:rFonts w:hint="default"/>
          <w:kern w:val="20"/>
          <w:szCs w:val="20"/>
        </w:rPr>
      </w:pPr>
      <w:r>
        <w:rPr>
          <w:kern w:val="20"/>
          <w:szCs w:val="20"/>
        </w:rPr>
        <w:t>A.</w:t>
      </w:r>
      <w:r>
        <w:rPr>
          <w:rFonts w:cs="宋体"/>
          <w:kern w:val="20"/>
          <w:szCs w:val="20"/>
        </w:rPr>
        <w:t>所有银行存款帐户的对帐单；</w:t>
      </w:r>
    </w:p>
    <w:p>
      <w:pPr>
        <w:topLinePunct/>
        <w:spacing w:line="360" w:lineRule="exact"/>
        <w:ind w:firstLine="480"/>
        <w:rPr>
          <w:rFonts w:hint="default"/>
          <w:kern w:val="20"/>
          <w:szCs w:val="20"/>
        </w:rPr>
      </w:pPr>
      <w:r>
        <w:rPr>
          <w:kern w:val="20"/>
          <w:szCs w:val="20"/>
        </w:rPr>
        <w:t>B.</w:t>
      </w:r>
      <w:r>
        <w:rPr>
          <w:rFonts w:cs="宋体"/>
          <w:kern w:val="20"/>
          <w:szCs w:val="20"/>
        </w:rPr>
        <w:t>资产负债表；</w:t>
      </w:r>
    </w:p>
    <w:p>
      <w:pPr>
        <w:topLinePunct/>
        <w:spacing w:line="360" w:lineRule="exact"/>
        <w:ind w:firstLine="480"/>
        <w:rPr>
          <w:rFonts w:hint="default"/>
          <w:kern w:val="20"/>
          <w:szCs w:val="20"/>
        </w:rPr>
      </w:pPr>
      <w:r>
        <w:rPr>
          <w:kern w:val="20"/>
          <w:szCs w:val="20"/>
        </w:rPr>
        <w:t>C.</w:t>
      </w:r>
      <w:r>
        <w:rPr>
          <w:rFonts w:cs="宋体"/>
          <w:kern w:val="20"/>
          <w:szCs w:val="20"/>
        </w:rPr>
        <w:t>应付职工工资和社会保险费的支出预算；</w:t>
      </w:r>
    </w:p>
    <w:p>
      <w:pPr>
        <w:topLinePunct/>
        <w:spacing w:line="360" w:lineRule="exact"/>
        <w:ind w:firstLine="480"/>
        <w:rPr>
          <w:rFonts w:hint="default"/>
          <w:kern w:val="20"/>
          <w:szCs w:val="20"/>
        </w:rPr>
      </w:pPr>
      <w:r>
        <w:rPr>
          <w:kern w:val="20"/>
          <w:szCs w:val="20"/>
        </w:rPr>
        <w:t>D.</w:t>
      </w:r>
      <w:r>
        <w:rPr>
          <w:rFonts w:cs="宋体"/>
          <w:kern w:val="20"/>
          <w:szCs w:val="20"/>
        </w:rPr>
        <w:t>税务机关要求报送的其他材料。</w:t>
      </w:r>
    </w:p>
    <w:p>
      <w:pPr>
        <w:topLinePunct/>
        <w:spacing w:line="360" w:lineRule="exact"/>
        <w:ind w:firstLine="480"/>
        <w:rPr>
          <w:rFonts w:hint="default"/>
          <w:kern w:val="20"/>
          <w:szCs w:val="20"/>
        </w:rPr>
      </w:pPr>
      <w:r>
        <w:rPr>
          <w:kern w:val="20"/>
          <w:szCs w:val="20"/>
        </w:rPr>
        <w:t>4.</w:t>
      </w:r>
      <w:r>
        <w:rPr>
          <w:rFonts w:cs="宋体"/>
          <w:kern w:val="20"/>
          <w:szCs w:val="20"/>
        </w:rPr>
        <w:t>税务机关审批意见：直辖市、计划单列市税务机关审批的，可不填写“（地）市级税务机关审核意见”。</w:t>
      </w:r>
    </w:p>
    <w:p>
      <w:pPr>
        <w:autoSpaceDE w:val="0"/>
        <w:autoSpaceDN w:val="0"/>
        <w:spacing w:line="360" w:lineRule="exact"/>
        <w:ind w:firstLine="480"/>
        <w:rPr>
          <w:rFonts w:hint="default" w:cs="宋体"/>
        </w:rPr>
      </w:pPr>
      <w:r>
        <w:t>5.</w:t>
      </w:r>
      <w:r>
        <w:rPr>
          <w:rFonts w:cs="宋体"/>
        </w:rPr>
        <w:t>本表为</w:t>
      </w:r>
      <w:r>
        <w:t>A4</w:t>
      </w:r>
      <w:r>
        <w:rPr>
          <w:rFonts w:cs="宋体"/>
        </w:rPr>
        <w:t>型竖式，各级税务机关分别留存一份，纳税人一份。</w:t>
      </w:r>
    </w:p>
    <w:p>
      <w:pPr>
        <w:pStyle w:val="31"/>
        <w:adjustRightInd/>
        <w:snapToGrid/>
      </w:pPr>
      <w:r>
        <w:rPr>
          <w:rFonts w:hint="eastAsia"/>
        </w:rPr>
        <w:t>【政策依据】</w:t>
      </w:r>
    </w:p>
    <w:tbl>
      <w:tblPr>
        <w:tblStyle w:val="18"/>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712"/>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33"/>
              <w:adjustRightInd/>
              <w:snapToGrid/>
              <w:spacing w:line="276" w:lineRule="auto"/>
            </w:pPr>
            <w:r>
              <w:rPr>
                <w:rFonts w:hint="eastAsia"/>
              </w:rPr>
              <w:t>序号</w:t>
            </w:r>
          </w:p>
        </w:tc>
        <w:tc>
          <w:tcPr>
            <w:tcW w:w="5712" w:type="dxa"/>
            <w:vAlign w:val="center"/>
          </w:tcPr>
          <w:p>
            <w:pPr>
              <w:pStyle w:val="33"/>
              <w:adjustRightInd/>
              <w:snapToGrid/>
              <w:spacing w:line="276" w:lineRule="auto"/>
            </w:pPr>
            <w:r>
              <w:rPr>
                <w:rFonts w:hint="eastAsia"/>
              </w:rPr>
              <w:t>文件名称</w:t>
            </w:r>
          </w:p>
        </w:tc>
        <w:tc>
          <w:tcPr>
            <w:tcW w:w="1738"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1</w:t>
            </w:r>
          </w:p>
        </w:tc>
        <w:tc>
          <w:tcPr>
            <w:tcW w:w="5712" w:type="dxa"/>
            <w:vAlign w:val="center"/>
          </w:tcPr>
          <w:p>
            <w:pPr>
              <w:pStyle w:val="50"/>
              <w:adjustRightInd/>
              <w:snapToGrid/>
              <w:spacing w:line="276" w:lineRule="auto"/>
            </w:pPr>
            <w:r>
              <w:rPr>
                <w:rFonts w:hint="eastAsia"/>
              </w:rPr>
              <w:t>《中华人民共和国税收征收管理法》</w:t>
            </w:r>
          </w:p>
        </w:tc>
        <w:tc>
          <w:tcPr>
            <w:tcW w:w="17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rPr>
                <w:rFonts w:hint="eastAsia"/>
              </w:rPr>
              <w:t>2</w:t>
            </w:r>
          </w:p>
        </w:tc>
        <w:tc>
          <w:tcPr>
            <w:tcW w:w="5712" w:type="dxa"/>
            <w:vAlign w:val="center"/>
          </w:tcPr>
          <w:p>
            <w:pPr>
              <w:pStyle w:val="50"/>
              <w:adjustRightInd/>
              <w:snapToGrid/>
              <w:spacing w:line="276" w:lineRule="auto"/>
            </w:pPr>
            <w:r>
              <w:rPr>
                <w:rFonts w:hint="eastAsia"/>
              </w:rPr>
              <w:t>《中华人民共和国税收征收管理法实施细则》</w:t>
            </w:r>
          </w:p>
        </w:tc>
        <w:tc>
          <w:tcPr>
            <w:tcW w:w="17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3</w:t>
            </w:r>
          </w:p>
        </w:tc>
        <w:tc>
          <w:tcPr>
            <w:tcW w:w="5712" w:type="dxa"/>
            <w:vAlign w:val="center"/>
          </w:tcPr>
          <w:p>
            <w:pPr>
              <w:pStyle w:val="50"/>
              <w:adjustRightInd/>
              <w:snapToGrid/>
              <w:spacing w:line="276" w:lineRule="auto"/>
            </w:pPr>
            <w:r>
              <w:rPr>
                <w:rFonts w:hint="eastAsia"/>
              </w:rPr>
              <w:t>《国家税务总局关于税务行政许可若干问题的公告》（国家税务总局公告</w:t>
            </w:r>
            <w:r>
              <w:t>2016</w:t>
            </w:r>
            <w:r>
              <w:rPr>
                <w:rFonts w:hint="eastAsia"/>
              </w:rPr>
              <w:t>年第</w:t>
            </w:r>
            <w:r>
              <w:t>11</w:t>
            </w:r>
            <w:r>
              <w:rPr>
                <w:rFonts w:hint="eastAsia"/>
              </w:rPr>
              <w:t>号）</w:t>
            </w:r>
          </w:p>
        </w:tc>
        <w:tc>
          <w:tcPr>
            <w:tcW w:w="17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4</w:t>
            </w:r>
          </w:p>
        </w:tc>
        <w:tc>
          <w:tcPr>
            <w:tcW w:w="5712" w:type="dxa"/>
            <w:vAlign w:val="center"/>
          </w:tcPr>
          <w:p>
            <w:pPr>
              <w:pStyle w:val="50"/>
              <w:adjustRightInd/>
              <w:snapToGrid/>
              <w:spacing w:line="276" w:lineRule="auto"/>
            </w:pPr>
            <w:r>
              <w:rPr>
                <w:rFonts w:hint="eastAsia"/>
              </w:rPr>
              <w:t>《国家税务总局关于简化税务行政许可事项办理程序的公告》（国家税务总局公告2017年第21号）</w:t>
            </w:r>
          </w:p>
        </w:tc>
        <w:tc>
          <w:tcPr>
            <w:tcW w:w="17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5</w:t>
            </w:r>
          </w:p>
        </w:tc>
        <w:tc>
          <w:tcPr>
            <w:tcW w:w="5712" w:type="dxa"/>
            <w:vAlign w:val="center"/>
          </w:tcPr>
          <w:p>
            <w:pPr>
              <w:pStyle w:val="50"/>
              <w:adjustRightInd/>
              <w:snapToGrid/>
              <w:spacing w:line="276" w:lineRule="auto"/>
            </w:pPr>
            <w:r>
              <w:rPr>
                <w:rFonts w:hint="eastAsia"/>
              </w:rPr>
              <w:t>《国家税务总局关于公布已取消税务行政许可事项的公告》（国家税务总局公告2019年11号）</w:t>
            </w:r>
          </w:p>
        </w:tc>
        <w:tc>
          <w:tcPr>
            <w:tcW w:w="173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6</w:t>
            </w:r>
          </w:p>
        </w:tc>
        <w:tc>
          <w:tcPr>
            <w:tcW w:w="5712"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738"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pPr>
              <w:pStyle w:val="50"/>
              <w:adjustRightInd/>
              <w:snapToGrid/>
              <w:spacing w:line="276" w:lineRule="auto"/>
            </w:pPr>
            <w:r>
              <w:t>7</w:t>
            </w:r>
          </w:p>
        </w:tc>
        <w:tc>
          <w:tcPr>
            <w:tcW w:w="5712" w:type="dxa"/>
            <w:vAlign w:val="center"/>
          </w:tcPr>
          <w:p>
            <w:pPr>
              <w:pStyle w:val="50"/>
              <w:adjustRightInd/>
              <w:snapToGrid/>
              <w:spacing w:line="276" w:lineRule="auto"/>
            </w:pPr>
            <w:r>
              <w:rPr>
                <w:rFonts w:hint="eastAsia"/>
              </w:rPr>
              <w:t>《国家税务总局关于取消一批涉税事项和报送资料的通知》（税总函〔</w:t>
            </w:r>
            <w:r>
              <w:t>2017〕403号）</w:t>
            </w:r>
          </w:p>
        </w:tc>
        <w:tc>
          <w:tcPr>
            <w:tcW w:w="1738" w:type="dxa"/>
            <w:vAlign w:val="center"/>
          </w:tcPr>
          <w:p>
            <w:pPr>
              <w:pStyle w:val="50"/>
              <w:adjustRightInd/>
              <w:snapToGrid/>
              <w:spacing w:line="276" w:lineRule="auto"/>
            </w:pPr>
            <w:r>
              <w:rPr>
                <w:rFonts w:hint="eastAsia"/>
              </w:rPr>
              <w:t>主动公开</w:t>
            </w:r>
          </w:p>
        </w:tc>
      </w:tr>
      <w:bookmarkEnd w:id="260"/>
    </w:tbl>
    <w:p>
      <w:pPr>
        <w:pStyle w:val="29"/>
        <w:wordWrap w:val="0"/>
        <w:spacing w:before="1008" w:after="504"/>
        <w:rPr>
          <w:color w:val="000000" w:themeColor="text1"/>
        </w:rPr>
      </w:pPr>
      <w:bookmarkStart w:id="262" w:name="_Toc29529"/>
      <w:bookmarkStart w:id="263" w:name="_Toc18096185"/>
      <w:r>
        <w:rPr>
          <w:rFonts w:hint="eastAsia"/>
          <w:color w:val="000000" w:themeColor="text1"/>
        </w:rPr>
        <w:t>3.24　　对纳税人变更纳税定额的核准</w:t>
      </w:r>
      <w:bookmarkEnd w:id="262"/>
      <w:bookmarkEnd w:id="263"/>
    </w:p>
    <w:p>
      <w:pPr>
        <w:pStyle w:val="30"/>
        <w:wordWrap w:val="0"/>
        <w:topLinePunct w:val="0"/>
        <w:spacing w:before="336" w:after="336"/>
        <w:rPr>
          <w:color w:val="000000" w:themeColor="text1"/>
        </w:rPr>
      </w:pPr>
      <w:bookmarkStart w:id="264" w:name="_Toc378"/>
      <w:bookmarkStart w:id="265" w:name="_Toc18096186"/>
      <w:r>
        <w:rPr>
          <w:rFonts w:hint="eastAsia"/>
          <w:color w:val="000000" w:themeColor="text1"/>
        </w:rPr>
        <w:t>3.24.1—11</w:t>
      </w:r>
      <w:r>
        <w:rPr>
          <w:color w:val="000000" w:themeColor="text1"/>
        </w:rPr>
        <w:t>7</w:t>
      </w:r>
      <w:r>
        <w:rPr>
          <w:rFonts w:hint="eastAsia"/>
          <w:color w:val="000000" w:themeColor="text1"/>
        </w:rPr>
        <w:t>　</w:t>
      </w:r>
      <w:r>
        <w:rPr>
          <w:color w:val="000000" w:themeColor="text1"/>
        </w:rPr>
        <w:t>　</w:t>
      </w:r>
      <w:r>
        <w:rPr>
          <w:rFonts w:hint="eastAsia"/>
          <w:color w:val="000000" w:themeColor="text1"/>
        </w:rPr>
        <w:t>对纳税人变更纳税定额的核准</w:t>
      </w:r>
      <w:bookmarkEnd w:id="264"/>
      <w:bookmarkEnd w:id="265"/>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对纳税人变更纳税定额的核准</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纳税人对税务机关核定的应纳税额有异议的，应当提供相关证据，经税务机关认定后，调整应纳税额。</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《中华人民共和国税收征收管理法实施细则》第四十七条第三款</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729"/>
        <w:gridCol w:w="2806"/>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序号</w:t>
            </w:r>
          </w:p>
        </w:tc>
        <w:tc>
          <w:tcPr>
            <w:tcW w:w="4535"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hint="default" w:ascii="黑体" w:hAnsi="黑体" w:eastAsia="黑体" w:cs="Times New Roman"/>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《税务行政许可申请表》</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2</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经办人身份证件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查验后退回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3</w:t>
            </w:r>
          </w:p>
        </w:tc>
        <w:tc>
          <w:tcPr>
            <w:tcW w:w="4535" w:type="dxa"/>
            <w:gridSpan w:val="2"/>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申请变更纳税定额的相关证明材料</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hint="default" w:ascii="黑体" w:hAnsi="黑体" w:eastAsia="黑体" w:cs="Times New Roman"/>
                <w:color w:val="000000" w:themeColor="text1"/>
                <w:sz w:val="21"/>
                <w:szCs w:val="2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409" w:type="dxa"/>
            <w:gridSpan w:val="2"/>
            <w:tcBorders>
              <w:left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适用情形</w:t>
            </w:r>
          </w:p>
        </w:tc>
        <w:tc>
          <w:tcPr>
            <w:tcW w:w="2806" w:type="dxa"/>
            <w:tcBorders>
              <w:left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数量</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wordWrap w:val="0"/>
              <w:spacing w:line="240" w:lineRule="auto"/>
              <w:ind w:firstLine="0" w:firstLineChars="0"/>
              <w:jc w:val="center"/>
              <w:rPr>
                <w:rFonts w:hint="default" w:ascii="黑体" w:hAnsi="黑体" w:eastAsia="黑体" w:cs="Times New Roman"/>
                <w:color w:val="000000" w:themeColor="text1"/>
                <w:sz w:val="21"/>
                <w:szCs w:val="21"/>
              </w:rPr>
            </w:pPr>
            <w:r>
              <w:rPr>
                <w:rFonts w:ascii="黑体" w:hAnsi="黑体" w:eastAsia="黑体" w:cs="Times New Roman"/>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409" w:type="dxa"/>
            <w:gridSpan w:val="2"/>
            <w:vMerge w:val="restart"/>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委托代理人办理的还应报送</w:t>
            </w:r>
          </w:p>
        </w:tc>
        <w:tc>
          <w:tcPr>
            <w:tcW w:w="2806" w:type="dxa"/>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代理委托书</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409" w:type="dxa"/>
            <w:gridSpan w:val="2"/>
            <w:vMerge w:val="continue"/>
            <w:tcBorders>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p>
        </w:tc>
        <w:tc>
          <w:tcPr>
            <w:tcW w:w="2806" w:type="dxa"/>
            <w:tcBorders>
              <w:left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代理人身份证件</w:t>
            </w:r>
          </w:p>
        </w:tc>
        <w:tc>
          <w:tcPr>
            <w:tcW w:w="680"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eastAsia="黑体" w:cs="Times New Roman"/>
                <w:color w:val="000000" w:themeColor="text1"/>
                <w:sz w:val="18"/>
                <w:szCs w:val="18"/>
              </w:rPr>
              <w:t>1</w:t>
            </w:r>
            <w:r>
              <w:rPr>
                <w:rFonts w:ascii="黑体" w:hAnsi="黑体" w:eastAsia="黑体" w:cs="Times New Roman"/>
                <w:color w:val="000000" w:themeColor="text1"/>
                <w:sz w:val="18"/>
                <w:szCs w:val="18"/>
              </w:rPr>
              <w:t>份</w:t>
            </w:r>
          </w:p>
        </w:tc>
        <w:tc>
          <w:tcPr>
            <w:tcW w:w="2268" w:type="dxa"/>
            <w:tcBorders>
              <w:top w:val="single" w:color="auto" w:sz="4" w:space="0"/>
              <w:left w:val="single" w:color="auto" w:sz="4" w:space="0"/>
              <w:bottom w:val="single" w:color="auto" w:sz="4" w:space="0"/>
              <w:right w:val="single" w:color="auto" w:sz="4" w:space="0"/>
            </w:tcBorders>
            <w:vAlign w:val="center"/>
          </w:tcPr>
          <w:p>
            <w:pPr>
              <w:wordWrap w:val="0"/>
              <w:spacing w:line="240" w:lineRule="auto"/>
              <w:ind w:firstLine="0" w:firstLineChars="0"/>
              <w:jc w:val="center"/>
              <w:rPr>
                <w:rFonts w:hint="default" w:ascii="黑体" w:hAnsi="黑体" w:eastAsia="黑体" w:cs="Times New Roman"/>
                <w:color w:val="000000" w:themeColor="text1"/>
                <w:sz w:val="18"/>
                <w:szCs w:val="18"/>
              </w:rPr>
            </w:pPr>
            <w:r>
              <w:rPr>
                <w:rFonts w:ascii="黑体" w:hAnsi="黑体" w:eastAsia="黑体" w:cs="Times New Roman"/>
                <w:color w:val="000000" w:themeColor="text1"/>
                <w:sz w:val="18"/>
                <w:szCs w:val="18"/>
              </w:rPr>
              <w:t>查验后退回</w:t>
            </w:r>
          </w:p>
        </w:tc>
      </w:tr>
    </w:tbl>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【办理时间】</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在</w:t>
      </w:r>
      <w:r>
        <w:rPr>
          <w:rFonts w:cs="Times New Roman"/>
          <w:color w:val="000000" w:themeColor="text1"/>
        </w:rPr>
        <w:t>15</w:t>
      </w:r>
      <w:r>
        <w:rPr>
          <w:rFonts w:hint="default" w:ascii="宋体" w:hAnsi="宋体" w:cs="Times New Roman"/>
          <w:color w:val="000000" w:themeColor="text1"/>
        </w:rPr>
        <w:t>个工作日内办结；对</w:t>
      </w:r>
      <w:r>
        <w:rPr>
          <w:rFonts w:cs="Times New Roman"/>
          <w:color w:val="000000" w:themeColor="text1"/>
        </w:rPr>
        <w:t>15</w:t>
      </w:r>
      <w:r>
        <w:rPr>
          <w:rFonts w:hint="default" w:ascii="宋体" w:hAnsi="宋体" w:cs="Times New Roman"/>
          <w:color w:val="000000" w:themeColor="text1"/>
        </w:rPr>
        <w:t>个工作日内无法作出决定的，经决定机构负责人批准可以延长</w:t>
      </w:r>
      <w:r>
        <w:rPr>
          <w:rFonts w:cs="Times New Roman"/>
          <w:color w:val="000000" w:themeColor="text1"/>
        </w:rPr>
        <w:t>10</w:t>
      </w:r>
      <w:r>
        <w:rPr>
          <w:rFonts w:hint="default" w:ascii="宋体" w:hAnsi="宋体" w:cs="Times New Roman"/>
          <w:color w:val="000000" w:themeColor="text1"/>
        </w:rPr>
        <w:t>个工作日。</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0" distR="0">
            <wp:extent cx="5184140" cy="1769745"/>
            <wp:effectExtent l="0" t="0" r="10160" b="8255"/>
            <wp:docPr id="70" name="图片 70"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C:\Users\baoqianyu\Desktop\流程图\流转\纳税人.png纳税人"/>
                    <pic:cNvPicPr>
                      <a:picLocks noChangeAspect="1" noChangeArrowheads="1"/>
                    </pic:cNvPicPr>
                  </pic:nvPicPr>
                  <pic:blipFill>
                    <a:blip r:embed="rId15"/>
                    <a:srcRect/>
                    <a:stretch>
                      <a:fillRect/>
                    </a:stretch>
                  </pic:blipFill>
                  <pic:spPr>
                    <a:xfrm>
                      <a:off x="0" y="0"/>
                      <a:ext cx="5184140" cy="1769745"/>
                    </a:xfrm>
                    <a:prstGeom prst="rect">
                      <a:avLst/>
                    </a:prstGeom>
                    <a:noFill/>
                    <a:ln>
                      <a:noFill/>
                    </a:ln>
                  </pic:spPr>
                </pic:pic>
              </a:graphicData>
            </a:graphic>
          </wp:inline>
        </w:drawing>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）办税服务厅接收纳税人报送的资料，核对资料是否齐全、是否符合法定形式、填写内容是否完整，符合的即时受理，制作《税务行政许可受理通知书》送达纳税人，并制作《税务文书送达回证》由纳税人签收。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）申请材料存在问题可以当场更正的，应当一次性告知纳税人更正；申请材料不齐全或不符合法定形式的，应当当场或者</w:t>
      </w:r>
      <w:r>
        <w:rPr>
          <w:rFonts w:cs="Times New Roman"/>
          <w:color w:val="000000" w:themeColor="text1"/>
        </w:rPr>
        <w:t>5</w:t>
      </w:r>
      <w:r>
        <w:rPr>
          <w:rFonts w:ascii="宋体" w:hAnsi="宋体" w:cs="Times New Roman"/>
          <w:color w:val="000000" w:themeColor="text1"/>
        </w:rPr>
        <w:t>日内制作《补正税务行政许可材料告知书》，一次性告知纳税人需要补正的材料，并制作《税务文书送达回证》由纳税人签收。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）纳税人提出的行政许可申请事项依法不属于本行政机关职权范围的，办税服务厅不予受理，当场制作并送达《税务行政许可不予受理通知书》，并制作《税务文书送达回证》由纳税人签收。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）申请事项属于税务机关管辖范围，但不需要取得税务行政许可的，应当即时告知</w:t>
      </w:r>
      <w:r>
        <w:rPr>
          <w:rFonts w:ascii="宋体" w:hAnsi="宋体" w:cs="Times New Roman"/>
          <w:color w:val="000000" w:themeColor="text1"/>
        </w:rPr>
        <w:t>纳税</w:t>
      </w:r>
      <w:r>
        <w:rPr>
          <w:rFonts w:hint="default" w:ascii="宋体" w:hAnsi="宋体" w:cs="Times New Roman"/>
          <w:color w:val="000000" w:themeColor="text1"/>
        </w:rPr>
        <w:t>人不受理，同时告知其解决的途径。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hint="default" w:ascii="宋体" w:hAnsi="宋体" w:cs="Times New Roman"/>
          <w:color w:val="000000" w:themeColor="text1"/>
        </w:rPr>
        <w:t>）对省（自治区、直辖市和计划单列市）税务机关确定的能够当即办理的税务行政许可事项，直接出具和送达《准予税务行政许可决定书》，不再出具《税务行政许可受理通知书》。</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hint="default" w:ascii="宋体" w:hAnsi="宋体" w:cs="Times New Roman"/>
          <w:color w:val="000000" w:themeColor="text1"/>
        </w:rPr>
        <w:t>）办税服务厅收到反馈后</w:t>
      </w:r>
      <w:r>
        <w:rPr>
          <w:rFonts w:cs="Times New Roman"/>
          <w:color w:val="000000" w:themeColor="text1"/>
        </w:rPr>
        <w:t>1</w:t>
      </w:r>
      <w:r>
        <w:rPr>
          <w:rFonts w:hint="default" w:ascii="宋体" w:hAnsi="宋体" w:cs="Times New Roman"/>
          <w:color w:val="000000" w:themeColor="text1"/>
        </w:rPr>
        <w:t>个工作日内通知纳税人凭《税务行政许可受理通知书》领取《准予税务行政许可决定书》或《不予税务行政许可决定书》，并制作《税务文书送达回证》由纳税人签收。审查结果为“不予税务行政许可”的，应当说明理由并告知纳税人在《不予税务行政许可决定书》上注明的期限内，享有依法申请行政复议或提起行政诉讼的权利。</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hint="default" w:ascii="宋体" w:hAnsi="宋体" w:cs="Times New Roman"/>
          <w:color w:val="000000" w:themeColor="text1"/>
        </w:rPr>
        <w:t>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hint="default" w:ascii="宋体" w:hAnsi="宋体" w:cs="Times New Roman"/>
          <w:color w:val="000000" w:themeColor="text1"/>
        </w:rPr>
        <w:t>）办税服务厅与</w:t>
      </w:r>
      <w:r>
        <w:rPr>
          <w:rFonts w:ascii="宋体" w:hAnsi="宋体" w:cs="Times New Roman"/>
          <w:color w:val="000000" w:themeColor="text1"/>
        </w:rPr>
        <w:t>纳税</w:t>
      </w:r>
      <w:r>
        <w:rPr>
          <w:rFonts w:hint="default" w:ascii="宋体" w:hAnsi="宋体" w:cs="Times New Roman"/>
          <w:color w:val="000000" w:themeColor="text1"/>
        </w:rPr>
        <w:t>人不在同一县（市、区、旗），或者直接送达税务行政许可文书存在其他困难情形的，可以根据</w:t>
      </w:r>
      <w:r>
        <w:rPr>
          <w:rFonts w:ascii="宋体" w:hAnsi="宋体" w:cs="Times New Roman"/>
          <w:color w:val="000000" w:themeColor="text1"/>
        </w:rPr>
        <w:t>纳税</w:t>
      </w:r>
      <w:r>
        <w:rPr>
          <w:rFonts w:hint="default" w:ascii="宋体" w:hAnsi="宋体" w:cs="Times New Roman"/>
          <w:color w:val="000000" w:themeColor="text1"/>
        </w:rPr>
        <w:t>人书面要求，按照</w:t>
      </w:r>
      <w:r>
        <w:rPr>
          <w:rFonts w:ascii="宋体" w:hAnsi="宋体" w:cs="Times New Roman"/>
          <w:color w:val="000000" w:themeColor="text1"/>
        </w:rPr>
        <w:t>纳税</w:t>
      </w:r>
      <w:r>
        <w:rPr>
          <w:rFonts w:hint="default" w:ascii="宋体" w:hAnsi="宋体" w:cs="Times New Roman"/>
          <w:color w:val="000000" w:themeColor="text1"/>
        </w:rPr>
        <w:t>人在《税务行政许可申请表》上填写的地址，在文书出具之日起</w:t>
      </w:r>
      <w:r>
        <w:rPr>
          <w:rFonts w:cs="Times New Roman"/>
          <w:color w:val="000000" w:themeColor="text1"/>
        </w:rPr>
        <w:t>2</w:t>
      </w:r>
      <w:r>
        <w:rPr>
          <w:rFonts w:hint="default" w:ascii="宋体" w:hAnsi="宋体" w:cs="Times New Roman"/>
          <w:color w:val="000000" w:themeColor="text1"/>
        </w:rPr>
        <w:t>个工作日内向</w:t>
      </w:r>
      <w:r>
        <w:rPr>
          <w:rFonts w:ascii="宋体" w:hAnsi="宋体" w:cs="Times New Roman"/>
          <w:color w:val="000000" w:themeColor="text1"/>
        </w:rPr>
        <w:t>纳税</w:t>
      </w:r>
      <w:r>
        <w:rPr>
          <w:rFonts w:hint="default" w:ascii="宋体" w:hAnsi="宋体" w:cs="Times New Roman"/>
          <w:color w:val="000000" w:themeColor="text1"/>
        </w:rPr>
        <w:t>人邮寄送达。邮寄送达的，以挂号函件回执上注明的收件日期为送达日期，并视为已送达。税务机关应当保留邮寄单据并做好台账登记。邮寄送达不得收取任何费用。</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hint="default" w:ascii="宋体" w:hAnsi="宋体" w:cs="Times New Roman"/>
          <w:color w:val="000000" w:themeColor="text1"/>
        </w:rPr>
        <w:t>）在作出准予税务行政许可决定之日起</w:t>
      </w:r>
      <w:r>
        <w:rPr>
          <w:rFonts w:cs="Times New Roman"/>
          <w:color w:val="000000" w:themeColor="text1"/>
        </w:rPr>
        <w:t>7</w:t>
      </w:r>
      <w:r>
        <w:rPr>
          <w:rFonts w:hint="default" w:ascii="宋体" w:hAnsi="宋体" w:cs="Times New Roman"/>
          <w:color w:val="000000" w:themeColor="text1"/>
        </w:rPr>
        <w:t>日内，在办税服务厅或者其他办公场所以及税务机关门户网站上公开税务行政许可决定。</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w:t>
      </w:r>
      <w:r>
        <w:rPr>
          <w:rFonts w:ascii="宋体" w:hAnsi="宋体" w:cs="Times New Roman"/>
          <w:color w:val="000000" w:themeColor="text1"/>
        </w:rPr>
        <w:t>不得将纳税人的办理材料用于与政务服务无关的用途。</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办理时限由个</w:t>
      </w:r>
      <w:r>
        <w:rPr>
          <w:rFonts w:cs="Times New Roman"/>
          <w:color w:val="000000" w:themeColor="text1"/>
        </w:rPr>
        <w:t>15</w:t>
      </w:r>
      <w:r>
        <w:rPr>
          <w:rFonts w:ascii="宋体" w:hAnsi="宋体" w:cs="Times New Roman"/>
          <w:color w:val="000000" w:themeColor="text1"/>
        </w:rPr>
        <w:t>工作日提速至</w:t>
      </w:r>
      <w:r>
        <w:rPr>
          <w:rFonts w:cs="Times New Roman"/>
          <w:color w:val="000000" w:themeColor="text1"/>
        </w:rPr>
        <w:t>10</w:t>
      </w:r>
      <w:r>
        <w:rPr>
          <w:rFonts w:ascii="宋体" w:hAnsi="宋体" w:cs="Times New Roman"/>
          <w:color w:val="000000" w:themeColor="text1"/>
        </w:rPr>
        <w:t>个工作日</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根据纳税信用评价结果逐步取消对纳税人变更纳税定额的核准资料的报送。</w:t>
      </w:r>
    </w:p>
    <w:p>
      <w:pPr>
        <w:wordWrap w:val="0"/>
        <w:spacing w:line="360" w:lineRule="auto"/>
        <w:ind w:firstLine="480"/>
        <w:rPr>
          <w:rFonts w:hint="default" w:ascii="黑体" w:hAnsi="黑体" w:eastAsia="黑体" w:cs="Times New Roman"/>
          <w:bCs/>
          <w:color w:val="000000" w:themeColor="text1"/>
        </w:rPr>
      </w:pPr>
      <w:r>
        <w:rPr>
          <w:rFonts w:ascii="黑体" w:hAnsi="黑体" w:eastAsia="黑体" w:cs="Times New Roman"/>
          <w:bCs/>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文书受理岗权限，按照【管理服务】—【文书管理】—【核定类】—【企业所得税核定（居民）（依申请）】的路径进入功能模块。点击界面上【税务行政许可申报征收类】按钮触发税务行政许可申请。</w:t>
      </w:r>
    </w:p>
    <w:p>
      <w:pPr>
        <w:ind w:firstLine="482"/>
        <w:rPr>
          <w:rFonts w:hint="default"/>
          <w:b/>
        </w:rPr>
      </w:pPr>
      <w:r>
        <w:rPr>
          <w:b/>
        </w:rPr>
        <w:t>【表证单书填写范本】</w:t>
      </w:r>
    </w:p>
    <w:p>
      <w:pPr>
        <w:ind w:firstLine="0" w:firstLineChars="0"/>
        <w:jc w:val="center"/>
        <w:rPr>
          <w:rFonts w:hint="default"/>
          <w:b/>
          <w:sz w:val="36"/>
          <w:szCs w:val="36"/>
        </w:rPr>
      </w:pPr>
      <w:r>
        <w:rPr>
          <w:b/>
          <w:sz w:val="36"/>
          <w:szCs w:val="36"/>
        </w:rPr>
        <w:t>税务行政许可申请表</w:t>
      </w:r>
      <w:r>
        <w:drawing>
          <wp:anchor distT="0" distB="0" distL="114300" distR="114300" simplePos="0" relativeHeight="251665408" behindDoc="0" locked="0" layoutInCell="1" allowOverlap="1">
            <wp:simplePos x="0" y="0"/>
            <wp:positionH relativeFrom="column">
              <wp:posOffset>2805430</wp:posOffset>
            </wp:positionH>
            <wp:positionV relativeFrom="paragraph">
              <wp:posOffset>106045</wp:posOffset>
            </wp:positionV>
            <wp:extent cx="1143000" cy="1066800"/>
            <wp:effectExtent l="0" t="0" r="0" b="0"/>
            <wp:wrapNone/>
            <wp:docPr id="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noChangeArrowheads="1"/>
                    </pic:cNvPicPr>
                  </pic:nvPicPr>
                  <pic:blipFill>
                    <a:blip r:embed="rId14"/>
                    <a:srcRect/>
                    <a:stretch>
                      <a:fillRect/>
                    </a:stretch>
                  </pic:blipFill>
                  <pic:spPr>
                    <a:xfrm>
                      <a:off x="0" y="0"/>
                      <a:ext cx="1143000" cy="1066800"/>
                    </a:xfrm>
                    <a:prstGeom prst="rect">
                      <a:avLst/>
                    </a:prstGeom>
                    <a:noFill/>
                    <a:ln w="9525">
                      <a:noFill/>
                      <a:miter lim="800000"/>
                      <a:headEnd/>
                      <a:tailEnd/>
                    </a:ln>
                  </pic:spPr>
                </pic:pic>
              </a:graphicData>
            </a:graphic>
          </wp:anchor>
        </w:drawing>
      </w:r>
    </w:p>
    <w:p>
      <w:pPr>
        <w:ind w:firstLine="460"/>
        <w:jc w:val="left"/>
        <w:rPr>
          <w:rFonts w:hint="default" w:asciiTheme="minorEastAsia" w:hAnsiTheme="minorEastAsia" w:eastAsiaTheme="minorEastAsia"/>
          <w:sz w:val="23"/>
          <w:szCs w:val="23"/>
        </w:rPr>
      </w:pPr>
      <w:r>
        <w:rPr>
          <w:rFonts w:asciiTheme="minorEastAsia" w:hAnsiTheme="minorEastAsia" w:eastAsiaTheme="minorEastAsia"/>
          <w:sz w:val="23"/>
          <w:szCs w:val="23"/>
        </w:rPr>
        <w:t>申请日期：</w:t>
      </w:r>
      <w:r>
        <w:rPr>
          <w:rFonts w:asciiTheme="minorEastAsia" w:hAnsiTheme="minorEastAsia" w:eastAsiaTheme="minorEastAsia"/>
          <w:b/>
          <w:color w:val="0000FF"/>
          <w:sz w:val="23"/>
          <w:szCs w:val="23"/>
        </w:rPr>
        <w:t>XXXX</w:t>
      </w:r>
      <w:r>
        <w:rPr>
          <w:rFonts w:asciiTheme="minorEastAsia" w:hAnsiTheme="minorEastAsia" w:eastAsiaTheme="minorEastAsia"/>
          <w:sz w:val="23"/>
          <w:szCs w:val="23"/>
        </w:rPr>
        <w:t>年</w:t>
      </w:r>
      <w:r>
        <w:rPr>
          <w:rFonts w:asciiTheme="minorEastAsia" w:hAnsiTheme="minorEastAsia" w:eastAsiaTheme="minorEastAsia"/>
          <w:b/>
          <w:color w:val="0000FF"/>
          <w:sz w:val="23"/>
          <w:szCs w:val="23"/>
        </w:rPr>
        <w:t>XX</w:t>
      </w:r>
      <w:r>
        <w:rPr>
          <w:rFonts w:asciiTheme="minorEastAsia" w:hAnsiTheme="minorEastAsia" w:eastAsiaTheme="minorEastAsia"/>
          <w:sz w:val="23"/>
          <w:szCs w:val="23"/>
        </w:rPr>
        <w:t>月</w:t>
      </w:r>
      <w:r>
        <w:rPr>
          <w:rFonts w:asciiTheme="minorEastAsia" w:hAnsiTheme="minorEastAsia" w:eastAsiaTheme="minorEastAsia"/>
          <w:b/>
          <w:color w:val="0000FF"/>
          <w:sz w:val="23"/>
          <w:szCs w:val="23"/>
        </w:rPr>
        <w:t>XX</w:t>
      </w:r>
      <w:r>
        <w:rPr>
          <w:rFonts w:asciiTheme="minorEastAsia" w:hAnsiTheme="minorEastAsia" w:eastAsiaTheme="minorEastAsia"/>
          <w:sz w:val="23"/>
          <w:szCs w:val="23"/>
        </w:rPr>
        <w:t>日</w:t>
      </w:r>
    </w:p>
    <w:tbl>
      <w:tblPr>
        <w:tblStyle w:val="18"/>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819"/>
        <w:gridCol w:w="1655"/>
        <w:gridCol w:w="1655"/>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577" w:type="dxa"/>
            <w:vMerge w:val="restart"/>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请</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人</w:t>
            </w:r>
          </w:p>
        </w:tc>
        <w:tc>
          <w:tcPr>
            <w:tcW w:w="1819"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申请人名称</w:t>
            </w:r>
          </w:p>
        </w:tc>
        <w:tc>
          <w:tcPr>
            <w:tcW w:w="6288" w:type="dxa"/>
            <w:gridSpan w:val="3"/>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b/>
                <w:bCs/>
                <w:color w:val="0000FF"/>
                <w:sz w:val="21"/>
              </w:rPr>
              <w:t>XX</w:t>
            </w:r>
            <w:r>
              <w:rPr>
                <w:rFonts w:hint="default" w:asciiTheme="minorEastAsia" w:hAnsiTheme="minorEastAsia" w:eastAsiaTheme="minorEastAsia"/>
                <w:b/>
                <w:bCs/>
                <w:color w:val="0000FF"/>
                <w:sz w:val="21"/>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4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统一社会信用代码（纳税人识别号）</w:t>
            </w:r>
          </w:p>
        </w:tc>
        <w:tc>
          <w:tcPr>
            <w:tcW w:w="6288" w:type="dxa"/>
            <w:gridSpan w:val="3"/>
            <w:vAlign w:val="center"/>
          </w:tcPr>
          <w:p>
            <w:pPr>
              <w:ind w:firstLine="0" w:firstLineChars="0"/>
              <w:jc w:val="center"/>
              <w:rPr>
                <w:rFonts w:hint="default" w:asciiTheme="minorEastAsia" w:hAnsiTheme="minorEastAsia" w:eastAsiaTheme="minorEastAsia"/>
                <w:color w:val="0000FF"/>
                <w:sz w:val="23"/>
                <w:szCs w:val="23"/>
              </w:rPr>
            </w:pPr>
            <w:r>
              <w:rPr>
                <w:rFonts w:asciiTheme="minorEastAsia" w:hAnsiTheme="minorEastAsia" w:eastAsiaTheme="minorEastAsia"/>
                <w:b/>
                <w:color w:val="0000FF"/>
                <w:sz w:val="23"/>
                <w:szCs w:val="23"/>
              </w:rPr>
              <w:t>XXXXXXXXXXXXXXXXXX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法定代表人</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（负责人）</w:t>
            </w:r>
          </w:p>
        </w:tc>
        <w:tc>
          <w:tcPr>
            <w:tcW w:w="6288" w:type="dxa"/>
            <w:gridSpan w:val="3"/>
            <w:vAlign w:val="center"/>
          </w:tcPr>
          <w:p>
            <w:pPr>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某某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地址及邮政编码</w:t>
            </w:r>
          </w:p>
        </w:tc>
        <w:tc>
          <w:tcPr>
            <w:tcW w:w="6288" w:type="dxa"/>
            <w:gridSpan w:val="3"/>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XX省XX市XX区（县）XX路XX号XXXXXX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经办人</w:t>
            </w:r>
          </w:p>
        </w:tc>
        <w:tc>
          <w:tcPr>
            <w:tcW w:w="1655" w:type="dxa"/>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某某</w:t>
            </w:r>
          </w:p>
        </w:tc>
        <w:tc>
          <w:tcPr>
            <w:tcW w:w="1655"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身份证件号码</w:t>
            </w:r>
          </w:p>
        </w:tc>
        <w:tc>
          <w:tcPr>
            <w:tcW w:w="2978" w:type="dxa"/>
            <w:vAlign w:val="center"/>
          </w:tcPr>
          <w:p>
            <w:pPr>
              <w:spacing w:line="500" w:lineRule="exact"/>
              <w:ind w:firstLine="0" w:firstLineChars="0"/>
              <w:jc w:val="center"/>
              <w:rPr>
                <w:rFonts w:hint="default" w:asciiTheme="minorEastAsia" w:hAnsiTheme="minorEastAsia" w:eastAsiaTheme="minorEastAsia"/>
                <w:b/>
                <w:color w:val="0000FF"/>
                <w:sz w:val="23"/>
                <w:szCs w:val="23"/>
              </w:rPr>
            </w:pPr>
            <w:r>
              <w:rPr>
                <w:rFonts w:asciiTheme="minorEastAsia" w:hAnsiTheme="minorEastAsia" w:eastAsiaTheme="minorEastAsia"/>
                <w:b/>
                <w:color w:val="0000FF"/>
                <w:sz w:val="23"/>
                <w:szCs w:val="23"/>
              </w:rPr>
              <w:t>X</w:t>
            </w:r>
            <w:r>
              <w:rPr>
                <w:rFonts w:hint="default" w:asciiTheme="minorEastAsia" w:hAnsiTheme="minorEastAsia" w:eastAsiaTheme="minorEastAsia"/>
                <w:b/>
                <w:color w:val="0000FF"/>
                <w:sz w:val="23"/>
                <w:szCs w:val="23"/>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联系电话</w:t>
            </w:r>
          </w:p>
        </w:tc>
        <w:tc>
          <w:tcPr>
            <w:tcW w:w="1655" w:type="dxa"/>
            <w:vAlign w:val="center"/>
          </w:tcPr>
          <w:p>
            <w:pPr>
              <w:spacing w:line="500" w:lineRule="exact"/>
              <w:ind w:firstLine="0" w:firstLineChars="0"/>
              <w:jc w:val="center"/>
              <w:rPr>
                <w:rFonts w:hint="default" w:asciiTheme="minorEastAsia" w:hAnsiTheme="minorEastAsia" w:eastAsiaTheme="minorEastAsia"/>
                <w:b/>
                <w:color w:val="0000FF"/>
                <w:sz w:val="21"/>
                <w:szCs w:val="21"/>
              </w:rPr>
            </w:pPr>
            <w:r>
              <w:rPr>
                <w:rFonts w:asciiTheme="minorEastAsia" w:hAnsiTheme="minorEastAsia" w:eastAsiaTheme="minorEastAsia"/>
                <w:b/>
                <w:color w:val="0000FF"/>
                <w:sz w:val="21"/>
                <w:szCs w:val="21"/>
              </w:rPr>
              <w:t>XXXX</w:t>
            </w:r>
            <w:r>
              <w:rPr>
                <w:rFonts w:hint="default" w:asciiTheme="minorEastAsia" w:hAnsiTheme="minorEastAsia" w:eastAsiaTheme="minorEastAsia"/>
                <w:b/>
                <w:color w:val="0000FF"/>
                <w:sz w:val="21"/>
                <w:szCs w:val="21"/>
              </w:rPr>
              <w:t>XXXXXXX</w:t>
            </w: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联系地址</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r>
              <w:rPr>
                <w:rFonts w:asciiTheme="minorEastAsia" w:hAnsiTheme="minorEastAsia" w:eastAsiaTheme="minorEastAsia"/>
                <w:b/>
                <w:color w:val="0000FF"/>
                <w:sz w:val="18"/>
                <w:szCs w:val="18"/>
              </w:rPr>
              <w:t>XX省XX市XX区（县）XX路XX号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委托代理人</w:t>
            </w:r>
          </w:p>
        </w:tc>
        <w:tc>
          <w:tcPr>
            <w:tcW w:w="1655" w:type="dxa"/>
            <w:vAlign w:val="center"/>
          </w:tcPr>
          <w:p>
            <w:pPr>
              <w:spacing w:line="500" w:lineRule="exact"/>
              <w:ind w:firstLine="0" w:firstLineChars="0"/>
              <w:jc w:val="center"/>
              <w:rPr>
                <w:rFonts w:hint="default" w:asciiTheme="minorEastAsia" w:hAnsiTheme="minorEastAsia" w:eastAsiaTheme="minorEastAsia"/>
                <w:color w:val="0000FF"/>
                <w:sz w:val="23"/>
                <w:szCs w:val="23"/>
              </w:rPr>
            </w:pP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身份证件号码</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77" w:type="dxa"/>
            <w:vMerge w:val="continue"/>
            <w:vAlign w:val="center"/>
          </w:tcPr>
          <w:p>
            <w:pPr>
              <w:ind w:firstLine="0" w:firstLineChars="0"/>
              <w:rPr>
                <w:rFonts w:hint="default" w:asciiTheme="minorEastAsia" w:hAnsiTheme="minorEastAsia" w:eastAsiaTheme="minorEastAsia"/>
                <w:sz w:val="23"/>
                <w:szCs w:val="23"/>
              </w:rPr>
            </w:pPr>
          </w:p>
        </w:tc>
        <w:tc>
          <w:tcPr>
            <w:tcW w:w="1819" w:type="dxa"/>
            <w:vAlign w:val="center"/>
          </w:tcPr>
          <w:p>
            <w:pPr>
              <w:spacing w:line="500" w:lineRule="exact"/>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联系电话</w:t>
            </w:r>
          </w:p>
        </w:tc>
        <w:tc>
          <w:tcPr>
            <w:tcW w:w="1655" w:type="dxa"/>
            <w:vAlign w:val="center"/>
          </w:tcPr>
          <w:p>
            <w:pPr>
              <w:spacing w:line="500" w:lineRule="exact"/>
              <w:ind w:firstLine="0" w:firstLineChars="0"/>
              <w:jc w:val="center"/>
              <w:rPr>
                <w:rFonts w:hint="default" w:asciiTheme="minorEastAsia" w:hAnsiTheme="minorEastAsia" w:eastAsiaTheme="minorEastAsia"/>
                <w:color w:val="0000FF"/>
                <w:sz w:val="23"/>
                <w:szCs w:val="23"/>
              </w:rPr>
            </w:pPr>
          </w:p>
        </w:tc>
        <w:tc>
          <w:tcPr>
            <w:tcW w:w="1655" w:type="dxa"/>
            <w:vAlign w:val="center"/>
          </w:tcPr>
          <w:p>
            <w:pPr>
              <w:spacing w:line="5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联系地址</w:t>
            </w:r>
          </w:p>
        </w:tc>
        <w:tc>
          <w:tcPr>
            <w:tcW w:w="2978" w:type="dxa"/>
            <w:vAlign w:val="center"/>
          </w:tcPr>
          <w:p>
            <w:pPr>
              <w:spacing w:line="500" w:lineRule="exact"/>
              <w:ind w:firstLine="0" w:firstLineChars="0"/>
              <w:jc w:val="center"/>
              <w:rPr>
                <w:rFonts w:hint="default" w:asciiTheme="minorEastAsia" w:hAnsiTheme="minorEastAsia" w:eastAsiaTheme="minorEastAsia"/>
                <w:color w:val="0000FF"/>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577"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请</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事</w:t>
            </w:r>
          </w:p>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项</w:t>
            </w:r>
          </w:p>
        </w:tc>
        <w:tc>
          <w:tcPr>
            <w:tcW w:w="8107" w:type="dxa"/>
            <w:gridSpan w:val="4"/>
            <w:vAlign w:val="center"/>
          </w:tcPr>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□企业印制发票审批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□对纳税人延期申报的核准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□对纳税人延期缴纳税款的核准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□增值税专用发票（增值税税控系统）最高开票限额审批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对纳税人变更纳税定额的核准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□对采取实际利润额预缴以外的其他企业所得税预缴方式的核定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577" w:type="dxa"/>
            <w:vAlign w:val="center"/>
          </w:tcPr>
          <w:p>
            <w:pPr>
              <w:ind w:firstLine="0" w:firstLineChars="0"/>
              <w:jc w:val="center"/>
              <w:rPr>
                <w:rFonts w:hint="default" w:asciiTheme="minorEastAsia" w:hAnsiTheme="minorEastAsia" w:eastAsiaTheme="minorEastAsia"/>
                <w:sz w:val="23"/>
                <w:szCs w:val="23"/>
              </w:rPr>
            </w:pPr>
            <w:r>
              <w:rPr>
                <w:rFonts w:asciiTheme="minorEastAsia" w:hAnsiTheme="minorEastAsia" w:eastAsiaTheme="minorEastAsia"/>
                <w:sz w:val="23"/>
                <w:szCs w:val="23"/>
              </w:rPr>
              <w:t>申请材料</w:t>
            </w:r>
          </w:p>
        </w:tc>
        <w:tc>
          <w:tcPr>
            <w:tcW w:w="8107" w:type="dxa"/>
            <w:gridSpan w:val="4"/>
            <w:vAlign w:val="center"/>
          </w:tcPr>
          <w:p>
            <w:pPr>
              <w:spacing w:line="36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除提供经办人身份证件（□）外，应根据申请事项提供以下相应材料：</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一、企业印制发票审批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□1.《印刷经营许可证》或《其他印刷品印制许可证》</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□2.生产设备、生产流程及安全管理制度</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□3.生产工艺及产品检验制度</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□4.保存、运输及交付相关制度</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二、对纳税人延期缴纳税款的核准</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□1.《延期缴纳税款申请审批表》</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2.纳税人申请延期缴纳税款报告（详细说明申请延期原因，人员工资、社会保险费支出情况，连续3个月缴纳税款情况。因不可抗力，导致纳税人发生较大损失，正常生产经营活动受到较大影响的，在报告中对不可抗力情况进行说明并承诺：“以上情况属实，特此承诺。”）</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□3.当期货币资金余额情况及所有银行存款账户的对账单</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□4.应付职工工资和社会保险费等省税务机关要求提供的支出预算</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□5.《资产负债表》</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三、对纳税人延期申报的核准</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□1.《延期申报申请核准表》</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□2.确有困难不能正常申报的情况说明</w:t>
            </w:r>
          </w:p>
          <w:p>
            <w:pPr>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四、对纳税人变更纳税定额的核准</w:t>
            </w:r>
          </w:p>
          <w:p>
            <w:pPr>
              <w:spacing w:line="36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b/>
                <w:bCs/>
                <w:color w:val="0000FF"/>
                <w:sz w:val="23"/>
                <w:szCs w:val="23"/>
              </w:rPr>
              <w:sym w:font="Wingdings 2" w:char="0052"/>
            </w:r>
            <w:r>
              <w:rPr>
                <w:rFonts w:asciiTheme="minorEastAsia" w:hAnsiTheme="minorEastAsia" w:eastAsiaTheme="minorEastAsia"/>
                <w:sz w:val="23"/>
                <w:szCs w:val="23"/>
              </w:rPr>
              <w:t>申请变更纳税定额的相关证明材料</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五、增值税专用发票（增值税税控系统）最高开票限额审批</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□增值税专用发票最高开票限额申请单</w:t>
            </w:r>
          </w:p>
          <w:p>
            <w:pPr>
              <w:spacing w:line="40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六、对采取实际利润额预缴以外的其他企业所得税预缴方式的核定</w:t>
            </w:r>
          </w:p>
          <w:p>
            <w:pPr>
              <w:spacing w:line="400" w:lineRule="exact"/>
              <w:ind w:firstLine="0" w:firstLineChars="0"/>
              <w:rPr>
                <w:rFonts w:hint="default" w:asciiTheme="minorEastAsia" w:hAnsiTheme="minorEastAsia" w:eastAsiaTheme="minorEastAsia"/>
                <w:sz w:val="23"/>
                <w:szCs w:val="23"/>
              </w:rPr>
            </w:pPr>
            <w:r>
              <w:rPr>
                <w:rFonts w:asciiTheme="minorEastAsia" w:hAnsiTheme="minorEastAsia" w:eastAsiaTheme="minorEastAsia"/>
                <w:sz w:val="23"/>
                <w:szCs w:val="23"/>
              </w:rPr>
              <w:t>□按照月度或者季度的实际利润额预缴确有困难的证明材料</w:t>
            </w:r>
          </w:p>
          <w:p>
            <w:pPr>
              <w:spacing w:line="400" w:lineRule="exact"/>
              <w:ind w:firstLine="0" w:firstLineChars="0"/>
              <w:rPr>
                <w:rFonts w:hint="default" w:asciiTheme="minorEastAsia" w:hAnsiTheme="minorEastAsia" w:eastAsiaTheme="minorEastAsia"/>
                <w:sz w:val="23"/>
                <w:szCs w:val="23"/>
              </w:rPr>
            </w:pPr>
          </w:p>
          <w:p>
            <w:pPr>
              <w:spacing w:line="360" w:lineRule="exact"/>
              <w:ind w:firstLine="0" w:firstLineChars="0"/>
              <w:rPr>
                <w:rFonts w:hint="default" w:asciiTheme="minorEastAsia" w:hAnsiTheme="minorEastAsia" w:eastAsiaTheme="minorEastAsia"/>
                <w:b/>
                <w:sz w:val="23"/>
                <w:szCs w:val="23"/>
              </w:rPr>
            </w:pPr>
            <w:r>
              <w:rPr>
                <w:rFonts w:asciiTheme="minorEastAsia" w:hAnsiTheme="minorEastAsia" w:eastAsiaTheme="minorEastAsia"/>
                <w:b/>
                <w:sz w:val="23"/>
                <w:szCs w:val="23"/>
              </w:rPr>
              <w:t>委托代理人提出申请的，还应当提供代理委托书（□）、代理人身份证件（□）。</w:t>
            </w:r>
          </w:p>
        </w:tc>
      </w:tr>
    </w:tbl>
    <w:p>
      <w:pPr>
        <w:ind w:firstLine="0" w:firstLineChars="0"/>
        <w:rPr>
          <w:rFonts w:hint="default" w:asciiTheme="minorEastAsia" w:hAnsiTheme="minorEastAsia" w:eastAsiaTheme="minorEastAsia"/>
        </w:rPr>
      </w:pPr>
      <w:r>
        <w:rPr>
          <w:rFonts w:asciiTheme="minorEastAsia" w:hAnsiTheme="minorEastAsia" w:eastAsiaTheme="minorEastAsia"/>
        </w:rPr>
        <w:t xml:space="preserve">收件人：             收件日期：   年   月   日 </w:t>
      </w:r>
      <w:r>
        <w:rPr>
          <w:rFonts w:hint="default" w:asciiTheme="minorEastAsia" w:hAnsiTheme="minorEastAsia" w:eastAsiaTheme="minorEastAsia"/>
        </w:rPr>
        <w:t xml:space="preserve">        </w:t>
      </w:r>
      <w:r>
        <w:rPr>
          <w:rFonts w:asciiTheme="minorEastAsia" w:hAnsiTheme="minorEastAsia" w:eastAsiaTheme="minorEastAsia"/>
        </w:rPr>
        <w:t>编号：</w:t>
      </w:r>
    </w:p>
    <w:p>
      <w:pPr>
        <w:ind w:firstLine="482"/>
        <w:rPr>
          <w:rFonts w:hint="default"/>
          <w:b/>
        </w:rPr>
      </w:pPr>
      <w:r>
        <w:rPr>
          <w:b/>
        </w:rPr>
        <w:t>【政策依据】</w:t>
      </w:r>
    </w:p>
    <w:tbl>
      <w:tblPr>
        <w:tblStyle w:val="1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5742"/>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黑体" w:hAnsi="黑体" w:eastAsia="黑体" w:cs="Times New Roman"/>
                <w:kern w:val="0"/>
                <w:sz w:val="20"/>
                <w:szCs w:val="21"/>
              </w:rPr>
            </w:pPr>
            <w:r>
              <w:rPr>
                <w:rFonts w:ascii="黑体" w:hAnsi="黑体" w:eastAsia="黑体" w:cs="Times New Roman"/>
                <w:kern w:val="0"/>
                <w:sz w:val="21"/>
                <w:szCs w:val="21"/>
              </w:rPr>
              <w:t>序号</w:t>
            </w:r>
          </w:p>
        </w:tc>
        <w:tc>
          <w:tcPr>
            <w:tcW w:w="5742" w:type="dxa"/>
            <w:vAlign w:val="center"/>
          </w:tcPr>
          <w:p>
            <w:pPr>
              <w:widowControl/>
              <w:adjustRightInd w:val="0"/>
              <w:snapToGrid w:val="0"/>
              <w:ind w:firstLine="0" w:firstLineChars="0"/>
              <w:jc w:val="center"/>
              <w:rPr>
                <w:rFonts w:hint="default" w:ascii="黑体" w:hAnsi="黑体" w:eastAsia="黑体" w:cs="Times New Roman"/>
                <w:kern w:val="0"/>
                <w:sz w:val="20"/>
                <w:szCs w:val="21"/>
              </w:rPr>
            </w:pPr>
            <w:r>
              <w:rPr>
                <w:rFonts w:ascii="黑体" w:hAnsi="黑体" w:eastAsia="黑体" w:cs="Times New Roman"/>
                <w:kern w:val="0"/>
                <w:sz w:val="21"/>
                <w:szCs w:val="21"/>
              </w:rPr>
              <w:t>文件名称</w:t>
            </w:r>
          </w:p>
        </w:tc>
        <w:tc>
          <w:tcPr>
            <w:tcW w:w="1510" w:type="dxa"/>
            <w:vAlign w:val="center"/>
          </w:tcPr>
          <w:p>
            <w:pPr>
              <w:widowControl/>
              <w:adjustRightInd w:val="0"/>
              <w:snapToGrid w:val="0"/>
              <w:ind w:firstLine="0" w:firstLineChars="0"/>
              <w:jc w:val="center"/>
              <w:rPr>
                <w:rFonts w:hint="default" w:ascii="黑体" w:hAnsi="黑体" w:eastAsia="黑体" w:cs="Times New Roman"/>
                <w:kern w:val="0"/>
                <w:sz w:val="20"/>
                <w:szCs w:val="21"/>
              </w:rPr>
            </w:pPr>
            <w:r>
              <w:rPr>
                <w:rFonts w:ascii="黑体" w:hAnsi="黑体" w:eastAsia="黑体" w:cs="Times New Roman"/>
                <w:kern w:val="0"/>
                <w:sz w:val="21"/>
                <w:szCs w:val="21"/>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hint="default" w:ascii="宋体" w:hAnsi="宋体" w:cs="Times New Roman"/>
                <w:kern w:val="0"/>
                <w:sz w:val="21"/>
                <w:szCs w:val="21"/>
              </w:rPr>
              <w:t>1</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《中华人民共和国税收征收管理法实施细则》</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2</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《个体工商户税收定期定额征收管理办法》（国家税务总局令第16号）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3</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《国家税务总局关于发布&lt;股权转让所得个人所得税管理办法（试行）&gt;的公告》（国家税务总局公告2014年第67号）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4</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《国家税务总局关于规范行政审批行为改进行政审批有关工作的意见》（税总发〔2015〕142号）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5</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《国家税务总局关于税务行政许可若干问题的公告》（国家税务总局公告2016年第11号）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6</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《国家税务总局关于简化税务行政许可事项办理程序的公告》（国家税务总局公告2017年第21号）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7</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《国家税务总局关于公布已取消税务行政许可事项的公告》（国家税务总局公告</w:t>
            </w:r>
            <w:r>
              <w:rPr>
                <w:rFonts w:hint="default" w:ascii="宋体" w:hAnsi="宋体" w:cs="Times New Roman"/>
                <w:kern w:val="0"/>
                <w:sz w:val="21"/>
                <w:szCs w:val="21"/>
              </w:rPr>
              <w:t>2019年第11号）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8</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《国家税务总局关于印发&lt;全国税务系统深化“放管服”改革五年工作方案（2018年—2022年）&gt;的通知》（税总发〔2018〕199号）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6"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9</w:t>
            </w:r>
          </w:p>
        </w:tc>
        <w:tc>
          <w:tcPr>
            <w:tcW w:w="5742"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《国家税务总局关于取消一批涉税事项和报送资料的通知》（税总函〔2017〕403号）</w:t>
            </w:r>
          </w:p>
        </w:tc>
        <w:tc>
          <w:tcPr>
            <w:tcW w:w="1510" w:type="dxa"/>
            <w:vAlign w:val="center"/>
          </w:tcPr>
          <w:p>
            <w:pPr>
              <w:widowControl/>
              <w:adjustRightInd w:val="0"/>
              <w:snapToGrid w:val="0"/>
              <w:ind w:firstLine="0" w:firstLineChars="0"/>
              <w:jc w:val="center"/>
              <w:rPr>
                <w:rFonts w:hint="default" w:ascii="宋体" w:hAnsi="宋体" w:cs="Times New Roman"/>
                <w:kern w:val="0"/>
                <w:sz w:val="20"/>
                <w:szCs w:val="21"/>
              </w:rPr>
            </w:pPr>
            <w:r>
              <w:rPr>
                <w:rFonts w:ascii="宋体" w:hAnsi="宋体" w:cs="Times New Roman"/>
                <w:kern w:val="0"/>
                <w:sz w:val="21"/>
                <w:szCs w:val="21"/>
              </w:rPr>
              <w:t>主动公开</w:t>
            </w:r>
          </w:p>
        </w:tc>
      </w:tr>
    </w:tbl>
    <w:p>
      <w:pPr>
        <w:pStyle w:val="29"/>
        <w:wordWrap w:val="0"/>
        <w:spacing w:before="1008" w:after="504"/>
        <w:rPr>
          <w:color w:val="000000" w:themeColor="text1"/>
        </w:rPr>
      </w:pPr>
      <w:bookmarkStart w:id="266" w:name="_Toc18096187"/>
      <w:r>
        <w:rPr>
          <w:rFonts w:hint="eastAsia"/>
          <w:color w:val="000000" w:themeColor="text1"/>
        </w:rPr>
        <w:t>3.25　　退（抵）税办理</w:t>
      </w:r>
      <w:bookmarkEnd w:id="240"/>
      <w:bookmarkEnd w:id="266"/>
    </w:p>
    <w:bookmarkEnd w:id="241"/>
    <w:p>
      <w:pPr>
        <w:pStyle w:val="30"/>
        <w:wordWrap w:val="0"/>
        <w:topLinePunct w:val="0"/>
        <w:spacing w:before="336" w:after="336"/>
        <w:rPr>
          <w:color w:val="000000" w:themeColor="text1"/>
        </w:rPr>
      </w:pPr>
      <w:bookmarkStart w:id="267" w:name="_Toc1229"/>
      <w:bookmarkStart w:id="268" w:name="_Toc18096188"/>
      <w:bookmarkStart w:id="269" w:name="_Toc26069"/>
      <w:r>
        <w:rPr>
          <w:rFonts w:hint="eastAsia"/>
          <w:color w:val="000000" w:themeColor="text1"/>
        </w:rPr>
        <w:t>3.25.1—11</w:t>
      </w:r>
      <w:r>
        <w:rPr>
          <w:color w:val="000000" w:themeColor="text1"/>
        </w:rPr>
        <w:t>8</w:t>
      </w:r>
      <w:r>
        <w:rPr>
          <w:rFonts w:hint="eastAsia"/>
          <w:color w:val="000000" w:themeColor="text1"/>
        </w:rPr>
        <w:t>　</w:t>
      </w:r>
      <w:r>
        <w:rPr>
          <w:color w:val="000000" w:themeColor="text1"/>
        </w:rPr>
        <w:t>　</w:t>
      </w:r>
      <w:r>
        <w:rPr>
          <w:rFonts w:hint="eastAsia"/>
          <w:color w:val="000000" w:themeColor="text1"/>
        </w:rPr>
        <w:t>误收多缴退抵税</w:t>
      </w:r>
      <w:bookmarkEnd w:id="267"/>
      <w:bookmarkEnd w:id="268"/>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误收多缴退抵税</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宋体"/>
          <w:color w:val="000000" w:themeColor="text1"/>
          <w:kern w:val="0"/>
          <w:lang w:bidi="zh-CN"/>
        </w:rPr>
      </w:pPr>
      <w:r>
        <w:rPr>
          <w:rFonts w:hint="default" w:ascii="宋体" w:hAnsi="宋体" w:cs="宋体"/>
          <w:color w:val="000000" w:themeColor="text1"/>
          <w:kern w:val="0"/>
          <w:lang w:bidi="zh-CN"/>
        </w:rPr>
        <w:t>纳税人自结算缴纳税款之日起</w:t>
      </w:r>
      <w:r>
        <w:rPr>
          <w:rFonts w:ascii="宋体" w:hAnsi="宋体" w:cs="宋体"/>
          <w:color w:val="000000" w:themeColor="text1"/>
          <w:kern w:val="0"/>
          <w:lang w:bidi="zh-CN"/>
        </w:rPr>
        <w:t>三</w:t>
      </w:r>
      <w:r>
        <w:rPr>
          <w:rFonts w:hint="default" w:ascii="宋体" w:hAnsi="宋体" w:cs="宋体"/>
          <w:color w:val="000000" w:themeColor="text1"/>
          <w:kern w:val="0"/>
          <w:lang w:bidi="zh-CN"/>
        </w:rPr>
        <w:t>年内</w:t>
      </w:r>
      <w:r>
        <w:rPr>
          <w:rFonts w:ascii="宋体" w:hAnsi="宋体" w:cs="宋体"/>
          <w:color w:val="000000" w:themeColor="text1"/>
          <w:kern w:val="0"/>
          <w:lang w:bidi="zh-CN"/>
        </w:rPr>
        <w:t>发现</w:t>
      </w:r>
      <w:r>
        <w:rPr>
          <w:rFonts w:hint="default" w:ascii="宋体" w:hAnsi="宋体" w:cs="宋体"/>
          <w:color w:val="000000" w:themeColor="text1"/>
          <w:kern w:val="0"/>
          <w:lang w:bidi="zh-CN"/>
        </w:rPr>
        <w:t>多缴税款的，可以向税务机关要求退还多缴的税款并加算银行同期存款利息</w:t>
      </w:r>
      <w:r>
        <w:rPr>
          <w:rFonts w:ascii="宋体" w:hAnsi="宋体" w:cs="宋体"/>
          <w:color w:val="000000" w:themeColor="text1"/>
          <w:kern w:val="0"/>
          <w:lang w:bidi="zh-CN"/>
        </w:rPr>
        <w:t>。税务机关发现纳税人超过应纳税额多缴的税款，</w:t>
      </w:r>
      <w:r>
        <w:rPr>
          <w:rFonts w:hint="default" w:ascii="宋体" w:hAnsi="宋体" w:cs="宋体"/>
          <w:color w:val="000000" w:themeColor="text1"/>
          <w:kern w:val="0"/>
          <w:lang w:bidi="zh-CN"/>
        </w:rPr>
        <w:t>应该依照税收法律法规及相关规定办理退还手续。</w:t>
      </w:r>
    </w:p>
    <w:p>
      <w:pPr>
        <w:wordWrap w:val="0"/>
        <w:spacing w:line="360" w:lineRule="auto"/>
        <w:ind w:firstLine="480"/>
        <w:rPr>
          <w:rFonts w:hint="default" w:ascii="宋体" w:hAnsi="宋体" w:cs="宋体"/>
          <w:color w:val="000000" w:themeColor="text1"/>
          <w:kern w:val="0"/>
          <w:lang w:bidi="zh-CN"/>
        </w:rPr>
      </w:pPr>
      <w:r>
        <w:rPr>
          <w:rFonts w:hint="default" w:ascii="宋体" w:hAnsi="宋体" w:cs="宋体"/>
          <w:color w:val="000000" w:themeColor="text1"/>
          <w:kern w:val="0"/>
          <w:lang w:bidi="zh-CN"/>
        </w:rPr>
        <w:t>以下业务也属于误收多缴退抵税范围：</w:t>
      </w:r>
    </w:p>
    <w:p>
      <w:pPr>
        <w:wordWrap w:val="0"/>
        <w:spacing w:line="360" w:lineRule="auto"/>
        <w:ind w:firstLine="480"/>
        <w:rPr>
          <w:rFonts w:hint="default" w:ascii="宋体" w:hAnsi="宋体" w:cs="宋体"/>
          <w:color w:val="000000" w:themeColor="text1"/>
          <w:kern w:val="0"/>
          <w:lang w:bidi="zh-CN"/>
        </w:rPr>
      </w:pPr>
      <w:r>
        <w:rPr>
          <w:rFonts w:ascii="宋体" w:hAnsi="宋体" w:cs="宋体"/>
          <w:color w:val="000000" w:themeColor="text1"/>
          <w:kern w:val="0"/>
          <w:lang w:bidi="zh-CN"/>
        </w:rPr>
        <w:t>（</w:t>
      </w:r>
      <w:r>
        <w:rPr>
          <w:rFonts w:cs="Times New Roman"/>
          <w:color w:val="000000" w:themeColor="text1"/>
          <w:kern w:val="0"/>
          <w:lang w:bidi="zh-CN"/>
        </w:rPr>
        <w:t>1</w:t>
      </w:r>
      <w:r>
        <w:rPr>
          <w:rFonts w:ascii="宋体" w:hAnsi="宋体" w:cs="宋体"/>
          <w:color w:val="000000" w:themeColor="text1"/>
          <w:kern w:val="0"/>
          <w:lang w:bidi="zh-CN"/>
        </w:rPr>
        <w:t>）</w:t>
      </w:r>
      <w:r>
        <w:rPr>
          <w:rFonts w:hint="default" w:ascii="宋体" w:hAnsi="宋体" w:cs="宋体"/>
          <w:color w:val="000000" w:themeColor="text1"/>
          <w:kern w:val="0"/>
          <w:lang w:bidi="zh-CN"/>
        </w:rPr>
        <w:t>“营改增”试点纳税人提供应税服务在本地区试点实施之日前已缴纳营业税，本地区试点实施之日（含）后因发生退款减除营业额的，应当向主管税务机关申请退还已缴纳的营业税；</w:t>
      </w:r>
    </w:p>
    <w:p>
      <w:pPr>
        <w:wordWrap w:val="0"/>
        <w:spacing w:line="360" w:lineRule="auto"/>
        <w:ind w:firstLine="480"/>
        <w:rPr>
          <w:rFonts w:hint="default" w:ascii="宋体" w:hAnsi="宋体" w:cs="宋体"/>
          <w:color w:val="000000" w:themeColor="text1"/>
          <w:kern w:val="0"/>
          <w:lang w:bidi="zh-CN"/>
        </w:rPr>
      </w:pPr>
      <w:r>
        <w:rPr>
          <w:rFonts w:ascii="宋体" w:hAnsi="宋体" w:cs="宋体"/>
          <w:color w:val="000000" w:themeColor="text1"/>
          <w:kern w:val="0"/>
          <w:lang w:bidi="zh-CN"/>
        </w:rPr>
        <w:t>（</w:t>
      </w:r>
      <w:r>
        <w:rPr>
          <w:rFonts w:cs="Times New Roman"/>
          <w:color w:val="000000" w:themeColor="text1"/>
          <w:kern w:val="0"/>
          <w:lang w:bidi="zh-CN"/>
        </w:rPr>
        <w:t>2</w:t>
      </w:r>
      <w:r>
        <w:rPr>
          <w:rFonts w:ascii="宋体" w:hAnsi="宋体" w:cs="宋体"/>
          <w:color w:val="000000" w:themeColor="text1"/>
          <w:kern w:val="0"/>
          <w:lang w:bidi="zh-CN"/>
        </w:rPr>
        <w:t>）</w:t>
      </w:r>
      <w:r>
        <w:rPr>
          <w:rFonts w:hint="default" w:ascii="宋体" w:hAnsi="宋体" w:cs="宋体"/>
          <w:color w:val="000000" w:themeColor="text1"/>
          <w:kern w:val="0"/>
          <w:lang w:bidi="zh-CN"/>
        </w:rPr>
        <w:t>对于“税务处理决定书多缴税费”“行政复议决定书多缴税费”“法院判决书多缴税费”等类多缴税款办理退税</w:t>
      </w:r>
      <w:r>
        <w:rPr>
          <w:rFonts w:ascii="宋体" w:hAnsi="宋体" w:cs="宋体"/>
          <w:color w:val="000000" w:themeColor="text1"/>
          <w:kern w:val="0"/>
          <w:lang w:bidi="zh-CN"/>
        </w:rPr>
        <w:t>。</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《中华人民共和国税收征收管理法》第五十一条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《中华人民共和国税收征收管理法实施细则》第七十八条、第七十九条</w:t>
      </w:r>
    </w:p>
    <w:p>
      <w:pPr>
        <w:pStyle w:val="31"/>
        <w:wordWrap w:val="0"/>
        <w:adjustRightInd/>
        <w:snapToGrid/>
        <w:rPr>
          <w:color w:val="000000" w:themeColor="text1"/>
        </w:rPr>
      </w:pPr>
      <w:r>
        <w:rPr>
          <w:rFonts w:hint="eastAsia"/>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01"/>
        <w:gridCol w:w="2835"/>
        <w:gridCol w:w="680"/>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7"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vAlign w:val="center"/>
          </w:tcPr>
          <w:p>
            <w:pPr>
              <w:pStyle w:val="34"/>
              <w:wordWrap w:val="0"/>
              <w:adjustRightInd/>
              <w:snapToGrid/>
              <w:spacing w:line="240" w:lineRule="auto"/>
              <w:rPr>
                <w:color w:val="000000" w:themeColor="text1"/>
              </w:rPr>
            </w:pPr>
            <w:r>
              <w:rPr>
                <w:rFonts w:hint="eastAsia"/>
                <w:color w:val="000000" w:themeColor="text1"/>
              </w:rPr>
              <w:t>《退（抵）税申请表》</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r>
              <w:rPr>
                <w:rFonts w:hint="eastAsia"/>
                <w:color w:val="000000" w:themeColor="text1"/>
              </w:rPr>
              <w:t>份</w:t>
            </w:r>
          </w:p>
        </w:tc>
        <w:tc>
          <w:tcPr>
            <w:tcW w:w="2267"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vAlign w:val="center"/>
          </w:tcPr>
          <w:p>
            <w:pPr>
              <w:pStyle w:val="34"/>
              <w:wordWrap w:val="0"/>
              <w:adjustRightInd/>
              <w:snapToGrid/>
              <w:rPr>
                <w:color w:val="000000" w:themeColor="text1"/>
              </w:rPr>
            </w:pPr>
            <w:r>
              <w:rPr>
                <w:rFonts w:hint="eastAsia" w:ascii="Times New Roman" w:hAnsi="Times New Roman"/>
                <w:color w:val="000000" w:themeColor="text1"/>
              </w:rPr>
              <w:t>2</w:t>
            </w:r>
          </w:p>
        </w:tc>
        <w:tc>
          <w:tcPr>
            <w:tcW w:w="4536" w:type="dxa"/>
            <w:gridSpan w:val="2"/>
            <w:vAlign w:val="center"/>
          </w:tcPr>
          <w:p>
            <w:pPr>
              <w:pStyle w:val="34"/>
              <w:wordWrap w:val="0"/>
              <w:adjustRightInd/>
              <w:snapToGrid/>
              <w:rPr>
                <w:color w:val="000000" w:themeColor="text1"/>
                <w:szCs w:val="21"/>
              </w:rPr>
            </w:pPr>
            <w:r>
              <w:rPr>
                <w:rFonts w:hint="eastAsia"/>
                <w:color w:val="000000" w:themeColor="text1"/>
              </w:rPr>
              <w:t>完税（缴款）凭证复印件</w:t>
            </w:r>
          </w:p>
        </w:tc>
        <w:tc>
          <w:tcPr>
            <w:tcW w:w="680" w:type="dxa"/>
            <w:vAlign w:val="center"/>
          </w:tcPr>
          <w:p>
            <w:pPr>
              <w:pStyle w:val="34"/>
              <w:wordWrap w:val="0"/>
              <w:adjustRightInd/>
              <w:snapToGrid/>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vAlign w:val="center"/>
          </w:tcPr>
          <w:p>
            <w:pPr>
              <w:pStyle w:val="34"/>
              <w:wordWrap w:val="0"/>
              <w:adjustRightInd/>
              <w:snapToGrid/>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vAlign w:val="center"/>
          </w:tcPr>
          <w:p>
            <w:pPr>
              <w:pStyle w:val="34"/>
              <w:wordWrap w:val="0"/>
              <w:adjustRightInd/>
              <w:snapToGrid/>
              <w:rPr>
                <w:color w:val="000000" w:themeColor="text1"/>
              </w:rPr>
            </w:pPr>
            <w:r>
              <w:rPr>
                <w:rFonts w:hint="eastAsia" w:ascii="Times New Roman" w:hAnsi="Times New Roman"/>
                <w:color w:val="000000" w:themeColor="text1"/>
              </w:rPr>
              <w:t>3</w:t>
            </w:r>
          </w:p>
        </w:tc>
        <w:tc>
          <w:tcPr>
            <w:tcW w:w="4536" w:type="dxa"/>
            <w:gridSpan w:val="2"/>
            <w:vAlign w:val="center"/>
          </w:tcPr>
          <w:p>
            <w:pPr>
              <w:pStyle w:val="34"/>
              <w:wordWrap w:val="0"/>
              <w:adjustRightInd/>
              <w:snapToGrid/>
              <w:rPr>
                <w:color w:val="000000" w:themeColor="text1"/>
              </w:rPr>
            </w:pPr>
            <w:r>
              <w:rPr>
                <w:rFonts w:hint="eastAsia"/>
                <w:color w:val="000000" w:themeColor="text1"/>
              </w:rPr>
              <w:t>税务机关认可的其他记载应退税款内容的资料</w:t>
            </w:r>
          </w:p>
        </w:tc>
        <w:tc>
          <w:tcPr>
            <w:tcW w:w="680" w:type="dxa"/>
            <w:vAlign w:val="center"/>
          </w:tcPr>
          <w:p>
            <w:pPr>
              <w:pStyle w:val="34"/>
              <w:wordWrap w:val="0"/>
              <w:adjustRightInd/>
              <w:snapToGrid/>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vAlign w:val="center"/>
          </w:tcPr>
          <w:p>
            <w:pPr>
              <w:pStyle w:val="34"/>
              <w:wordWrap w:val="0"/>
              <w:adjustRightInd/>
              <w:snapToGrid/>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2" w:type="dxa"/>
            <w:gridSpan w:val="5"/>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380" w:type="dxa"/>
            <w:gridSpan w:val="2"/>
            <w:shd w:val="clear" w:color="auto" w:fill="D9D9D9"/>
            <w:vAlign w:val="center"/>
          </w:tcPr>
          <w:p>
            <w:pPr>
              <w:pStyle w:val="32"/>
              <w:wordWrap w:val="0"/>
              <w:adjustRightInd/>
              <w:snapToGrid/>
              <w:rPr>
                <w:color w:val="000000" w:themeColor="text1"/>
              </w:rPr>
            </w:pPr>
            <w:r>
              <w:rPr>
                <w:rFonts w:hint="eastAsia"/>
                <w:color w:val="000000" w:themeColor="text1"/>
              </w:rPr>
              <w:t>适用</w:t>
            </w:r>
            <w:r>
              <w:rPr>
                <w:rFonts w:hint="eastAsia"/>
                <w:color w:val="000000" w:themeColor="text1"/>
                <w:lang w:val="en-US"/>
              </w:rPr>
              <w:t>情形</w:t>
            </w:r>
          </w:p>
        </w:tc>
        <w:tc>
          <w:tcPr>
            <w:tcW w:w="2835" w:type="dxa"/>
            <w:shd w:val="clear" w:color="auto" w:fill="D9D9D9"/>
            <w:vAlign w:val="center"/>
          </w:tcPr>
          <w:p>
            <w:pPr>
              <w:pStyle w:val="32"/>
              <w:wordWrap w:val="0"/>
              <w:adjustRightInd/>
              <w:snapToGrid/>
              <w:rPr>
                <w:color w:val="000000" w:themeColor="text1"/>
              </w:rPr>
            </w:pPr>
            <w:r>
              <w:rPr>
                <w:rFonts w:hint="eastAsia"/>
                <w:color w:val="000000" w:themeColor="text1"/>
              </w:rPr>
              <w:t>材料名称</w:t>
            </w:r>
          </w:p>
        </w:tc>
        <w:tc>
          <w:tcPr>
            <w:tcW w:w="680" w:type="dxa"/>
            <w:shd w:val="clear" w:color="auto" w:fill="D9D9D9"/>
            <w:vAlign w:val="center"/>
          </w:tcPr>
          <w:p>
            <w:pPr>
              <w:pStyle w:val="32"/>
              <w:wordWrap w:val="0"/>
              <w:adjustRightInd/>
              <w:snapToGrid/>
              <w:rPr>
                <w:color w:val="000000" w:themeColor="text1"/>
              </w:rPr>
            </w:pPr>
            <w:r>
              <w:rPr>
                <w:rFonts w:hint="eastAsia"/>
                <w:color w:val="000000" w:themeColor="text1"/>
              </w:rPr>
              <w:t>数量</w:t>
            </w:r>
          </w:p>
        </w:tc>
        <w:tc>
          <w:tcPr>
            <w:tcW w:w="2267" w:type="dxa"/>
            <w:shd w:val="clear" w:color="auto" w:fill="D9D9D9"/>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exact"/>
          <w:jc w:val="center"/>
        </w:trPr>
        <w:tc>
          <w:tcPr>
            <w:tcW w:w="2380" w:type="dxa"/>
            <w:gridSpan w:val="2"/>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因特殊情况不能退至纳税人、扣缴义务人原缴款账户</w:t>
            </w:r>
          </w:p>
        </w:tc>
        <w:tc>
          <w:tcPr>
            <w:tcW w:w="2835" w:type="dxa"/>
            <w:vAlign w:val="center"/>
          </w:tcPr>
          <w:p>
            <w:pPr>
              <w:pStyle w:val="34"/>
              <w:wordWrap w:val="0"/>
              <w:adjustRightInd/>
              <w:snapToGrid/>
              <w:spacing w:line="240" w:lineRule="auto"/>
              <w:rPr>
                <w:color w:val="000000" w:themeColor="text1"/>
              </w:rPr>
            </w:pPr>
            <w:r>
              <w:rPr>
                <w:rFonts w:hint="eastAsia"/>
                <w:color w:val="000000" w:themeColor="text1"/>
              </w:rPr>
              <w:t>由于特殊情况不能退至纳税人、扣缴义务人原缴款账户的书面说明，相关证明资料，和指定接受退税的其他账户及接受退税单位（人）名称的资料</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w:t>
      </w:r>
      <w:r>
        <w:rPr>
          <w:rFonts w:ascii="宋体" w:hAnsi="宋体" w:cs="Times New Roman"/>
          <w:color w:val="000000" w:themeColor="text1"/>
        </w:rPr>
        <w:t>税务机关发现的，</w:t>
      </w:r>
      <w:r>
        <w:rPr>
          <w:rFonts w:cs="Times New Roman"/>
          <w:color w:val="000000" w:themeColor="text1"/>
        </w:rPr>
        <w:t>10</w:t>
      </w:r>
      <w:r>
        <w:rPr>
          <w:rFonts w:ascii="宋体" w:hAnsi="宋体" w:cs="Times New Roman"/>
          <w:color w:val="000000" w:themeColor="text1"/>
        </w:rPr>
        <w:t>日内办结；</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w:t>
      </w:r>
      <w:r>
        <w:rPr>
          <w:rFonts w:ascii="宋体" w:hAnsi="宋体" w:cs="Times New Roman"/>
          <w:color w:val="000000" w:themeColor="text1"/>
        </w:rPr>
        <w:t>纳税人自行发现的，</w:t>
      </w:r>
      <w:r>
        <w:rPr>
          <w:rFonts w:cs="Times New Roman"/>
          <w:color w:val="000000" w:themeColor="text1"/>
        </w:rPr>
        <w:t>30</w:t>
      </w:r>
      <w:r>
        <w:rPr>
          <w:rFonts w:ascii="宋体" w:hAnsi="宋体" w:cs="Times New Roman"/>
          <w:color w:val="000000" w:themeColor="text1"/>
        </w:rPr>
        <w:t>日内办结。</w:t>
      </w:r>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4944110" cy="1687830"/>
            <wp:effectExtent l="0" t="0" r="8890" b="1270"/>
            <wp:docPr id="71" name="图片 24"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4" descr="C:\Users\baoqianyu\Desktop\流程图\流转\纳税人.png纳税人"/>
                    <pic:cNvPicPr>
                      <a:picLocks noChangeAspect="1"/>
                    </pic:cNvPicPr>
                  </pic:nvPicPr>
                  <pic:blipFill>
                    <a:blip r:embed="rId15"/>
                    <a:srcRect/>
                    <a:stretch>
                      <a:fillRect/>
                    </a:stretch>
                  </pic:blipFill>
                  <pic:spPr>
                    <a:xfrm>
                      <a:off x="0" y="0"/>
                      <a:ext cx="4944110" cy="168783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多缴税费证明资料包括：减免税审批文书、纳税申报表、税务稽查结论、税务处理决定书、纳税评估文书、税务行政复议决定书、生效的法院判决文书、增值税红字发票、税务机关认可的其他记载应退税款内容的资料。</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退税利息按照税务机关办理退税手续当天中国人民银行规定的活期存款利率计算。</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除出口退税以外，纳税人既有应退税款又有欠缴税款的，税务机关可以将纳税人的应退税款和利息先抵扣欠缴的税款；抵扣后有余额的，纳税人可以申请办理应退余额的退库。</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宋体"/>
          <w:color w:val="000000" w:themeColor="text1"/>
          <w:kern w:val="0"/>
          <w:lang w:bidi="zh-CN"/>
        </w:rPr>
        <w:t>多贴印花税票的，不得申请退税或者抵用。</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hint="default" w:ascii="宋体" w:hAnsi="宋体" w:cs="Times New Roman"/>
          <w:color w:val="000000" w:themeColor="text1"/>
        </w:rPr>
        <w:t>个工作日内通知纳税人领取办理结果，制作</w:t>
      </w:r>
      <w:r>
        <w:rPr>
          <w:rFonts w:ascii="宋体" w:hAnsi="宋体" w:cs="Times New Roman"/>
          <w:color w:val="000000" w:themeColor="text1"/>
        </w:rPr>
        <w:t>并</w:t>
      </w:r>
      <w:r>
        <w:rPr>
          <w:rFonts w:hint="default" w:ascii="宋体" w:hAnsi="宋体" w:cs="Times New Roman"/>
          <w:color w:val="000000" w:themeColor="text1"/>
        </w:rPr>
        <w:t>发放《税务事项通知书》。电子税务局办理的，将办理结果通过电子税务局反馈给纳税人。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税务机关能够获取相关信息的，可不再报送纸质资料。</w:t>
      </w:r>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进入金三操作系统，通过文书受理岗权限，按照【管理服务】—【文书管理】—【退税类】—【录入退抵税费信息】的路径进入功能模块。</w:t>
      </w:r>
    </w:p>
    <w:p>
      <w:pPr>
        <w:wordWrap w:val="0"/>
        <w:spacing w:line="360" w:lineRule="auto"/>
        <w:ind w:firstLine="480"/>
        <w:rPr>
          <w:rFonts w:hint="default" w:cs="Times New Roman"/>
          <w:color w:val="000000" w:themeColor="text1"/>
        </w:rPr>
      </w:pPr>
      <w:r>
        <w:rPr>
          <w:rFonts w:cs="Times New Roman"/>
          <w:color w:val="000000" w:themeColor="text1"/>
        </w:rPr>
        <w:t>2.发放环节</w:t>
      </w:r>
    </w:p>
    <w:p>
      <w:pPr>
        <w:wordWrap w:val="0"/>
        <w:spacing w:line="360" w:lineRule="auto"/>
        <w:ind w:firstLine="480"/>
        <w:rPr>
          <w:rFonts w:hint="default" w:cs="Times New Roman"/>
          <w:color w:val="000000" w:themeColor="text1"/>
        </w:rPr>
      </w:pPr>
      <w:r>
        <w:rPr>
          <w:rFonts w:cs="Times New Roman"/>
          <w:color w:val="000000" w:themeColor="text1"/>
        </w:rPr>
        <w:t>流程审批完成后，进入金三操作系统（文书受理岗权限），在待办任务栏中找到相对应的业务任务，进入发放界面。点击〔打印〕按钮，打印《税务事项通知书（退抵税（费）审批通知）》交给纳税人。</w:t>
      </w:r>
    </w:p>
    <w:p>
      <w:pPr>
        <w:wordWrap w:val="0"/>
        <w:spacing w:line="360" w:lineRule="auto"/>
        <w:ind w:firstLine="480"/>
        <w:rPr>
          <w:rFonts w:hint="default" w:cs="Times New Roman"/>
          <w:color w:val="000000" w:themeColor="text1"/>
        </w:rPr>
      </w:pPr>
      <w:r>
        <w:rPr>
          <w:rFonts w:cs="Times New Roman"/>
          <w:color w:val="000000" w:themeColor="text1"/>
        </w:rPr>
        <w:t>3.提示事项</w:t>
      </w:r>
    </w:p>
    <w:p>
      <w:pPr>
        <w:wordWrap w:val="0"/>
        <w:spacing w:line="360" w:lineRule="auto"/>
        <w:ind w:firstLine="480"/>
        <w:rPr>
          <w:rFonts w:hint="default" w:cs="Times New Roman"/>
          <w:color w:val="000000" w:themeColor="text1"/>
        </w:rPr>
      </w:pPr>
      <w:r>
        <w:rPr>
          <w:rFonts w:cs="Times New Roman"/>
          <w:color w:val="000000" w:themeColor="text1"/>
        </w:rPr>
        <w:t>受理环节，金三操作界面的银行名称等信息是纳税人登记的用于退库的银行账户信息。若系统给出提示“纳税人没有退税账户信息”。可先跳过，做完此模块后在【存款账户账号报告】中补充。如果纳税人存在欠税，不能选择退库。申请退抵税费的税款必须是已入国库。</w:t>
      </w:r>
    </w:p>
    <w:p>
      <w:pPr>
        <w:ind w:firstLine="482"/>
        <w:rPr>
          <w:rFonts w:hint="default"/>
          <w:b/>
        </w:rPr>
      </w:pPr>
      <w:r>
        <w:rPr>
          <w:b/>
        </w:rPr>
        <w:t>【表证单书填写范本】</w:t>
      </w:r>
    </w:p>
    <w:tbl>
      <w:tblPr>
        <w:tblStyle w:val="18"/>
        <w:tblW w:w="9180" w:type="dxa"/>
        <w:tblInd w:w="0" w:type="dxa"/>
        <w:tblLayout w:type="fixed"/>
        <w:tblCellMar>
          <w:top w:w="0" w:type="dxa"/>
          <w:left w:w="108" w:type="dxa"/>
          <w:bottom w:w="0" w:type="dxa"/>
          <w:right w:w="108" w:type="dxa"/>
        </w:tblCellMar>
      </w:tblPr>
      <w:tblGrid>
        <w:gridCol w:w="492"/>
        <w:gridCol w:w="41"/>
        <w:gridCol w:w="1135"/>
        <w:gridCol w:w="663"/>
        <w:gridCol w:w="1548"/>
        <w:gridCol w:w="382"/>
        <w:gridCol w:w="242"/>
        <w:gridCol w:w="141"/>
        <w:gridCol w:w="141"/>
        <w:gridCol w:w="641"/>
        <w:gridCol w:w="1316"/>
        <w:gridCol w:w="232"/>
        <w:gridCol w:w="2206"/>
      </w:tblGrid>
      <w:tr>
        <w:tblPrEx>
          <w:tblCellMar>
            <w:top w:w="0" w:type="dxa"/>
            <w:left w:w="108" w:type="dxa"/>
            <w:bottom w:w="0" w:type="dxa"/>
            <w:right w:w="108" w:type="dxa"/>
          </w:tblCellMar>
        </w:tblPrEx>
        <w:trPr>
          <w:trHeight w:val="540" w:hRule="atLeast"/>
        </w:trPr>
        <w:tc>
          <w:tcPr>
            <w:tcW w:w="9180" w:type="dxa"/>
            <w:gridSpan w:val="13"/>
            <w:tcBorders>
              <w:top w:val="nil"/>
              <w:left w:val="nil"/>
              <w:bottom w:val="nil"/>
              <w:right w:val="nil"/>
            </w:tcBorders>
            <w:shd w:val="clear" w:color="auto" w:fill="auto"/>
            <w:noWrap/>
            <w:vAlign w:val="center"/>
          </w:tcPr>
          <w:p>
            <w:pPr>
              <w:widowControl/>
              <w:ind w:firstLine="0" w:firstLineChars="0"/>
              <w:jc w:val="center"/>
              <w:rPr>
                <w:rFonts w:hint="default" w:ascii="黑体" w:hAnsi="黑体" w:eastAsia="黑体" w:cs="宋体"/>
                <w:color w:val="000000"/>
                <w:kern w:val="0"/>
                <w:sz w:val="36"/>
                <w:szCs w:val="36"/>
              </w:rPr>
            </w:pPr>
            <w:r>
              <w:rPr>
                <w:rFonts w:ascii="黑体" w:hAnsi="黑体" w:eastAsia="黑体" w:cs="宋体"/>
                <w:color w:val="000000"/>
                <w:kern w:val="0"/>
                <w:sz w:val="36"/>
                <w:szCs w:val="36"/>
              </w:rPr>
              <w:t>退（抵）税申请表</w:t>
            </w:r>
          </w:p>
        </w:tc>
      </w:tr>
      <w:tr>
        <w:tblPrEx>
          <w:tblCellMar>
            <w:top w:w="0" w:type="dxa"/>
            <w:left w:w="108" w:type="dxa"/>
            <w:bottom w:w="0" w:type="dxa"/>
            <w:right w:w="108" w:type="dxa"/>
          </w:tblCellMar>
        </w:tblPrEx>
        <w:trPr>
          <w:trHeight w:val="345" w:hRule="atLeast"/>
        </w:trPr>
        <w:tc>
          <w:tcPr>
            <w:tcW w:w="9180" w:type="dxa"/>
            <w:gridSpan w:val="13"/>
            <w:tcBorders>
              <w:top w:val="nil"/>
              <w:left w:val="nil"/>
              <w:bottom w:val="nil"/>
              <w:right w:val="nil"/>
            </w:tcBorders>
            <w:shd w:val="clear" w:color="auto" w:fill="auto"/>
            <w:noWrap/>
            <w:vAlign w:val="center"/>
          </w:tcPr>
          <w:p>
            <w:pPr>
              <w:widowControl/>
              <w:ind w:firstLine="442"/>
              <w:jc w:val="right"/>
              <w:rPr>
                <w:rFonts w:hint="default" w:ascii="宋体" w:hAnsi="宋体" w:cs="宋体"/>
                <w:b/>
                <w:color w:val="000000"/>
                <w:kern w:val="0"/>
                <w:sz w:val="22"/>
              </w:rPr>
            </w:pPr>
            <w:r>
              <w:rPr>
                <w:rFonts w:ascii="宋体" w:hAnsi="宋体" w:cs="宋体"/>
                <w:b/>
                <w:color w:val="000000"/>
                <w:kern w:val="0"/>
                <w:sz w:val="22"/>
              </w:rPr>
              <w:t>金额单位：元，至角分</w:t>
            </w:r>
          </w:p>
        </w:tc>
      </w:tr>
      <w:tr>
        <w:tblPrEx>
          <w:tblCellMar>
            <w:top w:w="0" w:type="dxa"/>
            <w:left w:w="108" w:type="dxa"/>
            <w:bottom w:w="0" w:type="dxa"/>
            <w:right w:w="108" w:type="dxa"/>
          </w:tblCellMar>
        </w:tblPrEx>
        <w:trPr>
          <w:trHeight w:val="430"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申请人名称</w:t>
            </w:r>
          </w:p>
        </w:tc>
        <w:tc>
          <w:tcPr>
            <w:tcW w:w="231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p>
        </w:tc>
        <w:tc>
          <w:tcPr>
            <w:tcW w:w="4536"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sz w:val="21"/>
                <w:szCs w:val="21"/>
              </w:rPr>
              <w:t>纳税人</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扣缴义务人□</w:t>
            </w:r>
          </w:p>
        </w:tc>
      </w:tr>
      <w:tr>
        <w:tblPrEx>
          <w:tblCellMar>
            <w:top w:w="0" w:type="dxa"/>
            <w:left w:w="108" w:type="dxa"/>
            <w:bottom w:w="0" w:type="dxa"/>
            <w:right w:w="108" w:type="dxa"/>
          </w:tblCellMar>
        </w:tblPrEx>
        <w:trPr>
          <w:trHeight w:val="540" w:hRule="atLeast"/>
        </w:trPr>
        <w:tc>
          <w:tcPr>
            <w:tcW w:w="2331"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纳税人名称</w:t>
            </w:r>
          </w:p>
        </w:tc>
        <w:tc>
          <w:tcPr>
            <w:tcW w:w="2313"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p>
        </w:tc>
        <w:tc>
          <w:tcPr>
            <w:tcW w:w="2098"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统一社会信用代码     （纳税人识别号）</w:t>
            </w:r>
          </w:p>
        </w:tc>
        <w:tc>
          <w:tcPr>
            <w:tcW w:w="2438"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p>
        </w:tc>
      </w:tr>
      <w:tr>
        <w:tblPrEx>
          <w:tblCellMar>
            <w:top w:w="0" w:type="dxa"/>
            <w:left w:w="108" w:type="dxa"/>
            <w:bottom w:w="0" w:type="dxa"/>
            <w:right w:w="108" w:type="dxa"/>
          </w:tblCellMar>
        </w:tblPrEx>
        <w:trPr>
          <w:trHeight w:val="431"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联系人姓名</w:t>
            </w:r>
          </w:p>
        </w:tc>
        <w:tc>
          <w:tcPr>
            <w:tcW w:w="231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某某</w:t>
            </w:r>
          </w:p>
        </w:tc>
        <w:tc>
          <w:tcPr>
            <w:tcW w:w="2098"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联系电话</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p>
        </w:tc>
      </w:tr>
      <w:tr>
        <w:tblPrEx>
          <w:tblCellMar>
            <w:top w:w="0" w:type="dxa"/>
            <w:left w:w="108" w:type="dxa"/>
            <w:bottom w:w="0" w:type="dxa"/>
            <w:right w:w="108" w:type="dxa"/>
          </w:tblCellMar>
        </w:tblPrEx>
        <w:trPr>
          <w:trHeight w:val="431"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申请退税类型</w:t>
            </w:r>
          </w:p>
        </w:tc>
        <w:tc>
          <w:tcPr>
            <w:tcW w:w="6849" w:type="dxa"/>
            <w:gridSpan w:val="9"/>
            <w:tcBorders>
              <w:top w:val="single" w:color="auto" w:sz="4" w:space="0"/>
              <w:left w:val="nil"/>
              <w:bottom w:val="nil"/>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汇算结算退税□      误收退税</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留抵退税□</w:t>
            </w:r>
          </w:p>
        </w:tc>
      </w:tr>
      <w:tr>
        <w:tblPrEx>
          <w:tblCellMar>
            <w:top w:w="0" w:type="dxa"/>
            <w:left w:w="108" w:type="dxa"/>
            <w:bottom w:w="0" w:type="dxa"/>
            <w:right w:w="108" w:type="dxa"/>
          </w:tblCellMar>
        </w:tblPrEx>
        <w:trPr>
          <w:trHeight w:val="431" w:hRule="atLeast"/>
        </w:trPr>
        <w:tc>
          <w:tcPr>
            <w:tcW w:w="9180"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bCs/>
                <w:color w:val="000000"/>
                <w:kern w:val="0"/>
                <w:sz w:val="22"/>
              </w:rPr>
            </w:pPr>
            <w:r>
              <w:rPr>
                <w:rFonts w:cs="宋体" w:asciiTheme="minorEastAsia" w:hAnsiTheme="minorEastAsia" w:eastAsiaTheme="minorEastAsia"/>
                <w:b/>
                <w:bCs/>
                <w:color w:val="000000"/>
                <w:kern w:val="0"/>
                <w:sz w:val="22"/>
              </w:rPr>
              <w:t>一、汇算结算、误收税款退税</w:t>
            </w:r>
          </w:p>
        </w:tc>
      </w:tr>
      <w:tr>
        <w:tblPrEx>
          <w:tblCellMar>
            <w:top w:w="0" w:type="dxa"/>
            <w:left w:w="108" w:type="dxa"/>
            <w:bottom w:w="0" w:type="dxa"/>
            <w:right w:w="108" w:type="dxa"/>
          </w:tblCellMar>
        </w:tblPrEx>
        <w:trPr>
          <w:trHeight w:val="431" w:hRule="atLeast"/>
        </w:trPr>
        <w:tc>
          <w:tcPr>
            <w:tcW w:w="492" w:type="dxa"/>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原完税情况</w:t>
            </w: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税种</w:t>
            </w:r>
          </w:p>
        </w:tc>
        <w:tc>
          <w:tcPr>
            <w:tcW w:w="1548"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品目名称</w:t>
            </w:r>
          </w:p>
        </w:tc>
        <w:tc>
          <w:tcPr>
            <w:tcW w:w="1547" w:type="dxa"/>
            <w:gridSpan w:val="5"/>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税款所属时期</w:t>
            </w:r>
          </w:p>
        </w:tc>
        <w:tc>
          <w:tcPr>
            <w:tcW w:w="1548"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税票号码</w:t>
            </w:r>
          </w:p>
        </w:tc>
        <w:tc>
          <w:tcPr>
            <w:tcW w:w="2206"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实缴金额</w:t>
            </w: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增值税</w:t>
            </w: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asciiTheme="minorEastAsia" w:hAnsiTheme="minorEastAsia" w:eastAsiaTheme="minorEastAsia"/>
                <w:b/>
                <w:bCs/>
                <w:color w:val="0000FF"/>
                <w:sz w:val="21"/>
              </w:rPr>
            </w:pPr>
            <w:r>
              <w:rPr>
                <w:rFonts w:asciiTheme="minorEastAsia" w:hAnsiTheme="minorEastAsia" w:eastAsiaTheme="minorEastAsia"/>
                <w:b/>
                <w:bCs/>
                <w:color w:val="0000FF"/>
                <w:sz w:val="21"/>
              </w:rPr>
              <w:t>商业</w:t>
            </w:r>
          </w:p>
        </w:tc>
        <w:tc>
          <w:tcPr>
            <w:tcW w:w="1547" w:type="dxa"/>
            <w:gridSpan w:val="5"/>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××××年××月××日至××××年××月××日</w:t>
            </w:r>
          </w:p>
        </w:tc>
        <w:tc>
          <w:tcPr>
            <w:tcW w:w="1548" w:type="dxa"/>
            <w:gridSpan w:val="2"/>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p>
        </w:tc>
        <w:tc>
          <w:tcPr>
            <w:tcW w:w="2206" w:type="dxa"/>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××××元</w:t>
            </w: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2206" w:type="dxa"/>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hint="default"/>
              </w:rPr>
              <w:pict>
                <v:shape id="文本框 41" o:spid="_x0000_s1035" o:spt="202" type="#_x0000_t202" style="position:absolute;left:0pt;margin-left:0.15pt;margin-top:1.2pt;height:35.45pt;width:230.6pt;z-index:251662336;mso-width-relative:page;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">
                  <v:path/>
                  <v:fill focussize="0,0"/>
                  <v:stroke joinstyle="miter"/>
                  <v:imagedata o:title=""/>
                  <o:lock v:ext="edit"/>
                  <v:textbox>
                    <w:txbxContent>
                      <w:p>
                        <w:pPr>
                          <w:ind w:firstLine="442" w:firstLineChars="100"/>
                          <w:rPr>
                            <w:rFonts w:hint="default"/>
                            <w:b/>
                            <w:color w:val="0000FF"/>
                            <w:sz w:val="44"/>
                          </w:rPr>
                        </w:pPr>
                        <w:r>
                          <w:rPr>
                            <w:b/>
                            <w:color w:val="0000FF"/>
                            <w:sz w:val="44"/>
                          </w:rPr>
                          <w:t>根据实际情况填写</w:t>
                        </w:r>
                      </w:p>
                    </w:txbxContent>
                  </v:textbox>
                </v:shape>
              </w:pict>
            </w: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2206"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2206"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2206"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合计（小写）</w:t>
            </w: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2206"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××××元</w:t>
            </w:r>
          </w:p>
        </w:tc>
      </w:tr>
      <w:tr>
        <w:tblPrEx>
          <w:tblCellMar>
            <w:top w:w="0" w:type="dxa"/>
            <w:left w:w="108" w:type="dxa"/>
            <w:bottom w:w="0" w:type="dxa"/>
            <w:right w:w="108" w:type="dxa"/>
          </w:tblCellMar>
        </w:tblPrEx>
        <w:trPr>
          <w:trHeight w:val="431"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申请退税金额（小写）</w:t>
            </w:r>
          </w:p>
        </w:tc>
        <w:tc>
          <w:tcPr>
            <w:tcW w:w="6849" w:type="dxa"/>
            <w:gridSpan w:val="9"/>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××××元</w:t>
            </w:r>
          </w:p>
        </w:tc>
      </w:tr>
      <w:tr>
        <w:tblPrEx>
          <w:tblCellMar>
            <w:top w:w="0" w:type="dxa"/>
            <w:left w:w="108" w:type="dxa"/>
            <w:bottom w:w="0" w:type="dxa"/>
            <w:right w:w="108" w:type="dxa"/>
          </w:tblCellMar>
        </w:tblPrEx>
        <w:trPr>
          <w:trHeight w:val="540" w:hRule="atLeast"/>
        </w:trPr>
        <w:tc>
          <w:tcPr>
            <w:tcW w:w="9180"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bCs/>
                <w:color w:val="000000"/>
                <w:kern w:val="0"/>
                <w:sz w:val="22"/>
              </w:rPr>
            </w:pPr>
            <w:r>
              <w:rPr>
                <w:rFonts w:cs="宋体" w:asciiTheme="minorEastAsia" w:hAnsiTheme="minorEastAsia" w:eastAsiaTheme="minorEastAsia"/>
                <w:b/>
                <w:bCs/>
                <w:color w:val="000000"/>
                <w:kern w:val="0"/>
                <w:sz w:val="22"/>
              </w:rPr>
              <w:t>二、留抵退税</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申请退税前36个月未发生骗取留抵退税、出口退税或虚开增值税专用发票情形</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申请退税前36个月未因偷税被税务机关处罚两次及以上</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自2019年4月1日起未享受即征即退、先征后返（退）政策</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出口货物劳务、发生跨境应税行为，适用免抵退税办法</w:t>
            </w:r>
          </w:p>
        </w:tc>
        <w:tc>
          <w:tcPr>
            <w:tcW w:w="2438"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连续六个月（按季纳税的，连续两个季度）增量留抵税额均大于零的起止时间</w:t>
            </w:r>
          </w:p>
        </w:tc>
        <w:tc>
          <w:tcPr>
            <w:tcW w:w="2438"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年   月至</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年   月</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本期已申报免抵退税应退税额</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2019年4月至申请退税前一税款所属期已抵扣的增值税专用发票（含税控机动车销售统一发票）注明的增值税额</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2019年4月至申请退税前一税款所属期已抵扣的海关进口增值税专用缴款书注明的增值税额</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2019年4月至申请退税前一税款所属期已抵扣的解缴税款完税凭证注明的增值税额</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2019年4月至申请退税前一税款所属期全部已抵扣的进项税额</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本期申请退还的增量留抵税额</w:t>
            </w:r>
          </w:p>
        </w:tc>
        <w:tc>
          <w:tcPr>
            <w:tcW w:w="2438"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540" w:hRule="atLeast"/>
        </w:trPr>
        <w:tc>
          <w:tcPr>
            <w:tcW w:w="166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退税申请理由</w:t>
            </w:r>
          </w:p>
        </w:tc>
        <w:tc>
          <w:tcPr>
            <w:tcW w:w="7512" w:type="dxa"/>
            <w:gridSpan w:val="10"/>
            <w:tcBorders>
              <w:top w:val="single" w:color="auto" w:sz="4" w:space="0"/>
              <w:left w:val="nil"/>
              <w:bottom w:val="single" w:color="auto" w:sz="4" w:space="0"/>
              <w:right w:val="single" w:color="auto" w:sz="4" w:space="0"/>
            </w:tcBorders>
            <w:shd w:val="clear" w:color="auto" w:fill="auto"/>
            <w:noWrap/>
            <w:vAlign w:val="center"/>
          </w:tcPr>
          <w:p>
            <w:pPr>
              <w:spacing w:line="400" w:lineRule="exact"/>
              <w:ind w:firstLine="0" w:firstLineChars="0"/>
              <w:jc w:val="left"/>
              <w:rPr>
                <w:rFonts w:hint="default" w:asciiTheme="minorEastAsia" w:hAnsiTheme="minorEastAsia" w:eastAsiaTheme="minorEastAsia"/>
                <w:b/>
                <w:color w:val="0000FF"/>
                <w:sz w:val="21"/>
                <w:szCs w:val="21"/>
              </w:rPr>
            </w:pPr>
          </w:p>
          <w:p>
            <w:pPr>
              <w:spacing w:line="400" w:lineRule="exact"/>
              <w:ind w:firstLine="632" w:firstLineChars="300"/>
              <w:jc w:val="left"/>
              <w:rPr>
                <w:rFonts w:hint="default" w:asciiTheme="minorEastAsia" w:hAnsiTheme="minorEastAsia" w:eastAsiaTheme="minorEastAsia"/>
                <w:b/>
                <w:color w:val="0000FF"/>
                <w:sz w:val="21"/>
                <w:szCs w:val="21"/>
              </w:rPr>
            </w:pPr>
            <w:r>
              <w:rPr>
                <w:rFonts w:asciiTheme="minorEastAsia" w:hAnsiTheme="minorEastAsia" w:eastAsiaTheme="minorEastAsia"/>
                <w:b/>
                <w:color w:val="0000FF"/>
                <w:sz w:val="21"/>
                <w:szCs w:val="21"/>
              </w:rPr>
              <w:t>由于××原因导致误缴税款××××元，现申请退税。（如果本次退税账户与原缴税账户不一致，需在此说明）</w:t>
            </w:r>
            <w:r>
              <w:rPr>
                <w:rFonts w:asciiTheme="minorEastAsia" w:hAnsiTheme="minorEastAsia" w:eastAsiaTheme="minorEastAsia"/>
              </w:rPr>
              <w:drawing>
                <wp:anchor distT="0" distB="0" distL="114300" distR="114300" simplePos="0" relativeHeight="251642880" behindDoc="0" locked="0" layoutInCell="1" allowOverlap="1">
                  <wp:simplePos x="0" y="0"/>
                  <wp:positionH relativeFrom="column">
                    <wp:posOffset>2471420</wp:posOffset>
                  </wp:positionH>
                  <wp:positionV relativeFrom="paragraph">
                    <wp:posOffset>186690</wp:posOffset>
                  </wp:positionV>
                  <wp:extent cx="1143000" cy="1066800"/>
                  <wp:effectExtent l="0" t="0" r="0" b="0"/>
                  <wp:wrapNone/>
                  <wp:docPr id="5" name="图片 5"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595913661474679823015"/>
                          <pic:cNvPicPr>
                            <a:picLocks noChangeAspect="1"/>
                          </pic:cNvPicPr>
                        </pic:nvPicPr>
                        <pic:blipFill>
                          <a:blip r:embed="rId14"/>
                          <a:stretch>
                            <a:fillRect/>
                          </a:stretch>
                        </pic:blipFill>
                        <pic:spPr>
                          <a:xfrm>
                            <a:off x="0" y="0"/>
                            <a:ext cx="1143000" cy="1066800"/>
                          </a:xfrm>
                          <a:prstGeom prst="rect">
                            <a:avLst/>
                          </a:prstGeom>
                          <a:noFill/>
                          <a:ln>
                            <a:noFill/>
                          </a:ln>
                        </pic:spPr>
                      </pic:pic>
                    </a:graphicData>
                  </a:graphic>
                </wp:anchor>
              </w:drawing>
            </w: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经办人：</w:t>
            </w:r>
            <w:r>
              <w:rPr>
                <w:rFonts w:asciiTheme="minorEastAsia" w:hAnsiTheme="minorEastAsia" w:eastAsiaTheme="minorEastAsia"/>
                <w:b/>
                <w:color w:val="0000FF"/>
                <w:sz w:val="21"/>
                <w:szCs w:val="21"/>
              </w:rPr>
              <w:t>某某</w:t>
            </w:r>
            <w:r>
              <w:rPr>
                <w:rFonts w:cs="宋体" w:asciiTheme="minorEastAsia" w:hAnsiTheme="minorEastAsia" w:eastAsiaTheme="minorEastAsia"/>
                <w:color w:val="000000"/>
                <w:kern w:val="0"/>
                <w:sz w:val="22"/>
              </w:rPr>
              <w:t xml:space="preserve">                    （公章）</w:t>
            </w:r>
          </w:p>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年</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月 </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日</w:t>
            </w:r>
          </w:p>
        </w:tc>
      </w:tr>
      <w:tr>
        <w:tblPrEx>
          <w:tblCellMar>
            <w:top w:w="0" w:type="dxa"/>
            <w:left w:w="108" w:type="dxa"/>
            <w:bottom w:w="0" w:type="dxa"/>
            <w:right w:w="108" w:type="dxa"/>
          </w:tblCellMar>
        </w:tblPrEx>
        <w:trPr>
          <w:trHeight w:val="540" w:hRule="atLeast"/>
        </w:trPr>
        <w:tc>
          <w:tcPr>
            <w:tcW w:w="5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授权声明</w:t>
            </w:r>
          </w:p>
        </w:tc>
        <w:tc>
          <w:tcPr>
            <w:tcW w:w="372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如果你已委托代理人申请，请填写下列资料：</w:t>
            </w: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为代理相关税务事宜，现授权</w:t>
            </w: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（地址）</w:t>
            </w: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为本纳税人的代理申请人，任何与本申请有关的往来文件，都可寄于此人。</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授权人签章：</w:t>
            </w:r>
          </w:p>
        </w:tc>
        <w:tc>
          <w:tcPr>
            <w:tcW w:w="52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申申请人声明</w:t>
            </w:r>
          </w:p>
        </w:tc>
        <w:tc>
          <w:tcPr>
            <w:tcW w:w="439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本申请表是根据国家税收法律法规及相关规定填写的，我确定它是真实的、可靠的、完整的。</w:t>
            </w: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申请人签章：</w:t>
            </w:r>
            <w:r>
              <w:rPr>
                <w:rFonts w:cs="宋体" w:asciiTheme="minorEastAsia" w:hAnsiTheme="minorEastAsia" w:eastAsiaTheme="minorEastAsia"/>
                <w:b/>
                <w:bCs/>
                <w:color w:val="0033CC"/>
                <w:kern w:val="0"/>
                <w:sz w:val="22"/>
              </w:rPr>
              <w:t>某某</w:t>
            </w:r>
          </w:p>
        </w:tc>
      </w:tr>
      <w:tr>
        <w:tblPrEx>
          <w:tblCellMar>
            <w:top w:w="0" w:type="dxa"/>
            <w:left w:w="108" w:type="dxa"/>
            <w:bottom w:w="0" w:type="dxa"/>
            <w:right w:w="108" w:type="dxa"/>
          </w:tblCellMar>
        </w:tblPrEx>
        <w:trPr>
          <w:trHeight w:val="540" w:hRule="atLeast"/>
        </w:trPr>
        <w:tc>
          <w:tcPr>
            <w:tcW w:w="9180"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b/>
                <w:color w:val="000000"/>
                <w:kern w:val="0"/>
                <w:sz w:val="22"/>
              </w:rPr>
              <w:t>以下由税务机关填写</w:t>
            </w:r>
          </w:p>
        </w:tc>
      </w:tr>
      <w:tr>
        <w:tblPrEx>
          <w:tblCellMar>
            <w:top w:w="0" w:type="dxa"/>
            <w:left w:w="108" w:type="dxa"/>
            <w:bottom w:w="0" w:type="dxa"/>
            <w:right w:w="108" w:type="dxa"/>
          </w:tblCellMar>
        </w:tblPrEx>
        <w:trPr>
          <w:trHeight w:val="540" w:hRule="atLeast"/>
        </w:trPr>
        <w:tc>
          <w:tcPr>
            <w:tcW w:w="166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color w:val="000000"/>
                <w:kern w:val="0"/>
                <w:sz w:val="22"/>
              </w:rPr>
            </w:pPr>
            <w:r>
              <w:rPr>
                <w:rFonts w:cs="宋体" w:asciiTheme="minorEastAsia" w:hAnsiTheme="minorEastAsia" w:eastAsiaTheme="minorEastAsia"/>
                <w:color w:val="000000"/>
                <w:kern w:val="0"/>
                <w:sz w:val="22"/>
              </w:rPr>
              <w:t>受理情况</w:t>
            </w:r>
          </w:p>
        </w:tc>
        <w:tc>
          <w:tcPr>
            <w:tcW w:w="7512"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受理人：</w:t>
            </w:r>
          </w:p>
          <w:p>
            <w:pPr>
              <w:widowControl/>
              <w:ind w:firstLine="0" w:firstLineChars="0"/>
              <w:jc w:val="center"/>
              <w:rPr>
                <w:rFonts w:hint="default" w:cs="宋体" w:asciiTheme="minorEastAsia" w:hAnsiTheme="minorEastAsia" w:eastAsiaTheme="minorEastAsia"/>
                <w:b/>
                <w:color w:val="000000"/>
                <w:kern w:val="0"/>
                <w:sz w:val="22"/>
              </w:rPr>
            </w:pPr>
            <w:r>
              <w:rPr>
                <w:rFonts w:cs="宋体" w:asciiTheme="minorEastAsia" w:hAnsiTheme="minorEastAsia" w:eastAsiaTheme="minorEastAsia"/>
                <w:color w:val="000000"/>
                <w:kern w:val="0"/>
                <w:sz w:val="22"/>
              </w:rPr>
              <w:t>年    月    日</w:t>
            </w:r>
          </w:p>
        </w:tc>
      </w:tr>
      <w:tr>
        <w:tblPrEx>
          <w:tblCellMar>
            <w:top w:w="0" w:type="dxa"/>
            <w:left w:w="108" w:type="dxa"/>
            <w:bottom w:w="0" w:type="dxa"/>
            <w:right w:w="108" w:type="dxa"/>
          </w:tblCellMar>
        </w:tblPrEx>
        <w:trPr>
          <w:trHeight w:val="540" w:hRule="atLeast"/>
        </w:trPr>
        <w:tc>
          <w:tcPr>
            <w:tcW w:w="4503"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核实部门意见：</w:t>
            </w: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退还方式：退库□    抵扣欠税□</w:t>
            </w: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退税类型：汇算结算退税□</w:t>
            </w:r>
          </w:p>
          <w:p>
            <w:pPr>
              <w:widowControl/>
              <w:ind w:firstLine="1100" w:firstLineChars="50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误收退税□</w:t>
            </w:r>
          </w:p>
          <w:p>
            <w:pPr>
              <w:widowControl/>
              <w:ind w:firstLine="1100" w:firstLineChars="50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留抵退税□</w:t>
            </w: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退税发起方式：纳税人自行申请□</w:t>
            </w:r>
          </w:p>
          <w:p>
            <w:pPr>
              <w:widowControl/>
              <w:ind w:firstLine="1540" w:firstLineChars="70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税务机关发现并通知□</w:t>
            </w:r>
          </w:p>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退（抵）税金额：</w:t>
            </w:r>
          </w:p>
          <w:p>
            <w:pPr>
              <w:widowControl/>
              <w:ind w:firstLine="0" w:firstLineChars="0"/>
              <w:jc w:val="left"/>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经办人：            负责人：</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年     月     日</w:t>
            </w:r>
          </w:p>
        </w:tc>
        <w:tc>
          <w:tcPr>
            <w:tcW w:w="4677" w:type="dxa"/>
            <w:gridSpan w:val="6"/>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税务机关负责人意见：</w:t>
            </w: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签字</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年     月     日（公章）</w:t>
            </w:r>
          </w:p>
        </w:tc>
      </w:tr>
    </w:tbl>
    <w:p>
      <w:pPr>
        <w:ind w:firstLine="480"/>
        <w:rPr>
          <w:rFonts w:hint="default"/>
        </w:rPr>
      </w:pPr>
    </w:p>
    <w:p>
      <w:pPr>
        <w:ind w:firstLine="482"/>
        <w:rPr>
          <w:rFonts w:hint="default"/>
        </w:rPr>
      </w:pPr>
      <w:r>
        <w:rPr>
          <w:b/>
        </w:rPr>
        <w:t>【填表说明】</w:t>
      </w:r>
    </w:p>
    <w:p>
      <w:pPr>
        <w:wordWrap w:val="0"/>
        <w:spacing w:line="360" w:lineRule="auto"/>
        <w:ind w:firstLine="320" w:firstLineChars="100"/>
        <w:rPr>
          <w:rFonts w:hint="default" w:cs="Times New Roman"/>
          <w:color w:val="000000" w:themeColor="text1"/>
        </w:rPr>
      </w:pPr>
      <w:r>
        <w:rPr>
          <w:rFonts w:ascii="仿宋_GB2312" w:eastAsia="仿宋_GB2312"/>
          <w:sz w:val="32"/>
          <w:szCs w:val="32"/>
        </w:rPr>
        <w:t xml:space="preserve"> </w:t>
      </w:r>
      <w:r>
        <w:rPr>
          <w:rFonts w:cs="Times New Roman"/>
          <w:color w:val="000000" w:themeColor="text1"/>
        </w:rPr>
        <w:t>一、本表适用于办理汇算结算、误收税款退税、留抵退税。</w:t>
      </w:r>
    </w:p>
    <w:p>
      <w:pPr>
        <w:wordWrap w:val="0"/>
        <w:spacing w:line="360" w:lineRule="auto"/>
        <w:ind w:firstLine="480"/>
        <w:rPr>
          <w:rFonts w:hint="default" w:cs="Times New Roman"/>
          <w:color w:val="000000" w:themeColor="text1"/>
        </w:rPr>
      </w:pPr>
      <w:r>
        <w:rPr>
          <w:rFonts w:cs="Times New Roman"/>
          <w:color w:val="000000" w:themeColor="text1"/>
        </w:rPr>
        <w:t>二、纳税人退税账户与原缴税账户不一致的，须另行提交资料，并经税务机关确认。</w:t>
      </w:r>
    </w:p>
    <w:p>
      <w:pPr>
        <w:wordWrap w:val="0"/>
        <w:spacing w:line="360" w:lineRule="auto"/>
        <w:ind w:firstLine="480"/>
        <w:rPr>
          <w:rFonts w:hint="default" w:cs="Times New Roman"/>
          <w:color w:val="000000" w:themeColor="text1"/>
        </w:rPr>
      </w:pPr>
      <w:r>
        <w:rPr>
          <w:rFonts w:cs="Times New Roman"/>
          <w:color w:val="000000" w:themeColor="text1"/>
        </w:rPr>
        <w:t>三、本表一式四联，纳税人一联、税务机关三联。</w:t>
      </w:r>
    </w:p>
    <w:p>
      <w:pPr>
        <w:wordWrap w:val="0"/>
        <w:spacing w:line="360" w:lineRule="auto"/>
        <w:ind w:firstLine="480"/>
        <w:rPr>
          <w:rFonts w:hint="default" w:cs="Times New Roman"/>
          <w:color w:val="000000" w:themeColor="text1"/>
        </w:rPr>
      </w:pPr>
      <w:r>
        <w:rPr>
          <w:rFonts w:cs="Times New Roman"/>
          <w:color w:val="000000" w:themeColor="text1"/>
        </w:rPr>
        <w:t>四、申请人名称：填写纳税人或扣缴义务人名称。如申请留抵退税，应填写纳税人名称。</w:t>
      </w:r>
    </w:p>
    <w:p>
      <w:pPr>
        <w:wordWrap w:val="0"/>
        <w:spacing w:line="360" w:lineRule="auto"/>
        <w:ind w:firstLine="480"/>
        <w:rPr>
          <w:rFonts w:hint="default" w:cs="Times New Roman"/>
          <w:color w:val="000000" w:themeColor="text1"/>
        </w:rPr>
      </w:pPr>
      <w:r>
        <w:rPr>
          <w:rFonts w:cs="Times New Roman"/>
          <w:color w:val="000000" w:themeColor="text1"/>
        </w:rPr>
        <w:t>五、申请人身份：选择“纳税人”或“扣缴义务人”。如申请留抵退税，应选择“纳税人”。</w:t>
      </w:r>
    </w:p>
    <w:p>
      <w:pPr>
        <w:wordWrap w:val="0"/>
        <w:spacing w:line="360" w:lineRule="auto"/>
        <w:ind w:firstLine="480"/>
        <w:rPr>
          <w:rFonts w:hint="default" w:cs="Times New Roman"/>
          <w:color w:val="000000" w:themeColor="text1"/>
        </w:rPr>
      </w:pPr>
      <w:r>
        <w:rPr>
          <w:rFonts w:cs="Times New Roman"/>
          <w:color w:val="000000" w:themeColor="text1"/>
        </w:rPr>
        <w:t>六、纳税人名称：填写税务登记证所载纳税人的全称。</w:t>
      </w:r>
    </w:p>
    <w:p>
      <w:pPr>
        <w:wordWrap w:val="0"/>
        <w:spacing w:line="360" w:lineRule="auto"/>
        <w:ind w:firstLine="480"/>
        <w:rPr>
          <w:rFonts w:hint="default" w:cs="Times New Roman"/>
          <w:color w:val="000000" w:themeColor="text1"/>
        </w:rPr>
      </w:pPr>
      <w:r>
        <w:rPr>
          <w:rFonts w:cs="Times New Roman"/>
          <w:color w:val="000000" w:themeColor="text1"/>
        </w:rPr>
        <w:t>七、统一社会信用代码（纳税人识别号）：填写纳税人统一社会信用代码或税务机关统一核发的税务登记证号码。</w:t>
      </w:r>
    </w:p>
    <w:p>
      <w:pPr>
        <w:wordWrap w:val="0"/>
        <w:spacing w:line="360" w:lineRule="auto"/>
        <w:ind w:firstLine="480"/>
        <w:rPr>
          <w:rFonts w:hint="default" w:cs="Times New Roman"/>
          <w:color w:val="000000" w:themeColor="text1"/>
        </w:rPr>
      </w:pPr>
      <w:r>
        <w:rPr>
          <w:rFonts w:cs="Times New Roman"/>
          <w:color w:val="000000" w:themeColor="text1"/>
        </w:rPr>
        <w:t>八、联系人名称：填写联系人姓名。</w:t>
      </w:r>
    </w:p>
    <w:p>
      <w:pPr>
        <w:wordWrap w:val="0"/>
        <w:spacing w:line="360" w:lineRule="auto"/>
        <w:ind w:firstLine="480"/>
        <w:rPr>
          <w:rFonts w:hint="default" w:cs="Times New Roman"/>
          <w:color w:val="000000" w:themeColor="text1"/>
        </w:rPr>
      </w:pPr>
      <w:r>
        <w:rPr>
          <w:rFonts w:cs="Times New Roman"/>
          <w:color w:val="000000" w:themeColor="text1"/>
        </w:rPr>
        <w:t>九、联系电话：填写联系人固定电话号码或手机号码。</w:t>
      </w:r>
    </w:p>
    <w:p>
      <w:pPr>
        <w:wordWrap w:val="0"/>
        <w:spacing w:line="360" w:lineRule="auto"/>
        <w:ind w:firstLine="480"/>
        <w:rPr>
          <w:rFonts w:hint="default" w:cs="Times New Roman"/>
          <w:color w:val="000000" w:themeColor="text1"/>
        </w:rPr>
      </w:pPr>
      <w:r>
        <w:rPr>
          <w:rFonts w:cs="Times New Roman"/>
          <w:color w:val="000000" w:themeColor="text1"/>
        </w:rPr>
        <w:t>十、申请退税类型：选择“汇算结算退税”、“误收退税”或“留抵退税”。</w:t>
      </w:r>
    </w:p>
    <w:p>
      <w:pPr>
        <w:wordWrap w:val="0"/>
        <w:spacing w:line="360" w:lineRule="auto"/>
        <w:ind w:firstLine="480"/>
        <w:rPr>
          <w:rFonts w:hint="default" w:cs="Times New Roman"/>
          <w:color w:val="000000" w:themeColor="text1"/>
        </w:rPr>
      </w:pPr>
      <w:r>
        <w:rPr>
          <w:rFonts w:cs="Times New Roman"/>
          <w:color w:val="000000" w:themeColor="text1"/>
        </w:rPr>
        <w:t>十一、原完税情况：填写与汇算结算和误收税款退税相关信息。分税种、品目名称、税款所属时期、税票号码、实缴金额等项目，填写申请办理退税的已入库信息，上述信息应与完税费（缴款）凭证复印件、完税费（缴款）凭证原件或完税电子信息一致。</w:t>
      </w:r>
    </w:p>
    <w:p>
      <w:pPr>
        <w:wordWrap w:val="0"/>
        <w:spacing w:line="360" w:lineRule="auto"/>
        <w:ind w:firstLine="480"/>
        <w:rPr>
          <w:rFonts w:hint="default" w:cs="Times New Roman"/>
          <w:color w:val="000000" w:themeColor="text1"/>
        </w:rPr>
      </w:pPr>
      <w:r>
        <w:rPr>
          <w:rFonts w:cs="Times New Roman"/>
          <w:color w:val="000000" w:themeColor="text1"/>
        </w:rPr>
        <w:t>十二、申请退税金额：填写与汇算结算和误收税款退税相关的申请退（抵）税的金额，应小于等于原完税情况实缴金额合计。</w:t>
      </w:r>
    </w:p>
    <w:p>
      <w:pPr>
        <w:wordWrap w:val="0"/>
        <w:spacing w:line="360" w:lineRule="auto"/>
        <w:ind w:firstLine="480"/>
        <w:rPr>
          <w:rFonts w:hint="default" w:cs="Times New Roman"/>
          <w:color w:val="000000" w:themeColor="text1"/>
        </w:rPr>
      </w:pPr>
      <w:r>
        <w:rPr>
          <w:rFonts w:cs="Times New Roman"/>
          <w:color w:val="000000" w:themeColor="text1"/>
        </w:rPr>
        <w:t>十三、申请退税前36个月未发生骗取留抵退税、出口退税或虚开增值税专用发票情形，申请退税前36个月未因偷税被税务机关处罚两次及以上，自2019年4月1日起未享受即征即退、先征后返（退）政策，出口货物劳务、发生跨境应税行为，适用免抵退税办法：根据实际情况，选择“是”或“否”。</w:t>
      </w:r>
    </w:p>
    <w:p>
      <w:pPr>
        <w:wordWrap w:val="0"/>
        <w:spacing w:line="360" w:lineRule="auto"/>
        <w:ind w:firstLine="480"/>
        <w:rPr>
          <w:rFonts w:hint="default" w:cs="Times New Roman"/>
          <w:color w:val="000000" w:themeColor="text1"/>
        </w:rPr>
      </w:pPr>
      <w:r>
        <w:rPr>
          <w:rFonts w:cs="Times New Roman"/>
          <w:color w:val="000000" w:themeColor="text1"/>
        </w:rPr>
        <w:t>十四、连续六个月（按季纳税的，连续两个季度）增量留抵税额均大于零的起止时间：填写纳税人自2019年4月税款所属期起，连续六个月（按季纳税的，连续两个季度）增量留抵税额均大于零，且第六个月增量留抵税额不低于50万元的起止时间。</w:t>
      </w:r>
    </w:p>
    <w:p>
      <w:pPr>
        <w:wordWrap w:val="0"/>
        <w:spacing w:line="360" w:lineRule="auto"/>
        <w:ind w:firstLine="480"/>
        <w:rPr>
          <w:rFonts w:hint="default" w:cs="Times New Roman"/>
          <w:color w:val="000000" w:themeColor="text1"/>
        </w:rPr>
      </w:pPr>
      <w:r>
        <w:rPr>
          <w:rFonts w:cs="Times New Roman"/>
          <w:color w:val="000000" w:themeColor="text1"/>
        </w:rPr>
        <w:t>十五、本期已申报免抵退税应退税额：填写享受免抵退税政策的纳税人本期申请退还的免抵退税额。</w:t>
      </w:r>
    </w:p>
    <w:p>
      <w:pPr>
        <w:wordWrap w:val="0"/>
        <w:spacing w:line="360" w:lineRule="auto"/>
        <w:ind w:firstLine="480"/>
        <w:rPr>
          <w:rFonts w:hint="default" w:cs="Times New Roman"/>
          <w:color w:val="000000" w:themeColor="text1"/>
        </w:rPr>
      </w:pPr>
      <w:r>
        <w:rPr>
          <w:rFonts w:cs="Times New Roman"/>
          <w:color w:val="000000" w:themeColor="text1"/>
        </w:rPr>
        <w:t>十六、2019年4月至申请退税前一税款所属期已抵扣的增值税专用发票（含税控机动车销售统一发票）注明的增值税额：填写纳税人对应属期抵扣的增值税专用发票（含税控机动车销售统一发票）注明的增值税额；纳税人取得不动产或者不动产在建工程的进项税额不再分2年抵扣后一次性转入的进项税额，视同取得增值税专用发票抵扣的进项税额，也填入本项。</w:t>
      </w:r>
    </w:p>
    <w:p>
      <w:pPr>
        <w:wordWrap w:val="0"/>
        <w:spacing w:line="360" w:lineRule="auto"/>
        <w:ind w:firstLine="480"/>
        <w:rPr>
          <w:rFonts w:hint="default" w:cs="Times New Roman"/>
          <w:color w:val="000000" w:themeColor="text1"/>
        </w:rPr>
      </w:pPr>
      <w:r>
        <w:rPr>
          <w:rFonts w:cs="Times New Roman"/>
          <w:color w:val="000000" w:themeColor="text1"/>
        </w:rPr>
        <w:t>十七、2019年4月至申请退税前一税款所属期已抵扣的海关进口增值税专用缴款书注明的增值税额：填写纳税人对应属期抵扣的海关进口增值税专用缴款书注明的增值税额。</w:t>
      </w:r>
    </w:p>
    <w:p>
      <w:pPr>
        <w:wordWrap w:val="0"/>
        <w:spacing w:line="360" w:lineRule="auto"/>
        <w:ind w:firstLine="480"/>
        <w:rPr>
          <w:rFonts w:hint="default" w:cs="Times New Roman"/>
          <w:color w:val="000000" w:themeColor="text1"/>
        </w:rPr>
      </w:pPr>
      <w:r>
        <w:rPr>
          <w:rFonts w:cs="Times New Roman"/>
          <w:color w:val="000000" w:themeColor="text1"/>
        </w:rPr>
        <w:t>十八、2019年4月至申请退税前一税款所属期已抵扣的解缴税款完税凭证注明的增值税额：填写纳税人对应属期抵扣的解缴税款完税凭证注明的增值税额。</w:t>
      </w:r>
    </w:p>
    <w:p>
      <w:pPr>
        <w:wordWrap w:val="0"/>
        <w:spacing w:line="360" w:lineRule="auto"/>
        <w:ind w:firstLine="480"/>
        <w:rPr>
          <w:rFonts w:hint="default" w:cs="Times New Roman"/>
          <w:color w:val="000000" w:themeColor="text1"/>
        </w:rPr>
      </w:pPr>
      <w:r>
        <w:rPr>
          <w:rFonts w:cs="Times New Roman"/>
          <w:color w:val="000000" w:themeColor="text1"/>
        </w:rPr>
        <w:t>十九、2019年4月至申请退税前一税款所属期全部已抵扣的进项税额：填写纳税人对应属期全部已抵扣进项税额。</w:t>
      </w:r>
    </w:p>
    <w:p>
      <w:pPr>
        <w:wordWrap w:val="0"/>
        <w:spacing w:line="360" w:lineRule="auto"/>
        <w:ind w:firstLine="480"/>
        <w:rPr>
          <w:rFonts w:hint="default" w:cs="Times New Roman"/>
          <w:color w:val="000000" w:themeColor="text1"/>
        </w:rPr>
      </w:pPr>
      <w:r>
        <w:rPr>
          <w:rFonts w:cs="Times New Roman"/>
          <w:color w:val="000000" w:themeColor="text1"/>
        </w:rPr>
        <w:t>二十、本期申请退还的增量留抵税额：填写纳税人按照增量留抵税额×进项构成比例×60%计算后的本期申请退还的增量留抵税额。</w:t>
      </w:r>
    </w:p>
    <w:p>
      <w:pPr>
        <w:wordWrap w:val="0"/>
        <w:spacing w:line="360" w:lineRule="auto"/>
        <w:ind w:firstLine="480"/>
        <w:rPr>
          <w:rFonts w:hint="default" w:cs="Times New Roman"/>
          <w:color w:val="000000" w:themeColor="text1"/>
        </w:rPr>
      </w:pPr>
      <w:r>
        <w:rPr>
          <w:rFonts w:cs="Times New Roman"/>
          <w:color w:val="000000" w:themeColor="text1"/>
        </w:rPr>
        <w:t>进项构成比例=〔2019年4月至申请退税前一税款所属期已抵扣的增值税专用发票（含税控机动车销售统一发票）注明的增值税额+2019年4月至申请退税前一税款所属期已抵扣的海关进口增值税专用缴款书注明的增值税额+2019年4月至申请退税前一税款所属期已抵扣的解缴税款完税凭证注明的增值税额〕÷2019年4月至申请退税前一税款所属期全部已抵扣的进项税额</w:t>
      </w:r>
    </w:p>
    <w:p>
      <w:pPr>
        <w:wordWrap w:val="0"/>
        <w:spacing w:line="360" w:lineRule="auto"/>
        <w:ind w:firstLine="480"/>
        <w:rPr>
          <w:rFonts w:hint="default" w:cs="Times New Roman"/>
          <w:color w:val="000000" w:themeColor="text1"/>
        </w:rPr>
      </w:pPr>
      <w:r>
        <w:rPr>
          <w:rFonts w:cs="Times New Roman"/>
          <w:color w:val="000000" w:themeColor="text1"/>
        </w:rPr>
        <w:t>二十一、退税申请理由：简要概述退税申请理由，如果本次退税账户与原缴税账户不一致，需在此说明，并须另行提交资料，经税务机关登记确认。</w:t>
      </w:r>
    </w:p>
    <w:p>
      <w:pPr>
        <w:wordWrap w:val="0"/>
        <w:spacing w:line="360" w:lineRule="auto"/>
        <w:ind w:firstLine="480"/>
        <w:rPr>
          <w:rFonts w:hint="default" w:cs="Times New Roman"/>
          <w:color w:val="000000" w:themeColor="text1"/>
        </w:rPr>
      </w:pPr>
      <w:r>
        <w:rPr>
          <w:rFonts w:cs="Times New Roman"/>
          <w:color w:val="000000" w:themeColor="text1"/>
        </w:rPr>
        <w:t>二十二、受理情况：填写核对接受纳税人、扣缴义务人资料的情况。</w:t>
      </w:r>
    </w:p>
    <w:p>
      <w:pPr>
        <w:wordWrap w:val="0"/>
        <w:spacing w:line="360" w:lineRule="auto"/>
        <w:ind w:firstLine="480"/>
        <w:rPr>
          <w:rFonts w:hint="default" w:cs="Times New Roman"/>
          <w:color w:val="000000" w:themeColor="text1"/>
        </w:rPr>
      </w:pPr>
      <w:r>
        <w:rPr>
          <w:rFonts w:cs="Times New Roman"/>
          <w:color w:val="000000" w:themeColor="text1"/>
        </w:rPr>
        <w:t>二十三、退还方式：申请汇算结算或误收税款退税的，退还方式可以单选或多选，对于有欠税的纳税人，一般情况应选择“抵扣欠税”，对于选择“抵扣欠税”情况，可以取消该选择，将全部申请退税的金额，以“退库”方式办理。</w:t>
      </w:r>
    </w:p>
    <w:p>
      <w:pPr>
        <w:wordWrap w:val="0"/>
        <w:spacing w:line="360" w:lineRule="auto"/>
        <w:ind w:firstLine="480"/>
        <w:rPr>
          <w:rFonts w:hint="default" w:cs="Times New Roman"/>
          <w:color w:val="000000" w:themeColor="text1"/>
        </w:rPr>
      </w:pPr>
      <w:r>
        <w:rPr>
          <w:rFonts w:cs="Times New Roman"/>
          <w:color w:val="000000" w:themeColor="text1"/>
        </w:rPr>
        <w:t>申请留抵退税的，可同时选择“退库”和“抵扣欠税”。如果纳税人既有增值税欠税，又有期末留抵税额，按照《国家税务总局关于办理增值税期末留抵税额退税有关事项的公告》（国家税务总局公告2019年第20号）第九条第三项规定，以最近一期增值税纳税申报表期末留抵税额，抵减增值税欠税后的余额确定允许退还的增量留抵税额。</w:t>
      </w:r>
    </w:p>
    <w:p>
      <w:pPr>
        <w:wordWrap w:val="0"/>
        <w:spacing w:line="360" w:lineRule="auto"/>
        <w:ind w:firstLine="480"/>
        <w:rPr>
          <w:rFonts w:hint="default" w:cs="Times New Roman"/>
          <w:color w:val="000000" w:themeColor="text1"/>
        </w:rPr>
      </w:pPr>
      <w:r>
        <w:rPr>
          <w:rFonts w:cs="Times New Roman"/>
          <w:color w:val="000000" w:themeColor="text1"/>
        </w:rPr>
        <w:t>二十四、退税类型：税务机关依据纳税人申请事项，选择“汇算结算退税”、“误收退税”或“留抵退税”。</w:t>
      </w:r>
    </w:p>
    <w:p>
      <w:pPr>
        <w:wordWrap w:val="0"/>
        <w:spacing w:line="360" w:lineRule="auto"/>
        <w:ind w:firstLine="480"/>
        <w:rPr>
          <w:rFonts w:hint="default" w:cs="Times New Roman"/>
          <w:color w:val="000000" w:themeColor="text1"/>
        </w:rPr>
      </w:pPr>
      <w:r>
        <w:rPr>
          <w:rFonts w:cs="Times New Roman"/>
          <w:color w:val="000000" w:themeColor="text1"/>
        </w:rPr>
        <w:t>二十五、退税发起方式：纳税人申请汇算结算或误收税款退税的，税务机关选择“纳税人自行申请”或“税务机关发现并通知”；纳税人申请留抵退税的，税务机关选择“纳税人自行申请”。</w:t>
      </w:r>
    </w:p>
    <w:p>
      <w:pPr>
        <w:wordWrap w:val="0"/>
        <w:spacing w:line="360" w:lineRule="auto"/>
        <w:ind w:firstLine="480"/>
        <w:rPr>
          <w:rFonts w:hint="default"/>
          <w:b/>
        </w:rPr>
      </w:pPr>
      <w:r>
        <w:rPr>
          <w:rFonts w:cs="Times New Roman"/>
          <w:color w:val="000000" w:themeColor="text1"/>
        </w:rPr>
        <w:t>二十六、退（抵）税金额：填写税务机关核准后的退（抵）税额。</w:t>
      </w:r>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3"/>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3" w:type="dxa"/>
            <w:vAlign w:val="center"/>
          </w:tcPr>
          <w:p>
            <w:pPr>
              <w:pStyle w:val="33"/>
              <w:adjustRightInd/>
              <w:snapToGrid/>
              <w:spacing w:line="276" w:lineRule="auto"/>
            </w:pPr>
            <w:r>
              <w:rPr>
                <w:rFonts w:hint="eastAsia"/>
              </w:rPr>
              <w:t>文件名称</w:t>
            </w:r>
          </w:p>
        </w:tc>
        <w:tc>
          <w:tcPr>
            <w:tcW w:w="1684"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3" w:type="dxa"/>
            <w:vAlign w:val="center"/>
          </w:tcPr>
          <w:p>
            <w:pPr>
              <w:pStyle w:val="50"/>
              <w:adjustRightInd/>
              <w:snapToGrid/>
              <w:spacing w:line="276" w:lineRule="auto"/>
            </w:pPr>
            <w:r>
              <w:rPr>
                <w:rFonts w:hint="eastAsia"/>
              </w:rPr>
              <w:t>《中华人民共和国税收征收管理法》</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3" w:type="dxa"/>
            <w:vAlign w:val="center"/>
          </w:tcPr>
          <w:p>
            <w:pPr>
              <w:pStyle w:val="50"/>
              <w:adjustRightInd/>
              <w:snapToGrid/>
              <w:spacing w:line="276" w:lineRule="auto"/>
            </w:pPr>
            <w:r>
              <w:rPr>
                <w:rFonts w:hint="eastAsia"/>
              </w:rPr>
              <w:t>《中华人民共和国税收征收管理法实施细则》</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653" w:type="dxa"/>
            <w:vAlign w:val="center"/>
          </w:tcPr>
          <w:p>
            <w:pPr>
              <w:pStyle w:val="50"/>
              <w:adjustRightInd/>
              <w:snapToGrid/>
              <w:spacing w:line="276" w:lineRule="auto"/>
            </w:pPr>
            <w:r>
              <w:t>《税款缴库退库工作规程》</w:t>
            </w:r>
            <w:r>
              <w:rPr>
                <w:rFonts w:hint="eastAsia"/>
              </w:rPr>
              <w:t>（</w:t>
            </w:r>
            <w:r>
              <w:t>国家税务总局令第31号</w:t>
            </w:r>
            <w:r>
              <w:rPr>
                <w:rFonts w:hint="eastAsia"/>
              </w:rPr>
              <w:t>）</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4</w:t>
            </w:r>
          </w:p>
        </w:tc>
        <w:tc>
          <w:tcPr>
            <w:tcW w:w="5653" w:type="dxa"/>
            <w:vAlign w:val="center"/>
          </w:tcPr>
          <w:p>
            <w:pPr>
              <w:pStyle w:val="50"/>
              <w:adjustRightInd/>
              <w:snapToGrid/>
              <w:spacing w:line="276" w:lineRule="auto"/>
            </w:pPr>
            <w:r>
              <w:rPr>
                <w:rFonts w:hint="eastAsia"/>
              </w:rPr>
              <w:t>《财政部 国家税务总局中国人民银行关于纳税人多缴税款及应付利息办理退库的通知》（财预〔2001〕502号）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5</w:t>
            </w:r>
          </w:p>
        </w:tc>
        <w:tc>
          <w:tcPr>
            <w:tcW w:w="5653" w:type="dxa"/>
            <w:vAlign w:val="center"/>
          </w:tcPr>
          <w:p>
            <w:pPr>
              <w:pStyle w:val="50"/>
              <w:adjustRightInd/>
              <w:snapToGrid/>
              <w:spacing w:line="276" w:lineRule="auto"/>
            </w:pPr>
            <w:r>
              <w:rPr>
                <w:rFonts w:hint="eastAsia"/>
              </w:rPr>
              <w:t>《财政部 国家税务总局中国人民银行关于印发〈跨省市总分机构企业所得税分配及预算管理办法〉的通知》（财预〔</w:t>
            </w:r>
            <w:r>
              <w:t>2012</w:t>
            </w:r>
            <w:r>
              <w:rPr>
                <w:rFonts w:hint="eastAsia"/>
              </w:rPr>
              <w:t>〕</w:t>
            </w:r>
            <w:r>
              <w:t>40</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6</w:t>
            </w:r>
          </w:p>
        </w:tc>
        <w:tc>
          <w:tcPr>
            <w:tcW w:w="5653" w:type="dxa"/>
            <w:vAlign w:val="center"/>
          </w:tcPr>
          <w:p>
            <w:pPr>
              <w:pStyle w:val="50"/>
              <w:adjustRightInd/>
              <w:snapToGrid/>
              <w:spacing w:line="276" w:lineRule="auto"/>
            </w:pPr>
            <w:r>
              <w:rPr>
                <w:rFonts w:hint="eastAsia"/>
              </w:rPr>
              <w:t>《财政部 国家税务总局关于全面推开营业税改征增值税试点的通知》（财税〔</w:t>
            </w:r>
            <w:r>
              <w:t>2016</w:t>
            </w:r>
            <w:r>
              <w:rPr>
                <w:rFonts w:hint="eastAsia"/>
              </w:rPr>
              <w:t>〕</w:t>
            </w:r>
            <w:r>
              <w:t>36</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7</w:t>
            </w:r>
          </w:p>
        </w:tc>
        <w:tc>
          <w:tcPr>
            <w:tcW w:w="5653" w:type="dxa"/>
            <w:vAlign w:val="center"/>
          </w:tcPr>
          <w:p>
            <w:pPr>
              <w:pStyle w:val="50"/>
              <w:adjustRightInd/>
              <w:snapToGrid/>
              <w:spacing w:line="276" w:lineRule="auto"/>
            </w:pPr>
            <w:r>
              <w:rPr>
                <w:rFonts w:hint="eastAsia"/>
              </w:rPr>
              <w:t>《国家税务总局关于发布〈委托代征管理办法〉的公告》（国家税务总局公告</w:t>
            </w:r>
            <w:r>
              <w:t>2013</w:t>
            </w:r>
            <w:r>
              <w:rPr>
                <w:rFonts w:hint="eastAsia"/>
              </w:rPr>
              <w:t>年第</w:t>
            </w:r>
            <w:r>
              <w:t>24</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8</w:t>
            </w:r>
          </w:p>
        </w:tc>
        <w:tc>
          <w:tcPr>
            <w:tcW w:w="5653" w:type="dxa"/>
            <w:vAlign w:val="center"/>
          </w:tcPr>
          <w:p>
            <w:pPr>
              <w:pStyle w:val="50"/>
              <w:adjustRightInd/>
              <w:snapToGrid/>
              <w:spacing w:line="276" w:lineRule="auto"/>
            </w:pPr>
            <w:r>
              <w:rPr>
                <w:rFonts w:hint="eastAsia"/>
              </w:rPr>
              <w:t>《国家税务总局关于公开行政审批事项等相关工作的公告》（国家税务总局公告</w:t>
            </w:r>
            <w:r>
              <w:t>2014</w:t>
            </w:r>
            <w:r>
              <w:rPr>
                <w:rFonts w:hint="eastAsia"/>
              </w:rPr>
              <w:t>年第</w:t>
            </w:r>
            <w:r>
              <w:t>10</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9</w:t>
            </w:r>
          </w:p>
        </w:tc>
        <w:tc>
          <w:tcPr>
            <w:tcW w:w="5653" w:type="dxa"/>
            <w:vAlign w:val="center"/>
          </w:tcPr>
          <w:p>
            <w:pPr>
              <w:pStyle w:val="50"/>
              <w:adjustRightInd/>
              <w:snapToGrid/>
              <w:spacing w:line="276" w:lineRule="auto"/>
            </w:pPr>
            <w:r>
              <w:rPr>
                <w:rFonts w:hint="eastAsia"/>
              </w:rPr>
              <w:t>《国家税务总局关于发布第三批取消进户执法项目清单的公告》（国家税务总局公告</w:t>
            </w:r>
            <w:r>
              <w:t>2014</w:t>
            </w:r>
            <w:r>
              <w:rPr>
                <w:rFonts w:hint="eastAsia"/>
              </w:rPr>
              <w:t>年第</w:t>
            </w:r>
            <w:r>
              <w:t>31</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0</w:t>
            </w:r>
          </w:p>
        </w:tc>
        <w:tc>
          <w:tcPr>
            <w:tcW w:w="5653" w:type="dxa"/>
            <w:vAlign w:val="center"/>
          </w:tcPr>
          <w:p>
            <w:pPr>
              <w:pStyle w:val="50"/>
              <w:adjustRightInd/>
              <w:snapToGrid/>
              <w:spacing w:line="276" w:lineRule="auto"/>
            </w:pPr>
            <w:r>
              <w:rPr>
                <w:rFonts w:hint="eastAsia"/>
              </w:rPr>
              <w:t>《国家税务总局关于办理增值税期末留抵税额退税有关事项的公告》（国家税务总局公告2019年第20号）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w:t>
            </w:r>
            <w:r>
              <w:rPr>
                <w:rFonts w:hint="eastAsia"/>
              </w:rPr>
              <w:t>1</w:t>
            </w:r>
          </w:p>
        </w:tc>
        <w:tc>
          <w:tcPr>
            <w:tcW w:w="565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w:t>
            </w:r>
            <w:r>
              <w:rPr>
                <w:rFonts w:hint="eastAsia"/>
              </w:rPr>
              <w:t>2</w:t>
            </w:r>
          </w:p>
        </w:tc>
        <w:tc>
          <w:tcPr>
            <w:tcW w:w="565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13</w:t>
            </w:r>
          </w:p>
        </w:tc>
        <w:tc>
          <w:tcPr>
            <w:tcW w:w="565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w:t>
            </w:r>
            <w:r>
              <w:rPr>
                <w:rFonts w:hint="eastAsia"/>
              </w:rPr>
              <w:t>4</w:t>
            </w:r>
          </w:p>
        </w:tc>
        <w:tc>
          <w:tcPr>
            <w:tcW w:w="5653" w:type="dxa"/>
            <w:vAlign w:val="center"/>
          </w:tcPr>
          <w:p>
            <w:pPr>
              <w:pStyle w:val="50"/>
              <w:adjustRightInd/>
              <w:snapToGrid/>
              <w:spacing w:line="276" w:lineRule="auto"/>
            </w:pPr>
            <w:r>
              <w:rPr>
                <w:rFonts w:hint="eastAsia"/>
              </w:rPr>
              <w:t>《国家税务总局财政部中国人民银行关于纳税人多缴税款退付利息的范围及退库程序的批复》（国税函〔</w:t>
            </w:r>
            <w:r>
              <w:t>2002</w:t>
            </w:r>
            <w:r>
              <w:rPr>
                <w:rFonts w:hint="eastAsia"/>
              </w:rPr>
              <w:t>〕</w:t>
            </w:r>
            <w:r>
              <w:t>566</w:t>
            </w:r>
            <w:r>
              <w:rPr>
                <w:rFonts w:hint="eastAsia"/>
              </w:rPr>
              <w:t>号）</w:t>
            </w:r>
          </w:p>
        </w:tc>
        <w:tc>
          <w:tcPr>
            <w:tcW w:w="1684" w:type="dxa"/>
            <w:vAlign w:val="center"/>
          </w:tcPr>
          <w:p>
            <w:pPr>
              <w:pStyle w:val="50"/>
              <w:adjustRightInd/>
              <w:snapToGrid/>
              <w:spacing w:line="276" w:lineRule="auto"/>
            </w:pPr>
            <w:r>
              <w:rPr>
                <w:rFonts w:hint="eastAsia"/>
              </w:rPr>
              <w:t>主动公开</w:t>
            </w:r>
          </w:p>
        </w:tc>
      </w:tr>
    </w:tbl>
    <w:p>
      <w:pPr>
        <w:pStyle w:val="37"/>
        <w:wordWrap w:val="0"/>
        <w:topLinePunct w:val="0"/>
        <w:spacing w:before="336" w:after="336"/>
        <w:rPr>
          <w:color w:val="000000" w:themeColor="text1"/>
        </w:rPr>
      </w:pPr>
      <w:bookmarkStart w:id="270" w:name="_Toc18096189"/>
      <w:r>
        <w:rPr>
          <w:rFonts w:hint="eastAsia"/>
          <w:color w:val="000000" w:themeColor="text1"/>
        </w:rPr>
        <w:t>3.25.2—11</w:t>
      </w:r>
      <w:r>
        <w:rPr>
          <w:color w:val="000000" w:themeColor="text1"/>
        </w:rPr>
        <w:t>9</w:t>
      </w:r>
      <w:r>
        <w:rPr>
          <w:rFonts w:hint="eastAsia"/>
          <w:color w:val="000000" w:themeColor="text1"/>
        </w:rPr>
        <w:t>　</w:t>
      </w:r>
      <w:r>
        <w:rPr>
          <w:color w:val="000000" w:themeColor="text1"/>
        </w:rPr>
        <w:t>　</w:t>
      </w:r>
      <w:r>
        <w:rPr>
          <w:rFonts w:hint="eastAsia"/>
          <w:color w:val="000000" w:themeColor="text1"/>
        </w:rPr>
        <w:t>入库减免退抵税</w:t>
      </w:r>
      <w:bookmarkEnd w:id="269"/>
      <w:bookmarkEnd w:id="270"/>
    </w:p>
    <w:p>
      <w:pPr>
        <w:pStyle w:val="31"/>
        <w:wordWrap w:val="0"/>
        <w:adjustRightInd/>
        <w:snapToGrid/>
        <w:rPr>
          <w:color w:val="000000" w:themeColor="text1"/>
        </w:rPr>
      </w:pPr>
      <w:r>
        <w:rPr>
          <w:rFonts w:hint="eastAsia"/>
          <w:color w:val="000000" w:themeColor="text1"/>
        </w:rPr>
        <w:t>【事项名称】</w:t>
      </w:r>
    </w:p>
    <w:p>
      <w:pPr>
        <w:pStyle w:val="41"/>
        <w:wordWrap w:val="0"/>
        <w:adjustRightInd/>
        <w:snapToGrid/>
        <w:rPr>
          <w:color w:val="000000" w:themeColor="text1"/>
        </w:rPr>
      </w:pPr>
      <w:r>
        <w:rPr>
          <w:rFonts w:hint="eastAsia"/>
          <w:color w:val="000000" w:themeColor="text1"/>
        </w:rPr>
        <w:t>入库减免退抵税</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宋体"/>
          <w:color w:val="000000" w:themeColor="text1"/>
        </w:rPr>
      </w:pPr>
      <w:r>
        <w:rPr>
          <w:rFonts w:ascii="宋体" w:hAnsi="宋体" w:cs="Times New Roman"/>
          <w:color w:val="000000" w:themeColor="text1"/>
        </w:rPr>
        <w:t>纳税人符合政策规定可以享受减免的税款，如已经缴纳入库，可以申请退（抵）已缴纳的税款。</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以下情形也属于入库减免退抵税</w:t>
      </w:r>
      <w:r>
        <w:rPr>
          <w:rFonts w:hint="default"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增值税小规模纳税人月销售额不超过</w:t>
      </w:r>
      <w:r>
        <w:rPr>
          <w:rFonts w:cs="Times New Roman"/>
          <w:color w:val="000000" w:themeColor="text1"/>
        </w:rPr>
        <w:t>10</w:t>
      </w:r>
      <w:r>
        <w:rPr>
          <w:rFonts w:hint="default" w:ascii="宋体" w:hAnsi="宋体" w:cs="Times New Roman"/>
          <w:color w:val="000000" w:themeColor="text1"/>
        </w:rPr>
        <w:t>万元（按季纳税</w:t>
      </w:r>
      <w:r>
        <w:rPr>
          <w:rFonts w:cs="Times New Roman"/>
          <w:color w:val="000000" w:themeColor="text1"/>
        </w:rPr>
        <w:t>30</w:t>
      </w:r>
      <w:r>
        <w:rPr>
          <w:rFonts w:hint="default" w:ascii="宋体" w:hAnsi="宋体" w:cs="Times New Roman"/>
          <w:color w:val="000000" w:themeColor="text1"/>
        </w:rPr>
        <w:t>万元）的，当期因代开增值税专用发票已经缴纳的税款，在专用发票全部联次追回或者按规定开具红字专用发票后，可以向主管税务机关申请退还；</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增值税即征即退，按税法规定缴纳的税款，由税务机关征收入库后，再由税务机关按规定的程序给予部分或全部退还已纳税款；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非居民纳税人可享受但未享受协定待遇，可以申请退还多缴税款的情况；</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其他减免税政策发布时间滞后于执行时间已入库税款的退税，也属于减免退税；</w:t>
      </w:r>
    </w:p>
    <w:p>
      <w:pPr>
        <w:wordWrap w:val="0"/>
        <w:spacing w:line="360" w:lineRule="auto"/>
        <w:ind w:firstLine="480"/>
        <w:rPr>
          <w:rFonts w:hint="default" w:ascii="宋体" w:hAnsi="宋体" w:cs="宋体"/>
          <w:color w:val="000000" w:themeColor="text1"/>
        </w:rPr>
      </w:pPr>
      <w:r>
        <w:rPr>
          <w:rFonts w:cs="Times New Roman"/>
          <w:color w:val="000000" w:themeColor="text1"/>
        </w:rPr>
        <w:t>5.</w:t>
      </w:r>
      <w:r>
        <w:rPr>
          <w:rFonts w:hint="default" w:ascii="宋体" w:hAnsi="宋体" w:cs="Times New Roman"/>
          <w:color w:val="000000" w:themeColor="text1"/>
        </w:rPr>
        <w:t>“营改增”试点纳税人提供应税服务在本地区试点实施之日前已缴纳营业税，本地区试点实施之日后（含）因享受减免税政策，而退还试点前发生业务的营业税，向主管税务机关申请退还已缴纳的营业税。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《中华人民共和国税收征收管理法》第五十一条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《中华人民共和国税收征收管理法实施细则》第七十八条、第七十九条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00"/>
        <w:gridCol w:w="2729"/>
        <w:gridCol w:w="6"/>
        <w:gridCol w:w="674"/>
        <w:gridCol w:w="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3"/>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gridSpan w:val="2"/>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3"/>
            <w:vAlign w:val="center"/>
          </w:tcPr>
          <w:p>
            <w:pPr>
              <w:pStyle w:val="34"/>
              <w:wordWrap w:val="0"/>
              <w:adjustRightInd/>
              <w:snapToGrid/>
              <w:spacing w:line="240" w:lineRule="auto"/>
              <w:rPr>
                <w:color w:val="000000" w:themeColor="text1"/>
              </w:rPr>
            </w:pPr>
            <w:bookmarkStart w:id="271" w:name="_Hlk508198219"/>
            <w:r>
              <w:rPr>
                <w:rFonts w:hint="eastAsia"/>
                <w:color w:val="000000" w:themeColor="text1"/>
              </w:rPr>
              <w:t>《退（抵）税申请审批表》</w:t>
            </w:r>
            <w:bookmarkEnd w:id="271"/>
          </w:p>
        </w:tc>
        <w:tc>
          <w:tcPr>
            <w:tcW w:w="680" w:type="dxa"/>
            <w:gridSpan w:val="2"/>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gridSpan w:val="3"/>
            <w:vAlign w:val="center"/>
          </w:tcPr>
          <w:p>
            <w:pPr>
              <w:pStyle w:val="34"/>
              <w:wordWrap w:val="0"/>
              <w:adjustRightInd/>
              <w:snapToGrid/>
              <w:spacing w:line="240" w:lineRule="auto"/>
              <w:rPr>
                <w:color w:val="000000" w:themeColor="text1"/>
              </w:rPr>
            </w:pPr>
            <w:r>
              <w:rPr>
                <w:rFonts w:hint="eastAsia"/>
                <w:color w:val="000000" w:themeColor="text1"/>
              </w:rPr>
              <w:t>完税费（缴款）凭证复印件</w:t>
            </w:r>
          </w:p>
        </w:tc>
        <w:tc>
          <w:tcPr>
            <w:tcW w:w="680" w:type="dxa"/>
            <w:gridSpan w:val="2"/>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gridSpan w:val="3"/>
            <w:vAlign w:val="center"/>
          </w:tcPr>
          <w:p>
            <w:pPr>
              <w:pStyle w:val="34"/>
              <w:wordWrap w:val="0"/>
              <w:adjustRightInd/>
              <w:snapToGrid/>
              <w:spacing w:line="240" w:lineRule="auto"/>
              <w:rPr>
                <w:color w:val="000000" w:themeColor="text1"/>
                <w:szCs w:val="21"/>
              </w:rPr>
            </w:pPr>
            <w:r>
              <w:rPr>
                <w:rFonts w:hint="eastAsia"/>
                <w:color w:val="000000" w:themeColor="text1"/>
              </w:rPr>
              <w:t>税务机关认可的其他记载应退税款内容的资料</w:t>
            </w:r>
          </w:p>
        </w:tc>
        <w:tc>
          <w:tcPr>
            <w:tcW w:w="680" w:type="dxa"/>
            <w:gridSpan w:val="2"/>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7"/>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480" w:type="dxa"/>
            <w:gridSpan w:val="2"/>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适用情形</w:t>
            </w:r>
          </w:p>
        </w:tc>
        <w:tc>
          <w:tcPr>
            <w:tcW w:w="2729" w:type="dxa"/>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材料名称</w:t>
            </w:r>
          </w:p>
        </w:tc>
        <w:tc>
          <w:tcPr>
            <w:tcW w:w="680" w:type="dxa"/>
            <w:gridSpan w:val="2"/>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数量</w:t>
            </w:r>
          </w:p>
        </w:tc>
        <w:tc>
          <w:tcPr>
            <w:tcW w:w="2274" w:type="dxa"/>
            <w:gridSpan w:val="2"/>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exact"/>
          <w:jc w:val="center"/>
        </w:trPr>
        <w:tc>
          <w:tcPr>
            <w:tcW w:w="2480" w:type="dxa"/>
            <w:gridSpan w:val="2"/>
            <w:vAlign w:val="center"/>
          </w:tcPr>
          <w:p>
            <w:pPr>
              <w:pStyle w:val="34"/>
              <w:wordWrap w:val="0"/>
              <w:adjustRightInd/>
              <w:snapToGrid/>
              <w:spacing w:line="240" w:lineRule="auto"/>
              <w:rPr>
                <w:color w:val="000000" w:themeColor="text1"/>
              </w:rPr>
            </w:pPr>
            <w:r>
              <w:rPr>
                <w:rFonts w:hint="eastAsia"/>
                <w:color w:val="000000" w:themeColor="text1"/>
              </w:rPr>
              <w:t>享受安置残疾人增值税即征即退优惠政策的纳税人</w:t>
            </w:r>
          </w:p>
        </w:tc>
        <w:tc>
          <w:tcPr>
            <w:tcW w:w="2729" w:type="dxa"/>
            <w:vAlign w:val="center"/>
          </w:tcPr>
          <w:p>
            <w:pPr>
              <w:pStyle w:val="34"/>
              <w:wordWrap w:val="0"/>
              <w:adjustRightInd/>
              <w:snapToGrid/>
              <w:spacing w:line="240" w:lineRule="auto"/>
              <w:rPr>
                <w:color w:val="000000" w:themeColor="text1"/>
              </w:rPr>
            </w:pPr>
            <w:r>
              <w:rPr>
                <w:rFonts w:hint="eastAsia"/>
                <w:color w:val="000000" w:themeColor="text1"/>
              </w:rPr>
              <w:t>当期由银行等金融机构或纳税人加盖公章的按月为残疾人支付工资的清单</w:t>
            </w:r>
          </w:p>
        </w:tc>
        <w:tc>
          <w:tcPr>
            <w:tcW w:w="680" w:type="dxa"/>
            <w:gridSpan w:val="2"/>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74" w:type="dxa"/>
            <w:gridSpan w:val="2"/>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jc w:val="center"/>
        </w:trPr>
        <w:tc>
          <w:tcPr>
            <w:tcW w:w="2480" w:type="dxa"/>
            <w:gridSpan w:val="2"/>
            <w:vAlign w:val="center"/>
          </w:tcPr>
          <w:p>
            <w:pPr>
              <w:pStyle w:val="34"/>
              <w:wordWrap w:val="0"/>
              <w:adjustRightInd/>
              <w:snapToGrid/>
              <w:spacing w:line="240" w:lineRule="auto"/>
              <w:rPr>
                <w:color w:val="000000" w:themeColor="text1"/>
              </w:rPr>
            </w:pPr>
            <w:r>
              <w:rPr>
                <w:rFonts w:hint="eastAsia"/>
                <w:color w:val="000000" w:themeColor="text1"/>
              </w:rPr>
              <w:t>追补享受递延纳税待遇退抵税的纳税人，境外投资方委托他人代办相关事宜</w:t>
            </w:r>
          </w:p>
        </w:tc>
        <w:tc>
          <w:tcPr>
            <w:tcW w:w="2729" w:type="dxa"/>
            <w:vAlign w:val="center"/>
          </w:tcPr>
          <w:p>
            <w:pPr>
              <w:pStyle w:val="34"/>
              <w:wordWrap w:val="0"/>
              <w:adjustRightInd/>
              <w:snapToGrid/>
              <w:spacing w:line="240" w:lineRule="auto"/>
              <w:rPr>
                <w:color w:val="000000" w:themeColor="text1"/>
              </w:rPr>
            </w:pPr>
            <w:r>
              <w:rPr>
                <w:rFonts w:hint="eastAsia"/>
                <w:color w:val="000000" w:themeColor="text1"/>
              </w:rPr>
              <w:t>书面委托资料</w:t>
            </w:r>
          </w:p>
        </w:tc>
        <w:tc>
          <w:tcPr>
            <w:tcW w:w="680" w:type="dxa"/>
            <w:gridSpan w:val="2"/>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74" w:type="dxa"/>
            <w:gridSpan w:val="2"/>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exact"/>
          <w:jc w:val="center"/>
        </w:trPr>
        <w:tc>
          <w:tcPr>
            <w:tcW w:w="2480" w:type="dxa"/>
            <w:gridSpan w:val="2"/>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因特殊情况不能退至纳税人、扣缴义务人原缴款账户</w:t>
            </w:r>
          </w:p>
        </w:tc>
        <w:tc>
          <w:tcPr>
            <w:tcW w:w="2729" w:type="dxa"/>
            <w:vAlign w:val="center"/>
          </w:tcPr>
          <w:p>
            <w:pPr>
              <w:pStyle w:val="34"/>
              <w:wordWrap w:val="0"/>
              <w:adjustRightInd/>
              <w:snapToGrid/>
              <w:spacing w:line="240" w:lineRule="auto"/>
              <w:rPr>
                <w:color w:val="000000" w:themeColor="text1"/>
              </w:rPr>
            </w:pPr>
            <w:r>
              <w:rPr>
                <w:rFonts w:hint="eastAsia"/>
                <w:color w:val="000000" w:themeColor="text1"/>
              </w:rPr>
              <w:t>由于特殊情况不能退至纳税人、扣缴义务人原缴款账户的书面说明，相关证明资料，和指定接受退税的其他账户及接受退税单位（人）名称的资料</w:t>
            </w:r>
          </w:p>
        </w:tc>
        <w:tc>
          <w:tcPr>
            <w:tcW w:w="680" w:type="dxa"/>
            <w:gridSpan w:val="2"/>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74" w:type="dxa"/>
            <w:gridSpan w:val="2"/>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pStyle w:val="31"/>
        <w:wordWrap w:val="0"/>
        <w:adjustRightInd/>
        <w:snapToGrid/>
        <w:rPr>
          <w:color w:val="000000" w:themeColor="text1"/>
        </w:rPr>
      </w:pPr>
      <w:r>
        <w:rPr>
          <w:rFonts w:hint="eastAsia" w:ascii="宋体" w:hAnsi="宋体" w:eastAsia="宋体" w:cs="宋体"/>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w:t>
      </w:r>
      <w:r>
        <w:rPr>
          <w:rFonts w:ascii="宋体" w:hAnsi="宋体" w:cs="Times New Roman"/>
          <w:color w:val="000000" w:themeColor="text1"/>
        </w:rPr>
        <w:t>税务机关发现的，</w:t>
      </w:r>
      <w:r>
        <w:rPr>
          <w:rFonts w:cs="Times New Roman"/>
          <w:color w:val="000000" w:themeColor="text1"/>
        </w:rPr>
        <w:t>10</w:t>
      </w:r>
      <w:r>
        <w:rPr>
          <w:rFonts w:ascii="宋体" w:hAnsi="宋体" w:cs="Times New Roman"/>
          <w:color w:val="000000" w:themeColor="text1"/>
        </w:rPr>
        <w:t>日内办结；</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w:t>
      </w:r>
      <w:r>
        <w:rPr>
          <w:rFonts w:ascii="宋体" w:hAnsi="宋体" w:cs="Times New Roman"/>
          <w:color w:val="000000" w:themeColor="text1"/>
        </w:rPr>
        <w:t>纳税人自行发现的，</w:t>
      </w:r>
      <w:r>
        <w:rPr>
          <w:rFonts w:cs="Times New Roman"/>
          <w:color w:val="000000" w:themeColor="text1"/>
        </w:rPr>
        <w:t>30</w:t>
      </w:r>
      <w:r>
        <w:rPr>
          <w:rFonts w:ascii="宋体" w:hAnsi="宋体" w:cs="Times New Roman"/>
          <w:color w:val="000000" w:themeColor="text1"/>
        </w:rPr>
        <w:t>日内办结；其中增值税即征即退退抵税，</w:t>
      </w:r>
      <w:r>
        <w:rPr>
          <w:rFonts w:cs="Times New Roman"/>
          <w:color w:val="000000" w:themeColor="text1"/>
        </w:rPr>
        <w:t>15</w:t>
      </w:r>
      <w:r>
        <w:rPr>
          <w:rFonts w:ascii="宋体" w:hAnsi="宋体" w:cs="Times New Roman"/>
          <w:color w:val="000000" w:themeColor="text1"/>
        </w:rPr>
        <w:t>个工作日内办结。</w:t>
      </w:r>
    </w:p>
    <w:p>
      <w:pPr>
        <w:pStyle w:val="31"/>
        <w:wordWrap w:val="0"/>
        <w:adjustRightInd/>
        <w:snapToGrid/>
        <w:rPr>
          <w:color w:val="000000" w:themeColor="text1"/>
        </w:rPr>
      </w:pPr>
      <w:r>
        <w:rPr>
          <w:rFonts w:hint="eastAsia"/>
          <w:color w:val="000000" w:themeColor="text1"/>
        </w:rPr>
        <w:t>【联系电话】</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4944110" cy="1687830"/>
            <wp:effectExtent l="0" t="0" r="8890" b="3810"/>
            <wp:docPr id="72" name="图片 24"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4" descr="C:\Users\baoqianyu\Desktop\流程图\流转\纳税人.png纳税人"/>
                    <pic:cNvPicPr>
                      <a:picLocks noChangeAspect="1"/>
                    </pic:cNvPicPr>
                  </pic:nvPicPr>
                  <pic:blipFill>
                    <a:blip r:embed="rId15"/>
                    <a:srcRect/>
                    <a:stretch>
                      <a:fillRect/>
                    </a:stretch>
                  </pic:blipFill>
                  <pic:spPr>
                    <a:xfrm>
                      <a:off x="0" y="0"/>
                      <a:ext cx="4944110" cy="168783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firstLineChars="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纳税人申请退抵税（费）额不能大于纳税人已入库税额。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增值税一般纳税人按规定享受增值税即征即退政策的货物、劳务和服务、不动产、无形资产的，在申报时须将此部分填写在《增值税纳税人申报（一般纳税人适用）表》及附表一的“增值税即征即项目列”征（退）税数据中。</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除出口退税以外，纳税人既有应退税款又有欠缴税款的，税务机关可以将纳税人的应退税款和利息先抵扣欠缴的税款；抵扣后有余额的，纳税人可以申请办理应退余额的退库。</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hint="default" w:ascii="宋体" w:hAnsi="宋体" w:cs="Times New Roman"/>
          <w:color w:val="000000" w:themeColor="text1"/>
        </w:rPr>
        <w:t>个工作日内通知纳税人领取办理结果，制作</w:t>
      </w:r>
      <w:r>
        <w:rPr>
          <w:rFonts w:ascii="宋体" w:hAnsi="宋体" w:cs="Times New Roman"/>
          <w:color w:val="000000" w:themeColor="text1"/>
        </w:rPr>
        <w:t>并</w:t>
      </w:r>
      <w:r>
        <w:rPr>
          <w:rFonts w:hint="default" w:ascii="宋体" w:hAnsi="宋体" w:cs="Times New Roman"/>
          <w:color w:val="000000" w:themeColor="text1"/>
        </w:rPr>
        <w:t>发放《税务事项通知书》。电子税务局办理的，将办理结果通过电子税务局反馈给纳税人。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w:t>
      </w:r>
      <w:r>
        <w:rPr>
          <w:rFonts w:hint="default" w:ascii="宋体" w:hAnsi="宋体" w:cs="Times New Roman"/>
          <w:color w:val="000000" w:themeColor="text1"/>
        </w:rPr>
        <w:t>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税务机关能够获取相关信息的，可不再报送纸质资料。</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（1）其他企业退税：进入金三操作系统，通过文书受理岗权限，按照【管理服务】—【文书管理】—【退税类】—【录入退抵税费信息】的路径进入功能模块。</w:t>
      </w:r>
    </w:p>
    <w:p>
      <w:pPr>
        <w:wordWrap w:val="0"/>
        <w:spacing w:line="360" w:lineRule="auto"/>
        <w:ind w:firstLine="480"/>
        <w:rPr>
          <w:rFonts w:hint="default" w:cs="Times New Roman"/>
          <w:color w:val="000000" w:themeColor="text1"/>
        </w:rPr>
      </w:pPr>
      <w:r>
        <w:rPr>
          <w:rFonts w:cs="Times New Roman"/>
          <w:color w:val="000000" w:themeColor="text1"/>
        </w:rPr>
        <w:t>（2）福利企业退税：进入金三操作系统，通过文书受理岗权限，按照【管理服务】—【文书管理】—【退税类】—【福利企业退税申请】的路径进入功能模块。</w:t>
      </w:r>
    </w:p>
    <w:p>
      <w:pPr>
        <w:wordWrap w:val="0"/>
        <w:spacing w:line="360" w:lineRule="auto"/>
        <w:ind w:firstLine="480"/>
        <w:rPr>
          <w:rFonts w:hint="default" w:cs="Times New Roman"/>
          <w:color w:val="000000" w:themeColor="text1"/>
        </w:rPr>
      </w:pPr>
      <w:r>
        <w:rPr>
          <w:rFonts w:cs="Times New Roman"/>
          <w:color w:val="000000" w:themeColor="text1"/>
        </w:rPr>
        <w:t>2.发放环节</w:t>
      </w:r>
    </w:p>
    <w:p>
      <w:pPr>
        <w:wordWrap w:val="0"/>
        <w:spacing w:line="360" w:lineRule="auto"/>
        <w:ind w:firstLine="480"/>
        <w:rPr>
          <w:rFonts w:hint="default" w:cs="Times New Roman"/>
          <w:color w:val="000000" w:themeColor="text1"/>
        </w:rPr>
      </w:pPr>
      <w:r>
        <w:rPr>
          <w:rFonts w:cs="Times New Roman"/>
          <w:color w:val="000000" w:themeColor="text1"/>
        </w:rPr>
        <w:t>流程审批完成后，进入金三操作系统（文书受理岗权限），在待办任务栏中找到相对应的业务任务，进入发放界面。点击〔打印〕按钮，打印《税务事项通知书（退抵税（费）审批通知）》交给纳税人。</w:t>
      </w:r>
    </w:p>
    <w:p>
      <w:pPr>
        <w:wordWrap w:val="0"/>
        <w:spacing w:line="360" w:lineRule="auto"/>
        <w:ind w:firstLine="480"/>
        <w:rPr>
          <w:rFonts w:hint="default" w:cs="Times New Roman"/>
          <w:color w:val="000000" w:themeColor="text1"/>
        </w:rPr>
      </w:pPr>
      <w:r>
        <w:rPr>
          <w:rFonts w:cs="Times New Roman"/>
          <w:color w:val="000000" w:themeColor="text1"/>
        </w:rPr>
        <w:t>【</w:t>
      </w:r>
      <w:r>
        <w:rPr>
          <w:rFonts w:ascii="黑体" w:hAnsi="黑体" w:eastAsia="黑体" w:cs="黑体"/>
          <w:color w:val="000000" w:themeColor="text1"/>
        </w:rPr>
        <w:t>表证单书填写范本</w:t>
      </w:r>
      <w:r>
        <w:rPr>
          <w:rFonts w:cs="Times New Roman"/>
          <w:color w:val="000000" w:themeColor="text1"/>
        </w:rPr>
        <w:t>】</w:t>
      </w:r>
    </w:p>
    <w:p>
      <w:pPr>
        <w:autoSpaceDE w:val="0"/>
        <w:autoSpaceDN w:val="0"/>
        <w:spacing w:line="400" w:lineRule="exact"/>
        <w:ind w:firstLine="0" w:firstLineChars="0"/>
        <w:jc w:val="center"/>
        <w:rPr>
          <w:rFonts w:hint="default" w:cs="宋体"/>
          <w:b/>
          <w:sz w:val="36"/>
          <w:szCs w:val="36"/>
        </w:rPr>
      </w:pPr>
      <w:r>
        <w:rPr>
          <w:rFonts w:cs="宋体"/>
          <w:b/>
          <w:sz w:val="36"/>
          <w:szCs w:val="36"/>
        </w:rPr>
        <w:t>退（抵）税申请审批表</w:t>
      </w:r>
    </w:p>
    <w:p>
      <w:pPr>
        <w:autoSpaceDE w:val="0"/>
        <w:autoSpaceDN w:val="0"/>
        <w:spacing w:line="400" w:lineRule="exact"/>
        <w:ind w:firstLine="201"/>
        <w:jc w:val="center"/>
        <w:rPr>
          <w:rFonts w:hint="default" w:cs="宋体"/>
          <w:b/>
          <w:sz w:val="10"/>
          <w:szCs w:val="10"/>
        </w:rPr>
      </w:pPr>
    </w:p>
    <w:tbl>
      <w:tblPr>
        <w:tblStyle w:val="18"/>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5"/>
        <w:gridCol w:w="178"/>
        <w:gridCol w:w="728"/>
        <w:gridCol w:w="452"/>
        <w:gridCol w:w="770"/>
        <w:gridCol w:w="672"/>
        <w:gridCol w:w="877"/>
        <w:gridCol w:w="531"/>
        <w:gridCol w:w="102"/>
        <w:gridCol w:w="1025"/>
        <w:gridCol w:w="243"/>
        <w:gridCol w:w="200"/>
        <w:gridCol w:w="908"/>
        <w:gridCol w:w="245"/>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1481"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申请人名称</w:t>
            </w:r>
          </w:p>
        </w:tc>
        <w:tc>
          <w:tcPr>
            <w:tcW w:w="3302" w:type="dxa"/>
            <w:gridSpan w:val="5"/>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w:t>
            </w:r>
          </w:p>
        </w:tc>
        <w:tc>
          <w:tcPr>
            <w:tcW w:w="4222" w:type="dxa"/>
            <w:gridSpan w:val="7"/>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纳税人</w:t>
            </w:r>
            <w:r>
              <w:rPr>
                <w:rFonts w:asciiTheme="minorEastAsia" w:hAnsiTheme="minorEastAsia" w:eastAsiaTheme="minorEastAsia"/>
                <w:b/>
                <w:color w:val="0000FF"/>
              </w:rPr>
              <w:fldChar w:fldCharType="begin"/>
            </w:r>
            <w:r>
              <w:rPr>
                <w:rFonts w:asciiTheme="minorEastAsia" w:hAnsiTheme="minorEastAsia" w:eastAsiaTheme="minorEastAsia"/>
                <w:b/>
                <w:color w:val="0000FF"/>
              </w:rPr>
              <w:instrText xml:space="preserve"> EQ \o\ac(□,√)</w:instrText>
            </w:r>
            <w:r>
              <w:rPr>
                <w:rFonts w:asciiTheme="minorEastAsia" w:hAnsiTheme="minorEastAsia" w:eastAsiaTheme="minorEastAsia"/>
                <w:b/>
                <w:color w:val="0000FF"/>
              </w:rPr>
              <w:fldChar w:fldCharType="end"/>
            </w:r>
            <w:r>
              <w:rPr>
                <w:rFonts w:hint="default" w:asciiTheme="minorEastAsia" w:hAnsiTheme="minorEastAsia" w:eastAsiaTheme="minorEastAsia"/>
                <w:b/>
                <w:color w:val="0000FF"/>
              </w:rPr>
              <w:t xml:space="preserve">   </w:t>
            </w:r>
            <w:r>
              <w:rPr>
                <w:rFonts w:asciiTheme="minorEastAsia" w:hAnsiTheme="minorEastAsia" w:eastAsiaTheme="minorEastAsia"/>
              </w:rPr>
              <w:t>扣缴义务人□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1481"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联系人姓名</w:t>
            </w:r>
          </w:p>
        </w:tc>
        <w:tc>
          <w:tcPr>
            <w:tcW w:w="3302" w:type="dxa"/>
            <w:gridSpan w:val="5"/>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某某</w:t>
            </w:r>
          </w:p>
        </w:tc>
        <w:tc>
          <w:tcPr>
            <w:tcW w:w="1570" w:type="dxa"/>
            <w:gridSpan w:val="4"/>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联系电话</w:t>
            </w:r>
          </w:p>
        </w:tc>
        <w:tc>
          <w:tcPr>
            <w:tcW w:w="2652" w:type="dxa"/>
            <w:gridSpan w:val="3"/>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b/>
              </w:rPr>
            </w:pPr>
            <w:r>
              <w:rPr>
                <w:rFonts w:asciiTheme="minorEastAsia" w:hAnsiTheme="minorEastAsia" w:eastAsiaTheme="minorEastAsia"/>
                <w:b/>
                <w:color w:val="0000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1481"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纳税人名称</w:t>
            </w:r>
          </w:p>
        </w:tc>
        <w:tc>
          <w:tcPr>
            <w:tcW w:w="3302" w:type="dxa"/>
            <w:gridSpan w:val="5"/>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w:t>
            </w:r>
          </w:p>
        </w:tc>
        <w:tc>
          <w:tcPr>
            <w:tcW w:w="1570" w:type="dxa"/>
            <w:gridSpan w:val="4"/>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纳税人识别号</w:t>
            </w:r>
          </w:p>
        </w:tc>
        <w:tc>
          <w:tcPr>
            <w:tcW w:w="2652" w:type="dxa"/>
            <w:gridSpan w:val="3"/>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税务登记证件号码</w:t>
            </w:r>
          </w:p>
          <w:p>
            <w:pPr>
              <w:autoSpaceDE w:val="0"/>
              <w:autoSpaceDN w:val="0"/>
              <w:spacing w:line="400" w:lineRule="exact"/>
              <w:ind w:firstLine="0" w:firstLineChars="0"/>
              <w:jc w:val="center"/>
              <w:rPr>
                <w:rFonts w:hint="default" w:asciiTheme="minorEastAsia" w:hAnsiTheme="minorEastAsia" w:eastAsiaTheme="minorEastAsia"/>
                <w:b/>
                <w:color w:val="0000FF"/>
              </w:rPr>
            </w:pPr>
            <w:r>
              <w:rPr>
                <w:rFonts w:asciiTheme="minorEastAsia" w:hAnsiTheme="minorEastAsia" w:eastAsiaTheme="minorEastAsia"/>
                <w:b/>
                <w:color w:val="0000FF"/>
              </w:rPr>
              <w:t>（统一社会信用代码）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75" w:type="dxa"/>
            <w:vMerge w:val="restart"/>
            <w:noWrap/>
            <w:tcMar>
              <w:left w:w="108" w:type="dxa"/>
              <w:right w:w="108" w:type="dxa"/>
            </w:tcMar>
            <w:textDirection w:val="tbRlV"/>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原完税情况</w:t>
            </w:r>
          </w:p>
        </w:tc>
        <w:tc>
          <w:tcPr>
            <w:tcW w:w="906"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税种</w:t>
            </w:r>
          </w:p>
        </w:tc>
        <w:tc>
          <w:tcPr>
            <w:tcW w:w="122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品目名称</w:t>
            </w:r>
          </w:p>
        </w:tc>
        <w:tc>
          <w:tcPr>
            <w:tcW w:w="3207" w:type="dxa"/>
            <w:gridSpan w:val="5"/>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税款所属时期</w:t>
            </w:r>
          </w:p>
        </w:tc>
        <w:tc>
          <w:tcPr>
            <w:tcW w:w="1351" w:type="dxa"/>
            <w:gridSpan w:val="3"/>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税票号码</w:t>
            </w:r>
          </w:p>
        </w:tc>
        <w:tc>
          <w:tcPr>
            <w:tcW w:w="1744" w:type="dxa"/>
            <w:gridSpan w:val="2"/>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实缴金额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 w:hRule="atLeast"/>
          <w:jc w:val="center"/>
        </w:trPr>
        <w:tc>
          <w:tcPr>
            <w:tcW w:w="575" w:type="dxa"/>
            <w:vMerge w:val="continue"/>
            <w:noWrap/>
            <w:tcMar>
              <w:left w:w="108" w:type="dxa"/>
              <w:right w:w="108" w:type="dxa"/>
            </w:tcMar>
            <w:textDirection w:val="tbRlV"/>
            <w:vAlign w:val="center"/>
          </w:tcPr>
          <w:p>
            <w:pPr>
              <w:autoSpaceDE w:val="0"/>
              <w:autoSpaceDN w:val="0"/>
              <w:spacing w:line="400" w:lineRule="exact"/>
              <w:ind w:firstLine="0" w:firstLineChars="0"/>
              <w:rPr>
                <w:rFonts w:hint="default" w:asciiTheme="minorEastAsia" w:hAnsiTheme="minorEastAsia" w:eastAsiaTheme="minorEastAsia"/>
              </w:rPr>
            </w:pPr>
          </w:p>
        </w:tc>
        <w:tc>
          <w:tcPr>
            <w:tcW w:w="906"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增值税</w:t>
            </w:r>
          </w:p>
        </w:tc>
        <w:tc>
          <w:tcPr>
            <w:tcW w:w="122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w:t>
            </w:r>
          </w:p>
        </w:tc>
        <w:tc>
          <w:tcPr>
            <w:tcW w:w="3207" w:type="dxa"/>
            <w:gridSpan w:val="5"/>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××××年××月××至××××年××月××日</w:t>
            </w:r>
          </w:p>
        </w:tc>
        <w:tc>
          <w:tcPr>
            <w:tcW w:w="1351"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w:t>
            </w:r>
          </w:p>
        </w:tc>
        <w:tc>
          <w:tcPr>
            <w:tcW w:w="1744"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575" w:type="dxa"/>
            <w:vMerge w:val="continue"/>
            <w:noWrap/>
            <w:tcMar>
              <w:left w:w="108" w:type="dxa"/>
              <w:right w:w="108" w:type="dxa"/>
            </w:tcMar>
            <w:textDirection w:val="tbRlV"/>
            <w:vAlign w:val="center"/>
          </w:tcPr>
          <w:p>
            <w:pPr>
              <w:autoSpaceDE w:val="0"/>
              <w:autoSpaceDN w:val="0"/>
              <w:spacing w:line="400" w:lineRule="exact"/>
              <w:ind w:firstLine="0" w:firstLineChars="0"/>
              <w:rPr>
                <w:rFonts w:hint="default" w:asciiTheme="minorEastAsia" w:hAnsiTheme="minorEastAsia" w:eastAsiaTheme="minorEastAsia"/>
              </w:rPr>
            </w:pPr>
          </w:p>
        </w:tc>
        <w:tc>
          <w:tcPr>
            <w:tcW w:w="906"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22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3207" w:type="dxa"/>
            <w:gridSpan w:val="5"/>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hint="default"/>
              </w:rPr>
              <w:pict>
                <v:shape id="文本框 43" o:spid="_x0000_s1036" o:spt="202" type="#_x0000_t202" style="position:absolute;left:0pt;margin-left:47.65pt;margin-top:9.05pt;height:35.45pt;width:230.6pt;z-index:251663360;mso-width-relative:page;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">
                  <v:path/>
                  <v:fill focussize="0,0"/>
                  <v:stroke joinstyle="miter"/>
                  <v:imagedata o:title=""/>
                  <o:lock v:ext="edit"/>
                  <v:textbox>
                    <w:txbxContent>
                      <w:p>
                        <w:pPr>
                          <w:ind w:firstLine="442" w:firstLineChars="100"/>
                          <w:rPr>
                            <w:rFonts w:hint="default"/>
                            <w:b/>
                            <w:color w:val="0000FF"/>
                            <w:sz w:val="44"/>
                          </w:rPr>
                        </w:pPr>
                        <w:r>
                          <w:rPr>
                            <w:b/>
                            <w:color w:val="0000FF"/>
                            <w:sz w:val="44"/>
                          </w:rPr>
                          <w:t>根据实际情况填写</w:t>
                        </w:r>
                      </w:p>
                    </w:txbxContent>
                  </v:textbox>
                </v:shape>
              </w:pict>
            </w:r>
          </w:p>
        </w:tc>
        <w:tc>
          <w:tcPr>
            <w:tcW w:w="1351"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744"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575" w:type="dxa"/>
            <w:vMerge w:val="continue"/>
            <w:noWrap/>
            <w:tcMar>
              <w:left w:w="108" w:type="dxa"/>
              <w:right w:w="108" w:type="dxa"/>
            </w:tcMar>
            <w:textDirection w:val="tbRlV"/>
            <w:vAlign w:val="center"/>
          </w:tcPr>
          <w:p>
            <w:pPr>
              <w:autoSpaceDE w:val="0"/>
              <w:autoSpaceDN w:val="0"/>
              <w:spacing w:line="400" w:lineRule="exact"/>
              <w:ind w:firstLine="0" w:firstLineChars="0"/>
              <w:rPr>
                <w:rFonts w:hint="default" w:asciiTheme="minorEastAsia" w:hAnsiTheme="minorEastAsia" w:eastAsiaTheme="minorEastAsia"/>
              </w:rPr>
            </w:pPr>
          </w:p>
        </w:tc>
        <w:tc>
          <w:tcPr>
            <w:tcW w:w="906"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22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3207" w:type="dxa"/>
            <w:gridSpan w:val="5"/>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351"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744"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75" w:type="dxa"/>
            <w:vMerge w:val="continue"/>
            <w:noWrap/>
            <w:tcMar>
              <w:left w:w="108" w:type="dxa"/>
              <w:right w:w="108" w:type="dxa"/>
            </w:tcMar>
            <w:textDirection w:val="tbRlV"/>
            <w:vAlign w:val="center"/>
          </w:tcPr>
          <w:p>
            <w:pPr>
              <w:autoSpaceDE w:val="0"/>
              <w:autoSpaceDN w:val="0"/>
              <w:spacing w:line="400" w:lineRule="exact"/>
              <w:ind w:firstLine="0" w:firstLineChars="0"/>
              <w:rPr>
                <w:rFonts w:hint="default" w:asciiTheme="minorEastAsia" w:hAnsiTheme="minorEastAsia" w:eastAsiaTheme="minorEastAsia"/>
              </w:rPr>
            </w:pPr>
          </w:p>
        </w:tc>
        <w:tc>
          <w:tcPr>
            <w:tcW w:w="2128" w:type="dxa"/>
            <w:gridSpan w:val="4"/>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合计（小写）</w:t>
            </w:r>
          </w:p>
        </w:tc>
        <w:tc>
          <w:tcPr>
            <w:tcW w:w="6302" w:type="dxa"/>
            <w:gridSpan w:val="10"/>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jc w:val="center"/>
        </w:trPr>
        <w:tc>
          <w:tcPr>
            <w:tcW w:w="2703" w:type="dxa"/>
            <w:gridSpan w:val="5"/>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申请退税金额（小写）</w:t>
            </w:r>
          </w:p>
        </w:tc>
        <w:tc>
          <w:tcPr>
            <w:tcW w:w="6302" w:type="dxa"/>
            <w:gridSpan w:val="10"/>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29" w:hRule="atLeast"/>
          <w:jc w:val="center"/>
        </w:trPr>
        <w:tc>
          <w:tcPr>
            <w:tcW w:w="575" w:type="dxa"/>
            <w:noWrap/>
            <w:tcMar>
              <w:left w:w="108" w:type="dxa"/>
              <w:right w:w="108" w:type="dxa"/>
            </w:tcMar>
            <w:textDirection w:val="tbRlV"/>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退税政策依据</w:t>
            </w:r>
          </w:p>
        </w:tc>
        <w:tc>
          <w:tcPr>
            <w:tcW w:w="8430" w:type="dxa"/>
            <w:gridSpan w:val="14"/>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rPr>
              <w:drawing>
                <wp:anchor distT="0" distB="0" distL="114300" distR="114300" simplePos="0" relativeHeight="251651072" behindDoc="0" locked="0" layoutInCell="1" allowOverlap="1">
                  <wp:simplePos x="0" y="0"/>
                  <wp:positionH relativeFrom="column">
                    <wp:posOffset>3733800</wp:posOffset>
                  </wp:positionH>
                  <wp:positionV relativeFrom="paragraph">
                    <wp:posOffset>410845</wp:posOffset>
                  </wp:positionV>
                  <wp:extent cx="1143000" cy="1066800"/>
                  <wp:effectExtent l="19050" t="0" r="0" b="0"/>
                  <wp:wrapNone/>
                  <wp:docPr id="2" name="图片 32"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2" descr="3595913661474679823015"/>
                          <pic:cNvPicPr>
                            <a:picLocks noChangeAspect="1"/>
                          </pic:cNvPicPr>
                        </pic:nvPicPr>
                        <pic:blipFill>
                          <a:blip r:embed="rId14"/>
                          <a:stretch>
                            <a:fillRect/>
                          </a:stretch>
                        </pic:blipFill>
                        <pic:spPr>
                          <a:xfrm>
                            <a:off x="0" y="0"/>
                            <a:ext cx="1143000" cy="1066800"/>
                          </a:xfrm>
                          <a:prstGeom prst="rect">
                            <a:avLst/>
                          </a:prstGeom>
                          <a:noFill/>
                          <a:ln>
                            <a:noFill/>
                          </a:ln>
                        </pic:spPr>
                      </pic:pic>
                    </a:graphicData>
                  </a:graphic>
                </wp:anchor>
              </w:drawing>
            </w:r>
            <w:r>
              <w:rPr>
                <w:rFonts w:asciiTheme="minorEastAsia" w:hAnsiTheme="minorEastAsia" w:eastAsiaTheme="minorEastAsia"/>
              </w:rPr>
              <w:t>例如：</w:t>
            </w:r>
            <w:r>
              <w:rPr>
                <w:rFonts w:asciiTheme="minorEastAsia" w:hAnsiTheme="minorEastAsia" w:eastAsiaTheme="minorEastAsia"/>
                <w:b/>
                <w:color w:val="0000FF"/>
              </w:rPr>
              <w:t>《财政部 国家税务总局关于印发〈资源综合利用产品和劳务增值税优惠目录〉的通知》（财税〔2015〕78号）</w:t>
            </w:r>
          </w:p>
          <w:p>
            <w:pPr>
              <w:autoSpaceDE w:val="0"/>
              <w:autoSpaceDN w:val="0"/>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《财政部 国家税务总局关于风力发电增值税政策的通知》（财税〔2015〕74号）</w:t>
            </w:r>
          </w:p>
          <w:p>
            <w:pPr>
              <w:autoSpaceDE w:val="0"/>
              <w:autoSpaceDN w:val="0"/>
              <w:spacing w:line="400" w:lineRule="exact"/>
              <w:ind w:firstLine="0" w:firstLineChars="0"/>
              <w:jc w:val="right"/>
              <w:rPr>
                <w:rFonts w:hint="default" w:asciiTheme="minorEastAsia" w:hAnsiTheme="minorEastAsia" w:eastAsiaTheme="minorEastAsia"/>
              </w:rPr>
            </w:pPr>
            <w:r>
              <w:rPr>
                <w:rFonts w:asciiTheme="minorEastAsia" w:hAnsiTheme="minorEastAsia" w:eastAsiaTheme="minorEastAsia"/>
              </w:rPr>
              <w:t>经办人：</w:t>
            </w:r>
            <w:r>
              <w:rPr>
                <w:rFonts w:asciiTheme="minorEastAsia" w:hAnsiTheme="minorEastAsia" w:eastAsiaTheme="minorEastAsia"/>
                <w:b/>
                <w:color w:val="0000FF"/>
              </w:rPr>
              <w:t>XXX</w:t>
            </w:r>
            <w:r>
              <w:rPr>
                <w:rFonts w:asciiTheme="minorEastAsia" w:hAnsiTheme="minorEastAsia" w:eastAsiaTheme="minorEastAsia"/>
              </w:rPr>
              <w:t xml:space="preserve">（公章）   </w:t>
            </w:r>
          </w:p>
          <w:p>
            <w:pPr>
              <w:autoSpaceDE w:val="0"/>
              <w:autoSpaceDN w:val="0"/>
              <w:spacing w:line="400" w:lineRule="exact"/>
              <w:ind w:firstLine="0" w:firstLineChars="0"/>
              <w:jc w:val="right"/>
              <w:rPr>
                <w:rFonts w:hint="default" w:asciiTheme="minorEastAsia" w:hAnsiTheme="minorEastAsia" w:eastAsiaTheme="minorEastAsia"/>
              </w:rPr>
            </w:pPr>
            <w:r>
              <w:rPr>
                <w:rFonts w:asciiTheme="minorEastAsia" w:hAnsiTheme="minorEastAsia" w:eastAsiaTheme="minorEastAsia"/>
                <w:b/>
                <w:color w:val="0000FF"/>
              </w:rPr>
              <w:t>××××</w:t>
            </w:r>
            <w:r>
              <w:rPr>
                <w:rFonts w:asciiTheme="minorEastAsia" w:hAnsiTheme="minorEastAsia" w:eastAsiaTheme="minorEastAsia"/>
              </w:rPr>
              <w:t>年</w:t>
            </w:r>
            <w:r>
              <w:rPr>
                <w:rFonts w:asciiTheme="minorEastAsia" w:hAnsiTheme="minorEastAsia" w:eastAsiaTheme="minorEastAsia"/>
                <w:b/>
                <w:color w:val="0000FF"/>
              </w:rPr>
              <w:t>××</w:t>
            </w:r>
            <w:r>
              <w:rPr>
                <w:rFonts w:asciiTheme="minorEastAsia" w:hAnsiTheme="minorEastAsia" w:eastAsiaTheme="minorEastAsia"/>
              </w:rPr>
              <w:t>月</w:t>
            </w:r>
            <w:r>
              <w:rPr>
                <w:rFonts w:asciiTheme="minorEastAsia" w:hAnsiTheme="minorEastAsia" w:eastAsiaTheme="minorEastAsia"/>
                <w:b/>
                <w:color w:val="0000FF"/>
              </w:rPr>
              <w:t>××</w:t>
            </w:r>
            <w:r>
              <w:rPr>
                <w:rFonts w:asciiTheme="minorEastAsia" w:hAnsiTheme="minorEastAsia" w:eastAsiaTheme="minorEastAsia"/>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9005" w:type="dxa"/>
            <w:gridSpan w:val="15"/>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b/>
                <w:bCs/>
              </w:rPr>
              <w:t>以下由税务机关填写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5" w:hRule="atLeast"/>
          <w:jc w:val="center"/>
        </w:trPr>
        <w:tc>
          <w:tcPr>
            <w:tcW w:w="753" w:type="dxa"/>
            <w:gridSpan w:val="2"/>
            <w:noWrap/>
            <w:tcMar>
              <w:left w:w="108" w:type="dxa"/>
              <w:right w:w="108" w:type="dxa"/>
            </w:tcMar>
            <w:vAlign w:val="center"/>
          </w:tcPr>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受</w:t>
            </w:r>
          </w:p>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理</w:t>
            </w:r>
          </w:p>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情</w:t>
            </w:r>
          </w:p>
          <w:p>
            <w:pPr>
              <w:autoSpaceDE w:val="0"/>
              <w:autoSpaceDN w:val="0"/>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况</w:t>
            </w:r>
          </w:p>
        </w:tc>
        <w:tc>
          <w:tcPr>
            <w:tcW w:w="8252" w:type="dxa"/>
            <w:gridSpan w:val="1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受理人：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jc w:val="center"/>
        </w:trPr>
        <w:tc>
          <w:tcPr>
            <w:tcW w:w="753" w:type="dxa"/>
            <w:gridSpan w:val="2"/>
            <w:vMerge w:val="restart"/>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核实情况</w:t>
            </w:r>
          </w:p>
        </w:tc>
        <w:tc>
          <w:tcPr>
            <w:tcW w:w="1180"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税种</w:t>
            </w:r>
          </w:p>
        </w:tc>
        <w:tc>
          <w:tcPr>
            <w:tcW w:w="144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品目名称</w:t>
            </w:r>
          </w:p>
        </w:tc>
        <w:tc>
          <w:tcPr>
            <w:tcW w:w="1510"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税款所属时期</w:t>
            </w:r>
          </w:p>
        </w:tc>
        <w:tc>
          <w:tcPr>
            <w:tcW w:w="1268"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税票号码</w:t>
            </w:r>
          </w:p>
        </w:tc>
        <w:tc>
          <w:tcPr>
            <w:tcW w:w="1353"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减免性质代码及名称</w:t>
            </w:r>
          </w:p>
        </w:tc>
        <w:tc>
          <w:tcPr>
            <w:tcW w:w="1499" w:type="dxa"/>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应退（抵）税金额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 w:hRule="atLeast"/>
          <w:jc w:val="center"/>
        </w:trPr>
        <w:tc>
          <w:tcPr>
            <w:tcW w:w="753" w:type="dxa"/>
            <w:gridSpan w:val="2"/>
            <w:vMerge w:val="continue"/>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180"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4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510"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268"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353"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99" w:type="dxa"/>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 w:hRule="atLeast"/>
          <w:jc w:val="center"/>
        </w:trPr>
        <w:tc>
          <w:tcPr>
            <w:tcW w:w="753" w:type="dxa"/>
            <w:gridSpan w:val="2"/>
            <w:vMerge w:val="continue"/>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180"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4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510"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268"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353"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99" w:type="dxa"/>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 w:hRule="atLeast"/>
          <w:jc w:val="center"/>
        </w:trPr>
        <w:tc>
          <w:tcPr>
            <w:tcW w:w="753" w:type="dxa"/>
            <w:gridSpan w:val="2"/>
            <w:vMerge w:val="continue"/>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180"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4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510"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268"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353"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99" w:type="dxa"/>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 w:hRule="atLeast"/>
          <w:jc w:val="center"/>
        </w:trPr>
        <w:tc>
          <w:tcPr>
            <w:tcW w:w="753" w:type="dxa"/>
            <w:gridSpan w:val="2"/>
            <w:vMerge w:val="continue"/>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180"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42"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510"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268" w:type="dxa"/>
            <w:gridSpan w:val="2"/>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353" w:type="dxa"/>
            <w:gridSpan w:val="3"/>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1499" w:type="dxa"/>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753" w:type="dxa"/>
            <w:gridSpan w:val="2"/>
            <w:vMerge w:val="continue"/>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c>
          <w:tcPr>
            <w:tcW w:w="2622" w:type="dxa"/>
            <w:gridSpan w:val="4"/>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合计（小写）</w:t>
            </w:r>
          </w:p>
        </w:tc>
        <w:tc>
          <w:tcPr>
            <w:tcW w:w="5630" w:type="dxa"/>
            <w:gridSpan w:val="9"/>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1" w:hRule="atLeast"/>
          <w:jc w:val="center"/>
        </w:trPr>
        <w:tc>
          <w:tcPr>
            <w:tcW w:w="4252" w:type="dxa"/>
            <w:gridSpan w:val="7"/>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核实部门意见：</w:t>
            </w:r>
          </w:p>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退还方式：退库□  抵扣欠税□</w:t>
            </w:r>
          </w:p>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经办人：       负责人：</w:t>
            </w:r>
          </w:p>
          <w:p>
            <w:pPr>
              <w:autoSpaceDE w:val="0"/>
              <w:autoSpaceDN w:val="0"/>
              <w:spacing w:line="400" w:lineRule="exact"/>
              <w:ind w:firstLine="720" w:firstLineChars="300"/>
              <w:rPr>
                <w:rFonts w:hint="default" w:asciiTheme="minorEastAsia" w:hAnsiTheme="minorEastAsia" w:eastAsiaTheme="minorEastAsia"/>
              </w:rPr>
            </w:pPr>
            <w:r>
              <w:rPr>
                <w:rFonts w:asciiTheme="minorEastAsia" w:hAnsiTheme="minorEastAsia" w:eastAsiaTheme="minorEastAsia"/>
              </w:rPr>
              <w:t>年  月  日</w:t>
            </w:r>
          </w:p>
        </w:tc>
        <w:tc>
          <w:tcPr>
            <w:tcW w:w="4753" w:type="dxa"/>
            <w:gridSpan w:val="8"/>
            <w:noWrap/>
            <w:tcMar>
              <w:left w:w="108" w:type="dxa"/>
              <w:right w:w="108" w:type="dxa"/>
            </w:tcMar>
            <w:vAlign w:val="center"/>
          </w:tcPr>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税务机关负责人意见：</w:t>
            </w:r>
          </w:p>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p>
          <w:p>
            <w:pPr>
              <w:autoSpaceDE w:val="0"/>
              <w:autoSpaceDN w:val="0"/>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签字：</w:t>
            </w:r>
          </w:p>
          <w:p>
            <w:pPr>
              <w:autoSpaceDE w:val="0"/>
              <w:autoSpaceDN w:val="0"/>
              <w:spacing w:line="400" w:lineRule="exact"/>
              <w:ind w:firstLine="720" w:firstLineChars="300"/>
              <w:rPr>
                <w:rFonts w:hint="default" w:asciiTheme="minorEastAsia" w:hAnsiTheme="minorEastAsia" w:eastAsiaTheme="minorEastAsia"/>
              </w:rPr>
            </w:pPr>
            <w:r>
              <w:rPr>
                <w:rFonts w:asciiTheme="minorEastAsia" w:hAnsiTheme="minorEastAsia" w:eastAsiaTheme="minorEastAsia"/>
              </w:rPr>
              <w:t>年  月  日（公章）</w:t>
            </w:r>
          </w:p>
        </w:tc>
      </w:tr>
    </w:tbl>
    <w:p>
      <w:pPr>
        <w:wordWrap w:val="0"/>
        <w:spacing w:line="360" w:lineRule="auto"/>
        <w:ind w:firstLine="480"/>
        <w:rPr>
          <w:rFonts w:hint="default" w:ascii="宋体" w:hAnsi="宋体" w:cs="Times New Roman"/>
          <w:color w:val="000000" w:themeColor="text1"/>
        </w:rPr>
      </w:pPr>
    </w:p>
    <w:p>
      <w:pPr>
        <w:pStyle w:val="31"/>
        <w:adjustRightInd/>
        <w:snapToGrid/>
      </w:pPr>
      <w:r>
        <w:rPr>
          <w:rFonts w:hint="eastAsia"/>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3"/>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3" w:type="dxa"/>
            <w:vAlign w:val="center"/>
          </w:tcPr>
          <w:p>
            <w:pPr>
              <w:pStyle w:val="33"/>
              <w:adjustRightInd/>
              <w:snapToGrid/>
              <w:spacing w:line="276" w:lineRule="auto"/>
            </w:pPr>
            <w:r>
              <w:rPr>
                <w:rFonts w:hint="eastAsia"/>
              </w:rPr>
              <w:t>文件名称</w:t>
            </w:r>
          </w:p>
        </w:tc>
        <w:tc>
          <w:tcPr>
            <w:tcW w:w="1684"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3" w:type="dxa"/>
            <w:vAlign w:val="center"/>
          </w:tcPr>
          <w:p>
            <w:pPr>
              <w:pStyle w:val="50"/>
              <w:adjustRightInd/>
              <w:snapToGrid/>
              <w:spacing w:line="276" w:lineRule="auto"/>
            </w:pPr>
            <w:r>
              <w:rPr>
                <w:rFonts w:hint="eastAsia"/>
              </w:rPr>
              <w:t>《中华人民共和国税收征收管理法》</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3" w:type="dxa"/>
            <w:vAlign w:val="center"/>
          </w:tcPr>
          <w:p>
            <w:pPr>
              <w:pStyle w:val="50"/>
              <w:adjustRightInd/>
              <w:snapToGrid/>
              <w:spacing w:line="276" w:lineRule="auto"/>
            </w:pPr>
            <w:r>
              <w:rPr>
                <w:rFonts w:hint="eastAsia"/>
              </w:rPr>
              <w:t>《中华人民共和国税收征收管理法实施细则》</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653" w:type="dxa"/>
            <w:vAlign w:val="center"/>
          </w:tcPr>
          <w:p>
            <w:pPr>
              <w:pStyle w:val="50"/>
              <w:adjustRightInd/>
              <w:snapToGrid/>
              <w:spacing w:line="276" w:lineRule="auto"/>
            </w:pPr>
            <w:r>
              <w:t>《税款缴库退库工作规程》</w:t>
            </w:r>
            <w:r>
              <w:rPr>
                <w:rFonts w:hint="eastAsia"/>
              </w:rPr>
              <w:t>（</w:t>
            </w:r>
            <w:r>
              <w:t>国家税务总局令第31号</w:t>
            </w:r>
            <w:r>
              <w:rPr>
                <w:rFonts w:hint="eastAsia"/>
              </w:rPr>
              <w:t>）</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4</w:t>
            </w:r>
          </w:p>
        </w:tc>
        <w:tc>
          <w:tcPr>
            <w:tcW w:w="5653" w:type="dxa"/>
            <w:vAlign w:val="center"/>
          </w:tcPr>
          <w:p>
            <w:pPr>
              <w:pStyle w:val="50"/>
              <w:adjustRightInd/>
              <w:snapToGrid/>
              <w:spacing w:line="276" w:lineRule="auto"/>
            </w:pPr>
            <w:r>
              <w:rPr>
                <w:rFonts w:hint="eastAsia"/>
              </w:rPr>
              <w:t>《财政部 国家税务总局 中国人民银行关于纳税人多缴税款及应付利息办理退库的通知》（财预〔</w:t>
            </w:r>
            <w:r>
              <w:t>2001</w:t>
            </w:r>
            <w:r>
              <w:rPr>
                <w:rFonts w:hint="eastAsia"/>
              </w:rPr>
              <w:t>〕</w:t>
            </w:r>
            <w:r>
              <w:t>502</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5</w:t>
            </w:r>
          </w:p>
        </w:tc>
        <w:tc>
          <w:tcPr>
            <w:tcW w:w="5653" w:type="dxa"/>
            <w:vAlign w:val="center"/>
          </w:tcPr>
          <w:p>
            <w:pPr>
              <w:pStyle w:val="50"/>
              <w:adjustRightInd/>
              <w:snapToGrid/>
              <w:spacing w:line="276" w:lineRule="auto"/>
            </w:pPr>
            <w:r>
              <w:rPr>
                <w:rFonts w:hint="eastAsia"/>
              </w:rPr>
              <w:t>《财政部 国家税务总局关于全面推开营业税改征增值税试点的通知》（财税〔</w:t>
            </w:r>
            <w:r>
              <w:t>2016</w:t>
            </w:r>
            <w:r>
              <w:rPr>
                <w:rFonts w:hint="eastAsia"/>
              </w:rPr>
              <w:t>〕</w:t>
            </w:r>
            <w:r>
              <w:t>36</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6</w:t>
            </w:r>
          </w:p>
        </w:tc>
        <w:tc>
          <w:tcPr>
            <w:tcW w:w="5653" w:type="dxa"/>
            <w:vAlign w:val="center"/>
          </w:tcPr>
          <w:p>
            <w:pPr>
              <w:pStyle w:val="50"/>
              <w:adjustRightInd/>
              <w:snapToGrid/>
              <w:spacing w:line="276" w:lineRule="auto"/>
            </w:pPr>
            <w:r>
              <w:rPr>
                <w:rFonts w:hint="eastAsia"/>
              </w:rPr>
              <w:t>《国家税务总局关于公开行政审批事项等相关工作的公告》（国家税务总局公告</w:t>
            </w:r>
            <w:r>
              <w:t>2014</w:t>
            </w:r>
            <w:r>
              <w:rPr>
                <w:rFonts w:hint="eastAsia"/>
              </w:rPr>
              <w:t>年第</w:t>
            </w:r>
            <w:r>
              <w:t>10</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7</w:t>
            </w:r>
          </w:p>
        </w:tc>
        <w:tc>
          <w:tcPr>
            <w:tcW w:w="5653" w:type="dxa"/>
            <w:vAlign w:val="center"/>
          </w:tcPr>
          <w:p>
            <w:pPr>
              <w:pStyle w:val="50"/>
              <w:adjustRightInd/>
              <w:snapToGrid/>
              <w:spacing w:line="276" w:lineRule="auto"/>
            </w:pPr>
            <w:r>
              <w:rPr>
                <w:rFonts w:hint="eastAsia"/>
              </w:rPr>
              <w:t>《国家税务总局关于发布第三批取消进户执法项目清单的公告》（国家税务总局公告</w:t>
            </w:r>
            <w:r>
              <w:t>2014</w:t>
            </w:r>
            <w:r>
              <w:rPr>
                <w:rFonts w:hint="eastAsia"/>
              </w:rPr>
              <w:t>年第</w:t>
            </w:r>
            <w:r>
              <w:t>31</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8</w:t>
            </w:r>
          </w:p>
        </w:tc>
        <w:tc>
          <w:tcPr>
            <w:tcW w:w="5653" w:type="dxa"/>
            <w:vAlign w:val="center"/>
          </w:tcPr>
          <w:p>
            <w:pPr>
              <w:pStyle w:val="50"/>
              <w:adjustRightInd/>
              <w:snapToGrid/>
              <w:spacing w:line="276" w:lineRule="auto"/>
            </w:pPr>
            <w:r>
              <w:rPr>
                <w:rFonts w:hint="eastAsia"/>
              </w:rPr>
              <w:t>《国家税务总局财政部中国人民银行关于纳税人多缴税款退付利息的范围及退库程序的批复》（国税函〔</w:t>
            </w:r>
            <w:r>
              <w:t>2002</w:t>
            </w:r>
            <w:r>
              <w:rPr>
                <w:rFonts w:hint="eastAsia"/>
              </w:rPr>
              <w:t>〕</w:t>
            </w:r>
            <w:r>
              <w:t>566</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9</w:t>
            </w:r>
          </w:p>
        </w:tc>
        <w:tc>
          <w:tcPr>
            <w:tcW w:w="565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10</w:t>
            </w:r>
          </w:p>
        </w:tc>
        <w:tc>
          <w:tcPr>
            <w:tcW w:w="565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11</w:t>
            </w:r>
          </w:p>
        </w:tc>
        <w:tc>
          <w:tcPr>
            <w:tcW w:w="565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2</w:t>
            </w:r>
          </w:p>
        </w:tc>
        <w:tc>
          <w:tcPr>
            <w:tcW w:w="5653" w:type="dxa"/>
            <w:vAlign w:val="center"/>
          </w:tcPr>
          <w:p>
            <w:pPr>
              <w:pStyle w:val="50"/>
              <w:adjustRightInd/>
              <w:snapToGrid/>
              <w:spacing w:line="276" w:lineRule="auto"/>
            </w:pPr>
            <w:r>
              <w:rPr>
                <w:rFonts w:hint="eastAsia"/>
              </w:rPr>
              <w:t>《国家税务总局关于进一步规范增值税、消费税车辆购置税有关涉税事项办理的通知》（税总函〔</w:t>
            </w:r>
            <w:r>
              <w:t>2017〕426号）</w:t>
            </w:r>
          </w:p>
        </w:tc>
        <w:tc>
          <w:tcPr>
            <w:tcW w:w="1684" w:type="dxa"/>
            <w:vAlign w:val="center"/>
          </w:tcPr>
          <w:p>
            <w:pPr>
              <w:pStyle w:val="50"/>
              <w:adjustRightInd/>
              <w:snapToGrid/>
              <w:spacing w:line="276" w:lineRule="auto"/>
            </w:pPr>
            <w:r>
              <w:rPr>
                <w:rFonts w:hint="eastAsia"/>
              </w:rPr>
              <w:t>依申请公开</w:t>
            </w:r>
          </w:p>
        </w:tc>
      </w:tr>
    </w:tbl>
    <w:p>
      <w:pPr>
        <w:pStyle w:val="37"/>
        <w:wordWrap w:val="0"/>
        <w:topLinePunct w:val="0"/>
        <w:spacing w:before="336" w:after="336"/>
        <w:rPr>
          <w:color w:val="000000" w:themeColor="text1"/>
        </w:rPr>
      </w:pPr>
      <w:bookmarkStart w:id="272" w:name="_Toc7465"/>
      <w:bookmarkStart w:id="273" w:name="_Toc18096190"/>
      <w:r>
        <w:rPr>
          <w:rFonts w:hint="eastAsia"/>
          <w:color w:val="000000" w:themeColor="text1"/>
        </w:rPr>
        <w:t>3.25.3—1</w:t>
      </w:r>
      <w:r>
        <w:rPr>
          <w:color w:val="000000" w:themeColor="text1"/>
        </w:rPr>
        <w:t>20</w:t>
      </w:r>
      <w:r>
        <w:rPr>
          <w:rFonts w:hint="eastAsia"/>
          <w:color w:val="000000" w:themeColor="text1"/>
        </w:rPr>
        <w:t>　</w:t>
      </w:r>
      <w:r>
        <w:rPr>
          <w:color w:val="000000" w:themeColor="text1"/>
        </w:rPr>
        <w:t>　</w:t>
      </w:r>
      <w:r>
        <w:rPr>
          <w:rFonts w:hint="eastAsia"/>
          <w:color w:val="000000" w:themeColor="text1"/>
        </w:rPr>
        <w:t>汇算清缴结算多缴退抵税</w:t>
      </w:r>
      <w:bookmarkEnd w:id="272"/>
      <w:bookmarkEnd w:id="273"/>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汇算清缴结算多缴退抵税</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实行分期预缴、按期汇算结算的纳税人，在清算过程中形成的多缴税款，可以向税务机关申请办理退抵税费。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以下业务也属于汇算清缴结算多缴退抵税：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营改增”试点纳税人提供应税服务，按照国家有关营业税政策规定差额征收营业税的，因取得的全部价款和价外费用不足以抵减允许扣除项目金额，截至本地区试点实施之日尚未扣除的部分，不得在计算试点纳税人本地区试点实施之日后的销售额时予以抵减，应当向原主管地税机关申请退还营业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土地增值税清算原因导致多缴企业所得税的退税。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对房产税、城镇土地税税源信息修改，以及增值税、消费税申报税款小于预缴税款，导致发生多缴税款。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纳税人在批准临时占用耕地的期限内恢复所占耕地原状的，全额退还已缴纳的耕地占用税。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《中华人民共和国税收征收管理法》第五十一条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《中华人民共和国税收征收管理法实施细则》第七十八条、第七十九条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73"/>
        <w:gridCol w:w="3262"/>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vAlign w:val="center"/>
          </w:tcPr>
          <w:p>
            <w:pPr>
              <w:pStyle w:val="34"/>
              <w:wordWrap w:val="0"/>
              <w:adjustRightInd/>
              <w:snapToGrid/>
              <w:spacing w:line="240" w:lineRule="auto"/>
              <w:rPr>
                <w:color w:val="000000" w:themeColor="text1"/>
              </w:rPr>
            </w:pPr>
            <w:r>
              <w:rPr>
                <w:rFonts w:hint="eastAsia"/>
                <w:color w:val="000000" w:themeColor="text1"/>
              </w:rPr>
              <w:t>《</w:t>
            </w:r>
            <w:bookmarkStart w:id="274" w:name="_Hlk508199061"/>
            <w:r>
              <w:rPr>
                <w:rFonts w:hint="eastAsia"/>
                <w:color w:val="000000" w:themeColor="text1"/>
              </w:rPr>
              <w:t>退（抵）税申请表</w:t>
            </w:r>
            <w:bookmarkEnd w:id="274"/>
            <w:r>
              <w:rPr>
                <w:rFonts w:hint="eastAsia"/>
                <w:color w:val="000000" w:themeColor="text1"/>
              </w:rPr>
              <w:t>》</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gridSpan w:val="2"/>
            <w:vAlign w:val="center"/>
          </w:tcPr>
          <w:p>
            <w:pPr>
              <w:pStyle w:val="34"/>
              <w:wordWrap w:val="0"/>
              <w:adjustRightInd/>
              <w:snapToGrid/>
              <w:spacing w:line="240" w:lineRule="auto"/>
              <w:rPr>
                <w:color w:val="000000" w:themeColor="text1"/>
                <w:szCs w:val="21"/>
              </w:rPr>
            </w:pPr>
            <w:r>
              <w:rPr>
                <w:rFonts w:hint="eastAsia"/>
                <w:color w:val="000000" w:themeColor="text1"/>
              </w:rPr>
              <w:t>完税（缴款）凭证复印件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p>
        </w:tc>
        <w:tc>
          <w:tcPr>
            <w:tcW w:w="4535" w:type="dxa"/>
            <w:gridSpan w:val="2"/>
            <w:vAlign w:val="center"/>
          </w:tcPr>
          <w:p>
            <w:pPr>
              <w:pStyle w:val="34"/>
              <w:wordWrap w:val="0"/>
              <w:adjustRightInd/>
              <w:snapToGrid/>
              <w:spacing w:line="240" w:lineRule="auto"/>
              <w:rPr>
                <w:color w:val="000000" w:themeColor="text1"/>
              </w:rPr>
            </w:pPr>
            <w:r>
              <w:rPr>
                <w:rFonts w:hint="eastAsia"/>
                <w:color w:val="000000" w:themeColor="text1"/>
              </w:rPr>
              <w:t>税务机关认可的其他记载应退税款内容的资料</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shd w:val="clear" w:color="auto" w:fill="D9D9D9"/>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适用情形</w:t>
            </w:r>
          </w:p>
        </w:tc>
        <w:tc>
          <w:tcPr>
            <w:tcW w:w="3262" w:type="dxa"/>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材料名称</w:t>
            </w:r>
          </w:p>
        </w:tc>
        <w:tc>
          <w:tcPr>
            <w:tcW w:w="680" w:type="dxa"/>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数量</w:t>
            </w:r>
          </w:p>
        </w:tc>
        <w:tc>
          <w:tcPr>
            <w:tcW w:w="2268" w:type="dxa"/>
            <w:shd w:val="clear" w:color="auto" w:fill="D9D9D9"/>
            <w:vAlign w:val="center"/>
          </w:tcPr>
          <w:p>
            <w:pPr>
              <w:pStyle w:val="32"/>
              <w:wordWrap w:val="0"/>
              <w:adjustRightInd/>
              <w:snapToGrid/>
              <w:spacing w:line="240" w:lineRule="auto"/>
              <w:rPr>
                <w:color w:val="000000" w:themeColor="text1"/>
                <w:lang w:val="en-US"/>
              </w:rPr>
            </w:pPr>
            <w:r>
              <w:rPr>
                <w:rFonts w:hint="eastAsia"/>
                <w:color w:val="000000" w:themeColor="text1"/>
                <w:lang w:val="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53" w:type="dxa"/>
            <w:gridSpan w:val="2"/>
            <w:vMerge w:val="restart"/>
            <w:vAlign w:val="center"/>
          </w:tcPr>
          <w:p>
            <w:pPr>
              <w:pStyle w:val="34"/>
              <w:wordWrap w:val="0"/>
              <w:adjustRightInd/>
              <w:snapToGrid/>
              <w:spacing w:line="240" w:lineRule="auto"/>
              <w:rPr>
                <w:color w:val="000000" w:themeColor="text1"/>
              </w:rPr>
            </w:pPr>
            <w:r>
              <w:rPr>
                <w:rFonts w:hint="eastAsia"/>
                <w:color w:val="000000" w:themeColor="text1"/>
              </w:rPr>
              <w:t>土地增值税清算原因导致多缴企业所得税的退税</w:t>
            </w:r>
          </w:p>
        </w:tc>
        <w:tc>
          <w:tcPr>
            <w:tcW w:w="3262" w:type="dxa"/>
            <w:vAlign w:val="center"/>
          </w:tcPr>
          <w:p>
            <w:pPr>
              <w:pStyle w:val="34"/>
              <w:wordWrap w:val="0"/>
              <w:adjustRightInd/>
              <w:snapToGrid/>
              <w:spacing w:line="240" w:lineRule="auto"/>
              <w:rPr>
                <w:color w:val="000000" w:themeColor="text1"/>
              </w:rPr>
            </w:pPr>
            <w:r>
              <w:rPr>
                <w:rFonts w:hint="eastAsia"/>
                <w:color w:val="000000" w:themeColor="text1"/>
              </w:rPr>
              <w:t>房地产企业是否存在后续开发项目的说明</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exact"/>
          <w:jc w:val="center"/>
        </w:trPr>
        <w:tc>
          <w:tcPr>
            <w:tcW w:w="1953" w:type="dxa"/>
            <w:gridSpan w:val="2"/>
            <w:vMerge w:val="continue"/>
            <w:vAlign w:val="center"/>
          </w:tcPr>
          <w:p>
            <w:pPr>
              <w:pStyle w:val="34"/>
              <w:wordWrap w:val="0"/>
              <w:adjustRightInd/>
              <w:snapToGrid/>
              <w:spacing w:line="240" w:lineRule="auto"/>
              <w:rPr>
                <w:color w:val="000000" w:themeColor="text1"/>
              </w:rPr>
            </w:pPr>
          </w:p>
        </w:tc>
        <w:tc>
          <w:tcPr>
            <w:tcW w:w="3262" w:type="dxa"/>
            <w:vAlign w:val="center"/>
          </w:tcPr>
          <w:p>
            <w:pPr>
              <w:pStyle w:val="34"/>
              <w:wordWrap w:val="0"/>
              <w:adjustRightInd/>
              <w:snapToGrid/>
              <w:spacing w:line="240" w:lineRule="auto"/>
              <w:rPr>
                <w:color w:val="000000" w:themeColor="text1"/>
              </w:rPr>
            </w:pPr>
            <w:r>
              <w:rPr>
                <w:rFonts w:hint="eastAsia"/>
                <w:color w:val="000000" w:themeColor="text1"/>
              </w:rPr>
              <w:t>房地产项目缴纳的土地增值税总额、项目销售收入总额、项目年度销售收入额、各年度应分摊的土地增值税和已经税前扣除的土地增值税、各年度的适用税率的书面说明</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exact"/>
          <w:jc w:val="center"/>
        </w:trPr>
        <w:tc>
          <w:tcPr>
            <w:tcW w:w="1953" w:type="dxa"/>
            <w:gridSpan w:val="2"/>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因特殊情况不能退至纳税人、扣缴义务人原缴款账户</w:t>
            </w:r>
          </w:p>
        </w:tc>
        <w:tc>
          <w:tcPr>
            <w:tcW w:w="3262" w:type="dxa"/>
            <w:vAlign w:val="center"/>
          </w:tcPr>
          <w:p>
            <w:pPr>
              <w:pStyle w:val="34"/>
              <w:wordWrap w:val="0"/>
              <w:adjustRightInd/>
              <w:snapToGrid/>
              <w:spacing w:line="240" w:lineRule="auto"/>
              <w:rPr>
                <w:color w:val="000000" w:themeColor="text1"/>
              </w:rPr>
            </w:pPr>
            <w:r>
              <w:rPr>
                <w:rFonts w:hint="eastAsia"/>
                <w:color w:val="000000" w:themeColor="text1"/>
              </w:rPr>
              <w:t>由于特殊情况不能退至纳税人、扣缴义务人原缴款账户的书面说明，相关证明资料，和指定接受退税的其他账户及接受退税单位（人）名称的资料</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pStyle w:val="31"/>
        <w:wordWrap w:val="0"/>
        <w:adjustRightInd/>
        <w:snapToGrid/>
        <w:rPr>
          <w:rFonts w:ascii="宋体" w:hAnsi="宋体" w:eastAsia="宋体" w:cs="宋体"/>
          <w:color w:val="000000" w:themeColor="text1"/>
        </w:rPr>
      </w:pPr>
      <w:r>
        <w:rPr>
          <w:rFonts w:hint="eastAsia" w:ascii="宋体" w:hAnsi="宋体" w:eastAsia="宋体" w:cs="宋体"/>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w:t>
      </w:r>
      <w:r>
        <w:rPr>
          <w:rFonts w:ascii="宋体" w:hAnsi="宋体" w:cs="Times New Roman"/>
          <w:color w:val="000000" w:themeColor="text1"/>
        </w:rPr>
        <w:t>税务机关发现的，</w:t>
      </w:r>
      <w:r>
        <w:rPr>
          <w:rFonts w:cs="Times New Roman"/>
          <w:color w:val="000000" w:themeColor="text1"/>
        </w:rPr>
        <w:t>10</w:t>
      </w:r>
      <w:r>
        <w:rPr>
          <w:rFonts w:ascii="宋体" w:hAnsi="宋体" w:cs="Times New Roman"/>
          <w:color w:val="000000" w:themeColor="text1"/>
        </w:rPr>
        <w:t>日内办结；</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w:t>
      </w:r>
      <w:r>
        <w:rPr>
          <w:rFonts w:ascii="宋体" w:hAnsi="宋体" w:cs="Times New Roman"/>
          <w:color w:val="000000" w:themeColor="text1"/>
        </w:rPr>
        <w:t>纳税人自行发现的，</w:t>
      </w:r>
      <w:r>
        <w:rPr>
          <w:rFonts w:cs="Times New Roman"/>
          <w:color w:val="000000" w:themeColor="text1"/>
        </w:rPr>
        <w:t>30</w:t>
      </w:r>
      <w:r>
        <w:rPr>
          <w:rFonts w:ascii="宋体" w:hAnsi="宋体" w:cs="Times New Roman"/>
          <w:color w:val="000000" w:themeColor="text1"/>
        </w:rPr>
        <w:t>日内办结。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184140" cy="1769745"/>
            <wp:effectExtent l="0" t="0" r="12700" b="13335"/>
            <wp:docPr id="73" name="图片 24"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4" descr="C:\Users\baoqianyu\Desktop\流程图\流转\纳税人.png纳税人"/>
                    <pic:cNvPicPr>
                      <a:picLocks noChangeAspect="1"/>
                    </pic:cNvPicPr>
                  </pic:nvPicPr>
                  <pic:blipFill>
                    <a:blip r:embed="rId15"/>
                    <a:srcRect/>
                    <a:stretch>
                      <a:fillRect/>
                    </a:stretch>
                  </pic:blipFill>
                  <pic:spPr>
                    <a:xfrm>
                      <a:off x="0" y="0"/>
                      <a:ext cx="5184140" cy="17697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对已缴纳契税的购房单位和个人，在未办理房屋权属变更登记前退房的，退还已纳契税；在办理房屋权属变更登记后退房的，不予退还已纳契税。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独立核算的发、供电企业结算缴纳增值税多缴不退，结转下期抵扣或抵减下期应纳税额。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除出口退税以外，纳税人既有应退税款又有欠缴税款的，税务机关可以将纳税人的应退税款和利息先抵扣欠缴的税款；抵扣后有余额的，纳税人可以申请办理应退余额的退库。</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olor w:val="000000" w:themeColor="text1"/>
          <w:szCs w:val="20"/>
        </w:rPr>
      </w:pPr>
      <w:r>
        <w:rPr>
          <w:rFonts w:hint="default" w:ascii="宋体" w:hAnsi="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hint="default" w:ascii="宋体" w:hAnsi="宋体" w:cs="Times New Roman"/>
          <w:color w:val="000000" w:themeColor="text1"/>
        </w:rPr>
        <w:t>个工作日内通知纳税人领取办理结果，制作</w:t>
      </w:r>
      <w:r>
        <w:rPr>
          <w:rFonts w:ascii="宋体" w:hAnsi="宋体" w:cs="Times New Roman"/>
          <w:color w:val="000000" w:themeColor="text1"/>
        </w:rPr>
        <w:t>并</w:t>
      </w:r>
      <w:r>
        <w:rPr>
          <w:rFonts w:hint="default" w:ascii="宋体" w:hAnsi="宋体" w:cs="Times New Roman"/>
          <w:color w:val="000000" w:themeColor="text1"/>
        </w:rPr>
        <w:t>发放《税务事项通知书》。电子税务局办理的，将办理结果通过电子税务局反馈给纳税人。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税务机关能够获取相关信息的，可不再报送纸质资料。</w:t>
      </w:r>
    </w:p>
    <w:p>
      <w:pPr>
        <w:wordWrap w:val="0"/>
        <w:spacing w:line="360" w:lineRule="auto"/>
        <w:ind w:firstLine="480"/>
        <w:rPr>
          <w:rFonts w:hint="default" w:ascii="黑体" w:hAnsi="黑体" w:eastAsia="黑体" w:cs="Times New Roman"/>
          <w:bCs/>
        </w:rPr>
      </w:pPr>
      <w:r>
        <w:rPr>
          <w:rFonts w:ascii="黑体" w:hAnsi="黑体" w:eastAsia="黑体" w:cs="Times New Roman"/>
          <w:bCs/>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进入金三操作系统，通过文书受理岗权限，按照【管理服务】—【文书管理】—【退税类】—【录入退抵税费信息】的路径进入功能模块。</w:t>
      </w:r>
    </w:p>
    <w:p>
      <w:pPr>
        <w:wordWrap w:val="0"/>
        <w:spacing w:line="360" w:lineRule="auto"/>
        <w:ind w:firstLine="480"/>
        <w:rPr>
          <w:rFonts w:hint="default" w:cs="Times New Roman"/>
          <w:color w:val="000000" w:themeColor="text1"/>
        </w:rPr>
      </w:pPr>
      <w:r>
        <w:rPr>
          <w:rFonts w:cs="Times New Roman"/>
          <w:color w:val="000000" w:themeColor="text1"/>
        </w:rPr>
        <w:t>2.发放环节</w:t>
      </w:r>
    </w:p>
    <w:p>
      <w:pPr>
        <w:wordWrap w:val="0"/>
        <w:spacing w:line="360" w:lineRule="auto"/>
        <w:ind w:firstLine="480"/>
        <w:rPr>
          <w:rFonts w:hint="default" w:cs="Times New Roman"/>
          <w:color w:val="000000" w:themeColor="text1"/>
        </w:rPr>
      </w:pPr>
      <w:r>
        <w:rPr>
          <w:rFonts w:cs="Times New Roman"/>
          <w:color w:val="000000" w:themeColor="text1"/>
        </w:rPr>
        <w:t>流程审批完成后，进入金三操作系统（文书受理岗权限），在待办任务栏中找到相对应的业务任务，进入发放界面。点击〔打印〕按钮，打印《税务事项通知书（退抵税（费）审批通知）》交给纳税人。</w:t>
      </w:r>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【表证单书填写范本】</w:t>
      </w:r>
    </w:p>
    <w:tbl>
      <w:tblPr>
        <w:tblStyle w:val="18"/>
        <w:tblW w:w="8597" w:type="dxa"/>
        <w:jc w:val="center"/>
        <w:tblLayout w:type="fixed"/>
        <w:tblCellMar>
          <w:top w:w="0" w:type="dxa"/>
          <w:left w:w="0" w:type="dxa"/>
          <w:bottom w:w="0" w:type="dxa"/>
          <w:right w:w="0" w:type="dxa"/>
        </w:tblCellMar>
      </w:tblPr>
      <w:tblGrid>
        <w:gridCol w:w="764"/>
        <w:gridCol w:w="940"/>
        <w:gridCol w:w="1243"/>
        <w:gridCol w:w="1216"/>
        <w:gridCol w:w="123"/>
        <w:gridCol w:w="533"/>
        <w:gridCol w:w="245"/>
        <w:gridCol w:w="607"/>
        <w:gridCol w:w="254"/>
        <w:gridCol w:w="1285"/>
        <w:gridCol w:w="1387"/>
      </w:tblGrid>
      <w:tr>
        <w:tblPrEx>
          <w:tblCellMar>
            <w:top w:w="0" w:type="dxa"/>
            <w:left w:w="0" w:type="dxa"/>
            <w:bottom w:w="0" w:type="dxa"/>
            <w:right w:w="0" w:type="dxa"/>
          </w:tblCellMar>
        </w:tblPrEx>
        <w:trPr>
          <w:trHeight w:val="677" w:hRule="atLeast"/>
          <w:jc w:val="center"/>
        </w:trPr>
        <w:tc>
          <w:tcPr>
            <w:tcW w:w="8597" w:type="dxa"/>
            <w:gridSpan w:val="11"/>
            <w:tcBorders>
              <w:top w:val="nil"/>
              <w:left w:val="nil"/>
              <w:bottom w:val="single" w:color="auto" w:sz="4" w:space="0"/>
              <w:right w:val="nil"/>
            </w:tcBorders>
            <w:noWrap/>
            <w:tcMar>
              <w:top w:w="0" w:type="dxa"/>
              <w:left w:w="108" w:type="dxa"/>
              <w:bottom w:w="0" w:type="dxa"/>
              <w:right w:w="108" w:type="dxa"/>
            </w:tcMar>
            <w:vAlign w:val="center"/>
          </w:tcPr>
          <w:p>
            <w:pPr>
              <w:spacing w:line="400" w:lineRule="exact"/>
              <w:ind w:firstLine="0" w:firstLineChars="0"/>
              <w:jc w:val="center"/>
              <w:rPr>
                <w:rFonts w:hint="default" w:cs="宋体"/>
                <w:b/>
                <w:sz w:val="36"/>
                <w:szCs w:val="36"/>
              </w:rPr>
            </w:pPr>
            <w:r>
              <w:rPr>
                <w:rFonts w:cs="宋体"/>
                <w:b/>
                <w:sz w:val="36"/>
                <w:szCs w:val="36"/>
              </w:rPr>
              <w:t>退（抵）税申请表</w:t>
            </w:r>
          </w:p>
          <w:p>
            <w:pPr>
              <w:spacing w:line="400" w:lineRule="exact"/>
              <w:ind w:firstLine="482"/>
              <w:jc w:val="center"/>
              <w:rPr>
                <w:rFonts w:hint="default" w:cs="Arial"/>
                <w:b/>
                <w:color w:val="0000FF"/>
              </w:rPr>
            </w:pPr>
            <w:r>
              <w:rPr>
                <w:rFonts w:cs="Arial"/>
                <w:b/>
                <w:color w:val="0000FF"/>
              </w:rPr>
              <w:t>（以企业所得税预缴大于年度应纳税额为例）</w:t>
            </w:r>
          </w:p>
          <w:p>
            <w:pPr>
              <w:spacing w:line="400" w:lineRule="exact"/>
              <w:ind w:firstLine="422"/>
              <w:jc w:val="center"/>
              <w:rPr>
                <w:rFonts w:hint="default" w:cs="Arial"/>
                <w:b/>
                <w:color w:val="0000FF"/>
                <w:sz w:val="21"/>
              </w:rPr>
            </w:pPr>
            <w:r>
              <w:rPr>
                <w:rFonts w:cs="Arial"/>
                <w:b/>
                <w:color w:val="0000FF"/>
                <w:sz w:val="21"/>
              </w:rPr>
              <w:t xml:space="preserve">                                                      </w:t>
            </w:r>
            <w:r>
              <w:rPr>
                <w:rFonts w:cs="Arial"/>
                <w:b/>
                <w:sz w:val="21"/>
              </w:rPr>
              <w:t>金额单位：元，至角分</w:t>
            </w:r>
          </w:p>
        </w:tc>
      </w:tr>
      <w:tr>
        <w:tblPrEx>
          <w:tblCellMar>
            <w:top w:w="0" w:type="dxa"/>
            <w:left w:w="0" w:type="dxa"/>
            <w:bottom w:w="0" w:type="dxa"/>
            <w:right w:w="0" w:type="dxa"/>
          </w:tblCellMar>
        </w:tblPrEx>
        <w:trPr>
          <w:trHeight w:val="356" w:hRule="atLeast"/>
          <w:jc w:val="center"/>
        </w:trPr>
        <w:tc>
          <w:tcPr>
            <w:tcW w:w="1704"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申请人名称</w:t>
            </w:r>
          </w:p>
        </w:tc>
        <w:tc>
          <w:tcPr>
            <w:tcW w:w="2459"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color w:val="0000FF"/>
                <w:sz w:val="21"/>
                <w:szCs w:val="21"/>
              </w:rPr>
            </w:pPr>
            <w:r>
              <w:rPr>
                <w:rFonts w:asciiTheme="minorEastAsia" w:hAnsiTheme="minorEastAsia" w:eastAsiaTheme="minorEastAsia"/>
                <w:b/>
                <w:color w:val="0000FF"/>
                <w:szCs w:val="21"/>
              </w:rPr>
              <w:t>××××</w:t>
            </w:r>
          </w:p>
        </w:tc>
        <w:tc>
          <w:tcPr>
            <w:tcW w:w="4434" w:type="dxa"/>
            <w:gridSpan w:val="7"/>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纳税人</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6"/>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hint="default" w:cs="Arial" w:asciiTheme="minorEastAsia" w:hAnsiTheme="minorEastAsia" w:eastAsiaTheme="minorEastAsia"/>
                <w:b/>
                <w:color w:val="0000FF"/>
              </w:rPr>
              <w:t xml:space="preserve">    </w:t>
            </w:r>
            <w:r>
              <w:rPr>
                <w:rFonts w:asciiTheme="minorEastAsia" w:hAnsiTheme="minorEastAsia" w:eastAsiaTheme="minorEastAsia"/>
                <w:sz w:val="21"/>
                <w:szCs w:val="21"/>
              </w:rPr>
              <w:t>扣缴义务人□</w:t>
            </w:r>
          </w:p>
        </w:tc>
      </w:tr>
      <w:tr>
        <w:tblPrEx>
          <w:tblCellMar>
            <w:top w:w="0" w:type="dxa"/>
            <w:left w:w="0" w:type="dxa"/>
            <w:bottom w:w="0" w:type="dxa"/>
            <w:right w:w="0" w:type="dxa"/>
          </w:tblCellMar>
        </w:tblPrEx>
        <w:trPr>
          <w:trHeight w:val="356" w:hRule="atLeast"/>
          <w:jc w:val="center"/>
        </w:trPr>
        <w:tc>
          <w:tcPr>
            <w:tcW w:w="1704"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纳税人名称</w:t>
            </w:r>
          </w:p>
        </w:tc>
        <w:tc>
          <w:tcPr>
            <w:tcW w:w="2459"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cs="Arial" w:asciiTheme="minorEastAsia" w:hAnsiTheme="minorEastAsia" w:eastAsiaTheme="minorEastAsia"/>
                <w:b/>
                <w:color w:val="0000FF"/>
                <w:sz w:val="21"/>
              </w:rPr>
            </w:pPr>
            <w:r>
              <w:rPr>
                <w:rFonts w:asciiTheme="minorEastAsia" w:hAnsiTheme="minorEastAsia" w:eastAsiaTheme="minorEastAsia"/>
                <w:b/>
                <w:color w:val="0000FF"/>
                <w:szCs w:val="21"/>
              </w:rPr>
              <w:t>××××</w:t>
            </w:r>
          </w:p>
        </w:tc>
        <w:tc>
          <w:tcPr>
            <w:tcW w:w="1508"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纳税人识别号</w:t>
            </w:r>
          </w:p>
        </w:tc>
        <w:tc>
          <w:tcPr>
            <w:tcW w:w="2926"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cs="Arial" w:asciiTheme="minorEastAsia" w:hAnsiTheme="minorEastAsia" w:eastAsiaTheme="minorEastAsia"/>
                <w:b/>
                <w:color w:val="0000FF"/>
                <w:sz w:val="21"/>
              </w:rPr>
            </w:pPr>
            <w:r>
              <w:rPr>
                <w:rFonts w:cs="Arial" w:asciiTheme="minorEastAsia" w:hAnsiTheme="minorEastAsia" w:eastAsiaTheme="minorEastAsia"/>
                <w:b/>
                <w:color w:val="0000FF"/>
                <w:sz w:val="21"/>
              </w:rPr>
              <w:t>税务登记证号</w:t>
            </w:r>
          </w:p>
          <w:p>
            <w:pPr>
              <w:spacing w:line="400" w:lineRule="exact"/>
              <w:ind w:firstLine="0" w:firstLineChars="0"/>
              <w:jc w:val="center"/>
              <w:rPr>
                <w:rFonts w:hint="default" w:asciiTheme="minorEastAsia" w:hAnsiTheme="minorEastAsia" w:eastAsiaTheme="minorEastAsia"/>
                <w:sz w:val="21"/>
                <w:szCs w:val="21"/>
              </w:rPr>
            </w:pPr>
            <w:r>
              <w:rPr>
                <w:rFonts w:cs="Arial" w:asciiTheme="minorEastAsia" w:hAnsiTheme="minorEastAsia" w:eastAsiaTheme="minorEastAsia"/>
                <w:b/>
                <w:color w:val="0000FF"/>
                <w:sz w:val="21"/>
              </w:rPr>
              <w:t>（统一社会信用代码）</w:t>
            </w:r>
          </w:p>
        </w:tc>
      </w:tr>
      <w:tr>
        <w:tblPrEx>
          <w:tblCellMar>
            <w:top w:w="0" w:type="dxa"/>
            <w:left w:w="0" w:type="dxa"/>
            <w:bottom w:w="0" w:type="dxa"/>
            <w:right w:w="0" w:type="dxa"/>
          </w:tblCellMar>
        </w:tblPrEx>
        <w:trPr>
          <w:trHeight w:val="356" w:hRule="atLeast"/>
          <w:jc w:val="center"/>
        </w:trPr>
        <w:tc>
          <w:tcPr>
            <w:tcW w:w="1704"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联系人姓名</w:t>
            </w:r>
          </w:p>
        </w:tc>
        <w:tc>
          <w:tcPr>
            <w:tcW w:w="2459"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color w:val="0000FF"/>
                <w:sz w:val="21"/>
                <w:szCs w:val="21"/>
              </w:rPr>
            </w:pPr>
            <w:r>
              <w:rPr>
                <w:rFonts w:asciiTheme="minorEastAsia" w:hAnsiTheme="minorEastAsia" w:eastAsiaTheme="minorEastAsia"/>
                <w:b/>
                <w:color w:val="0000FF"/>
                <w:szCs w:val="21"/>
              </w:rPr>
              <w:t>某某</w:t>
            </w:r>
          </w:p>
        </w:tc>
        <w:tc>
          <w:tcPr>
            <w:tcW w:w="1508"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联系电话</w:t>
            </w:r>
          </w:p>
        </w:tc>
        <w:tc>
          <w:tcPr>
            <w:tcW w:w="2926"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color w:val="0000FF"/>
                <w:sz w:val="21"/>
                <w:szCs w:val="21"/>
              </w:rPr>
            </w:pPr>
            <w:r>
              <w:rPr>
                <w:rFonts w:asciiTheme="minorEastAsia" w:hAnsiTheme="minorEastAsia" w:eastAsiaTheme="minorEastAsia"/>
                <w:b/>
                <w:color w:val="0000FF"/>
                <w:szCs w:val="21"/>
              </w:rPr>
              <w:t>×××××××××××</w:t>
            </w:r>
          </w:p>
        </w:tc>
      </w:tr>
      <w:tr>
        <w:tblPrEx>
          <w:tblCellMar>
            <w:top w:w="0" w:type="dxa"/>
            <w:left w:w="0" w:type="dxa"/>
            <w:bottom w:w="0" w:type="dxa"/>
            <w:right w:w="0" w:type="dxa"/>
          </w:tblCellMar>
        </w:tblPrEx>
        <w:trPr>
          <w:trHeight w:val="356" w:hRule="atLeast"/>
          <w:jc w:val="center"/>
        </w:trPr>
        <w:tc>
          <w:tcPr>
            <w:tcW w:w="1704"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申请退税类型</w:t>
            </w:r>
          </w:p>
        </w:tc>
        <w:tc>
          <w:tcPr>
            <w:tcW w:w="6893" w:type="dxa"/>
            <w:gridSpan w:val="9"/>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汇算结算退税</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6"/>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Arial" w:asciiTheme="minorEastAsia" w:hAnsiTheme="minorEastAsia" w:eastAsiaTheme="minorEastAsia"/>
                <w:b/>
                <w:color w:val="0000FF"/>
              </w:rPr>
              <w:t xml:space="preserve">  </w:t>
            </w:r>
            <w:r>
              <w:rPr>
                <w:rFonts w:asciiTheme="minorEastAsia" w:hAnsiTheme="minorEastAsia" w:eastAsiaTheme="minorEastAsia"/>
                <w:sz w:val="21"/>
                <w:szCs w:val="21"/>
              </w:rPr>
              <w:t>误收退税□  留抵退税□</w:t>
            </w:r>
          </w:p>
        </w:tc>
      </w:tr>
      <w:tr>
        <w:tblPrEx>
          <w:tblCellMar>
            <w:top w:w="0" w:type="dxa"/>
            <w:left w:w="0" w:type="dxa"/>
            <w:bottom w:w="0" w:type="dxa"/>
            <w:right w:w="0" w:type="dxa"/>
          </w:tblCellMar>
        </w:tblPrEx>
        <w:trPr>
          <w:trHeight w:val="356" w:hRule="atLeast"/>
          <w:jc w:val="center"/>
        </w:trPr>
        <w:tc>
          <w:tcPr>
            <w:tcW w:w="8597" w:type="dxa"/>
            <w:gridSpan w:val="11"/>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一、汇算结算、误收税款退税</w:t>
            </w:r>
          </w:p>
        </w:tc>
      </w:tr>
      <w:tr>
        <w:tblPrEx>
          <w:tblCellMar>
            <w:top w:w="0" w:type="dxa"/>
            <w:left w:w="0" w:type="dxa"/>
            <w:bottom w:w="0" w:type="dxa"/>
            <w:right w:w="0" w:type="dxa"/>
          </w:tblCellMar>
        </w:tblPrEx>
        <w:trPr>
          <w:trHeight w:val="373" w:hRule="atLeast"/>
          <w:jc w:val="center"/>
        </w:trPr>
        <w:tc>
          <w:tcPr>
            <w:tcW w:w="764"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spacing w:line="400" w:lineRule="exact"/>
              <w:ind w:left="113" w:right="113"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原完税情况</w:t>
            </w:r>
          </w:p>
        </w:tc>
        <w:tc>
          <w:tcPr>
            <w:tcW w:w="940" w:type="dxa"/>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税种</w:t>
            </w:r>
          </w:p>
        </w:tc>
        <w:tc>
          <w:tcPr>
            <w:tcW w:w="124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品目名称</w:t>
            </w:r>
          </w:p>
        </w:tc>
        <w:tc>
          <w:tcPr>
            <w:tcW w:w="297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税款所属时期</w:t>
            </w:r>
          </w:p>
        </w:tc>
        <w:tc>
          <w:tcPr>
            <w:tcW w:w="1285"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税票号码</w:t>
            </w:r>
          </w:p>
        </w:tc>
        <w:tc>
          <w:tcPr>
            <w:tcW w:w="1387"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实缴金额</w:t>
            </w:r>
          </w:p>
        </w:tc>
      </w:tr>
      <w:tr>
        <w:tblPrEx>
          <w:tblCellMar>
            <w:top w:w="0" w:type="dxa"/>
            <w:left w:w="0" w:type="dxa"/>
            <w:bottom w:w="0" w:type="dxa"/>
            <w:right w:w="0" w:type="dxa"/>
          </w:tblCellMar>
        </w:tblPrEx>
        <w:trPr>
          <w:trHeight w:val="373" w:hRule="atLeast"/>
          <w:jc w:val="center"/>
        </w:trPr>
        <w:tc>
          <w:tcPr>
            <w:tcW w:w="764"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rPr>
                <w:rFonts w:hint="default" w:asciiTheme="minorEastAsia" w:hAnsiTheme="minorEastAsia" w:eastAsiaTheme="minorEastAsia"/>
                <w:sz w:val="21"/>
                <w:szCs w:val="21"/>
              </w:rPr>
            </w:pPr>
          </w:p>
        </w:tc>
        <w:tc>
          <w:tcPr>
            <w:tcW w:w="940" w:type="dxa"/>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jc w:val="center"/>
              <w:rPr>
                <w:rFonts w:hint="default" w:asciiTheme="minorEastAsia" w:hAnsiTheme="minorEastAsia" w:eastAsiaTheme="minorEastAsia"/>
                <w:color w:val="0000FF"/>
                <w:sz w:val="21"/>
                <w:szCs w:val="21"/>
              </w:rPr>
            </w:pPr>
            <w:r>
              <w:rPr>
                <w:rFonts w:asciiTheme="minorEastAsia" w:hAnsiTheme="minorEastAsia" w:eastAsiaTheme="minorEastAsia"/>
                <w:b/>
                <w:bCs/>
                <w:color w:val="0000FF"/>
                <w:sz w:val="21"/>
              </w:rPr>
              <w:t>企业所得税</w:t>
            </w:r>
          </w:p>
        </w:tc>
        <w:tc>
          <w:tcPr>
            <w:tcW w:w="124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sz w:val="21"/>
                <w:szCs w:val="21"/>
              </w:rPr>
            </w:pPr>
            <w:r>
              <w:rPr>
                <w:rFonts w:asciiTheme="minorEastAsia" w:hAnsiTheme="minorEastAsia" w:eastAsiaTheme="minorEastAsia"/>
                <w:b/>
                <w:bCs/>
                <w:color w:val="0000FF"/>
                <w:sz w:val="21"/>
              </w:rPr>
              <w:t>应纳税所得额</w:t>
            </w:r>
          </w:p>
        </w:tc>
        <w:tc>
          <w:tcPr>
            <w:tcW w:w="297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color w:val="0000FF"/>
                <w:sz w:val="21"/>
              </w:rPr>
            </w:pPr>
            <w:r>
              <w:rPr>
                <w:rFonts w:asciiTheme="minorEastAsia" w:hAnsiTheme="minorEastAsia" w:eastAsiaTheme="minorEastAsia"/>
                <w:b/>
                <w:bCs/>
                <w:color w:val="0000FF"/>
                <w:sz w:val="21"/>
              </w:rPr>
              <w:t>××××年××月××日</w:t>
            </w:r>
          </w:p>
          <w:p>
            <w:pPr>
              <w:spacing w:line="400" w:lineRule="exact"/>
              <w:ind w:firstLine="0" w:firstLineChars="0"/>
              <w:jc w:val="center"/>
              <w:rPr>
                <w:rFonts w:hint="default" w:asciiTheme="minorEastAsia" w:hAnsiTheme="minorEastAsia" w:eastAsiaTheme="minorEastAsia"/>
                <w:color w:val="0000FF"/>
                <w:sz w:val="21"/>
                <w:szCs w:val="21"/>
              </w:rPr>
            </w:pPr>
            <w:r>
              <w:rPr>
                <w:rFonts w:asciiTheme="minorEastAsia" w:hAnsiTheme="minorEastAsia" w:eastAsiaTheme="minorEastAsia"/>
                <w:b/>
                <w:bCs/>
                <w:color w:val="0000FF"/>
                <w:sz w:val="21"/>
              </w:rPr>
              <w:t>至××××年××月××日</w:t>
            </w:r>
          </w:p>
        </w:tc>
        <w:tc>
          <w:tcPr>
            <w:tcW w:w="1285"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sz w:val="21"/>
                <w:szCs w:val="21"/>
              </w:rPr>
            </w:pPr>
            <w:r>
              <w:rPr>
                <w:rFonts w:asciiTheme="minorEastAsia" w:hAnsiTheme="minorEastAsia" w:eastAsiaTheme="minorEastAsia"/>
                <w:b/>
                <w:bCs/>
                <w:color w:val="0000FF"/>
                <w:sz w:val="21"/>
              </w:rPr>
              <w:t>××××</w:t>
            </w:r>
          </w:p>
        </w:tc>
        <w:tc>
          <w:tcPr>
            <w:tcW w:w="1387"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sz w:val="21"/>
                <w:szCs w:val="21"/>
              </w:rPr>
            </w:pPr>
            <w:r>
              <w:rPr>
                <w:rFonts w:asciiTheme="minorEastAsia" w:hAnsiTheme="minorEastAsia" w:eastAsiaTheme="minorEastAsia"/>
                <w:b/>
                <w:bCs/>
                <w:color w:val="0000FF"/>
                <w:sz w:val="21"/>
              </w:rPr>
              <w:t>××××元</w:t>
            </w:r>
          </w:p>
        </w:tc>
      </w:tr>
      <w:tr>
        <w:tblPrEx>
          <w:tblCellMar>
            <w:top w:w="0" w:type="dxa"/>
            <w:left w:w="0" w:type="dxa"/>
            <w:bottom w:w="0" w:type="dxa"/>
            <w:right w:w="0" w:type="dxa"/>
          </w:tblCellMar>
        </w:tblPrEx>
        <w:trPr>
          <w:trHeight w:val="373" w:hRule="atLeast"/>
          <w:jc w:val="center"/>
        </w:trPr>
        <w:tc>
          <w:tcPr>
            <w:tcW w:w="764"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rPr>
                <w:rFonts w:hint="default" w:asciiTheme="minorEastAsia" w:hAnsiTheme="minorEastAsia" w:eastAsiaTheme="minorEastAsia"/>
                <w:sz w:val="21"/>
                <w:szCs w:val="21"/>
              </w:rPr>
            </w:pPr>
          </w:p>
        </w:tc>
        <w:tc>
          <w:tcPr>
            <w:tcW w:w="940" w:type="dxa"/>
            <w:tcBorders>
              <w:top w:val="single" w:color="auto" w:sz="4" w:space="0"/>
              <w:left w:val="single" w:color="auto" w:sz="4" w:space="0"/>
              <w:bottom w:val="single" w:color="auto" w:sz="4" w:space="0"/>
              <w:right w:val="single" w:color="auto" w:sz="4" w:space="0"/>
            </w:tcBorders>
            <w:noWrap/>
          </w:tcPr>
          <w:p>
            <w:pPr>
              <w:spacing w:line="400" w:lineRule="exact"/>
              <w:ind w:firstLine="0" w:firstLineChars="0"/>
              <w:rPr>
                <w:rFonts w:hint="default" w:asciiTheme="minorEastAsia" w:hAnsiTheme="minorEastAsia" w:eastAsiaTheme="minorEastAsia"/>
                <w:sz w:val="21"/>
                <w:szCs w:val="21"/>
              </w:rPr>
            </w:pPr>
          </w:p>
        </w:tc>
        <w:tc>
          <w:tcPr>
            <w:tcW w:w="124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297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1285"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1387"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r>
      <w:tr>
        <w:tblPrEx>
          <w:tblCellMar>
            <w:top w:w="0" w:type="dxa"/>
            <w:left w:w="0" w:type="dxa"/>
            <w:bottom w:w="0" w:type="dxa"/>
            <w:right w:w="0" w:type="dxa"/>
          </w:tblCellMar>
        </w:tblPrEx>
        <w:trPr>
          <w:trHeight w:val="373" w:hRule="atLeast"/>
          <w:jc w:val="center"/>
        </w:trPr>
        <w:tc>
          <w:tcPr>
            <w:tcW w:w="764"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rPr>
                <w:rFonts w:hint="default" w:asciiTheme="minorEastAsia" w:hAnsiTheme="minorEastAsia" w:eastAsiaTheme="minorEastAsia"/>
                <w:sz w:val="21"/>
                <w:szCs w:val="21"/>
              </w:rPr>
            </w:pPr>
          </w:p>
        </w:tc>
        <w:tc>
          <w:tcPr>
            <w:tcW w:w="940" w:type="dxa"/>
            <w:tcBorders>
              <w:top w:val="single" w:color="auto" w:sz="4" w:space="0"/>
              <w:left w:val="single" w:color="auto" w:sz="4" w:space="0"/>
              <w:bottom w:val="single" w:color="auto" w:sz="4" w:space="0"/>
              <w:right w:val="single" w:color="auto" w:sz="4" w:space="0"/>
            </w:tcBorders>
            <w:noWrap/>
          </w:tcPr>
          <w:p>
            <w:pPr>
              <w:spacing w:line="400" w:lineRule="exact"/>
              <w:ind w:firstLine="0" w:firstLineChars="0"/>
              <w:rPr>
                <w:rFonts w:hint="default" w:asciiTheme="minorEastAsia" w:hAnsiTheme="minorEastAsia" w:eastAsiaTheme="minorEastAsia"/>
                <w:sz w:val="21"/>
                <w:szCs w:val="21"/>
              </w:rPr>
            </w:pPr>
          </w:p>
        </w:tc>
        <w:tc>
          <w:tcPr>
            <w:tcW w:w="124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r>
              <w:rPr>
                <w:rFonts w:hint="default"/>
              </w:rPr>
              <w:pict>
                <v:shape id="文本框 44" o:spid="_x0000_s1037" o:spt="202" type="#_x0000_t202" style="position:absolute;left:0pt;margin-left:24.75pt;margin-top:2.2pt;height:35.45pt;width:230.6pt;z-index:251664384;mso-width-relative:page;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">
                  <v:path/>
                  <v:fill focussize="0,0"/>
                  <v:stroke joinstyle="miter"/>
                  <v:imagedata o:title=""/>
                  <o:lock v:ext="edit"/>
                  <v:textbox>
                    <w:txbxContent>
                      <w:p>
                        <w:pPr>
                          <w:ind w:firstLine="442" w:firstLineChars="100"/>
                          <w:rPr>
                            <w:rFonts w:hint="default"/>
                            <w:b/>
                            <w:color w:val="0000FF"/>
                            <w:sz w:val="44"/>
                          </w:rPr>
                        </w:pPr>
                        <w:r>
                          <w:rPr>
                            <w:b/>
                            <w:color w:val="0000FF"/>
                            <w:sz w:val="44"/>
                          </w:rPr>
                          <w:t>根据实际情况填写</w:t>
                        </w:r>
                      </w:p>
                    </w:txbxContent>
                  </v:textbox>
                </v:shape>
              </w:pict>
            </w:r>
          </w:p>
        </w:tc>
        <w:tc>
          <w:tcPr>
            <w:tcW w:w="297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1285"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1387"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r>
      <w:tr>
        <w:tblPrEx>
          <w:tblCellMar>
            <w:top w:w="0" w:type="dxa"/>
            <w:left w:w="0" w:type="dxa"/>
            <w:bottom w:w="0" w:type="dxa"/>
            <w:right w:w="0" w:type="dxa"/>
          </w:tblCellMar>
        </w:tblPrEx>
        <w:trPr>
          <w:trHeight w:val="356" w:hRule="atLeast"/>
          <w:jc w:val="center"/>
        </w:trPr>
        <w:tc>
          <w:tcPr>
            <w:tcW w:w="764"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rPr>
                <w:rFonts w:hint="default" w:asciiTheme="minorEastAsia" w:hAnsiTheme="minorEastAsia" w:eastAsiaTheme="minorEastAsia"/>
                <w:sz w:val="21"/>
                <w:szCs w:val="21"/>
              </w:rPr>
            </w:pPr>
          </w:p>
        </w:tc>
        <w:tc>
          <w:tcPr>
            <w:tcW w:w="940" w:type="dxa"/>
            <w:tcBorders>
              <w:top w:val="single" w:color="auto" w:sz="4" w:space="0"/>
              <w:left w:val="single" w:color="auto" w:sz="4" w:space="0"/>
              <w:bottom w:val="single" w:color="auto" w:sz="4" w:space="0"/>
              <w:right w:val="single" w:color="auto" w:sz="4" w:space="0"/>
            </w:tcBorders>
            <w:noWrap/>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合计（小写）</w:t>
            </w:r>
          </w:p>
        </w:tc>
        <w:tc>
          <w:tcPr>
            <w:tcW w:w="124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297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1285"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p>
        </w:tc>
        <w:tc>
          <w:tcPr>
            <w:tcW w:w="1387"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right="-204" w:rightChars="-85" w:firstLine="0" w:firstLineChars="0"/>
              <w:rPr>
                <w:rFonts w:hint="default" w:asciiTheme="minorEastAsia" w:hAnsiTheme="minorEastAsia" w:eastAsiaTheme="minorEastAsia"/>
                <w:sz w:val="21"/>
                <w:szCs w:val="21"/>
              </w:rPr>
            </w:pPr>
            <w:r>
              <w:rPr>
                <w:rFonts w:asciiTheme="minorEastAsia" w:hAnsiTheme="minorEastAsia" w:eastAsiaTheme="minorEastAsia"/>
                <w:b/>
                <w:bCs/>
                <w:color w:val="0000FF"/>
                <w:sz w:val="21"/>
              </w:rPr>
              <w:t>××××元</w:t>
            </w:r>
          </w:p>
        </w:tc>
      </w:tr>
      <w:tr>
        <w:tblPrEx>
          <w:tblCellMar>
            <w:top w:w="0" w:type="dxa"/>
            <w:left w:w="0" w:type="dxa"/>
            <w:bottom w:w="0" w:type="dxa"/>
            <w:right w:w="0" w:type="dxa"/>
          </w:tblCellMar>
        </w:tblPrEx>
        <w:trPr>
          <w:trHeight w:val="373" w:hRule="atLeast"/>
          <w:jc w:val="center"/>
        </w:trPr>
        <w:tc>
          <w:tcPr>
            <w:tcW w:w="1704"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申请退税金额（小写）</w:t>
            </w:r>
          </w:p>
        </w:tc>
        <w:tc>
          <w:tcPr>
            <w:tcW w:w="6893" w:type="dxa"/>
            <w:gridSpan w:val="9"/>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b/>
                <w:bCs/>
                <w:color w:val="0000FF"/>
                <w:sz w:val="21"/>
              </w:rPr>
              <w:t>××××元</w:t>
            </w:r>
          </w:p>
        </w:tc>
      </w:tr>
      <w:tr>
        <w:tblPrEx>
          <w:tblCellMar>
            <w:top w:w="0" w:type="dxa"/>
            <w:left w:w="0" w:type="dxa"/>
            <w:bottom w:w="0" w:type="dxa"/>
            <w:right w:w="0" w:type="dxa"/>
          </w:tblCellMar>
        </w:tblPrEx>
        <w:trPr>
          <w:trHeight w:val="373" w:hRule="atLeast"/>
          <w:jc w:val="center"/>
        </w:trPr>
        <w:tc>
          <w:tcPr>
            <w:tcW w:w="8597" w:type="dxa"/>
            <w:gridSpan w:val="11"/>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color w:val="0000FF"/>
                <w:sz w:val="21"/>
              </w:rPr>
            </w:pPr>
            <w:r>
              <w:rPr>
                <w:rFonts w:asciiTheme="minorEastAsia" w:hAnsiTheme="minorEastAsia" w:eastAsiaTheme="minorEastAsia"/>
                <w:b/>
                <w:bCs/>
                <w:sz w:val="21"/>
              </w:rPr>
              <w:t>二、留抵退税</w:t>
            </w: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sz w:val="21"/>
              </w:rPr>
            </w:pPr>
            <w:r>
              <w:rPr>
                <w:rFonts w:asciiTheme="minorEastAsia" w:hAnsiTheme="minorEastAsia" w:eastAsiaTheme="minorEastAsia"/>
                <w:sz w:val="21"/>
              </w:rPr>
              <w:t>申请退税前 36 个月未发生骗取留抵退税、出口退税或虚开增值税专用发票情形</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r>
              <w:rPr>
                <w:rFonts w:asciiTheme="minorEastAsia" w:hAnsiTheme="minorEastAsia" w:eastAsiaTheme="minorEastAsia"/>
                <w:sz w:val="21"/>
              </w:rPr>
              <w:t>是□ 否□</w:t>
            </w: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 xml:space="preserve">申请退税前 36 个月未因偷税被税务机关处罚两次及以上 </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r>
              <w:rPr>
                <w:rFonts w:asciiTheme="minorEastAsia" w:hAnsiTheme="minorEastAsia" w:eastAsiaTheme="minorEastAsia"/>
                <w:sz w:val="21"/>
              </w:rPr>
              <w:t>是□ 否□</w:t>
            </w: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自 2019 年 4 月 1 日起未享受即征即退、先征后返（退）政策</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r>
              <w:rPr>
                <w:rFonts w:asciiTheme="minorEastAsia" w:hAnsiTheme="minorEastAsia" w:eastAsiaTheme="minorEastAsia"/>
                <w:sz w:val="21"/>
              </w:rPr>
              <w:t>是□ 否□</w:t>
            </w: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出口货物劳务、发生跨境应税行为，适用免抵退税办法</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r>
              <w:rPr>
                <w:rFonts w:asciiTheme="minorEastAsia" w:hAnsiTheme="minorEastAsia" w:eastAsiaTheme="minorEastAsia"/>
                <w:sz w:val="21"/>
              </w:rPr>
              <w:t>是□ 否□</w:t>
            </w: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连续六个月（按季纳税的，连续两个季度）增量留抵税额均大于零的起止时间</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843" w:firstLineChars="400"/>
              <w:rPr>
                <w:rFonts w:hint="default" w:asciiTheme="minorEastAsia" w:hAnsiTheme="minorEastAsia" w:eastAsiaTheme="minorEastAsia"/>
                <w:b/>
                <w:bCs/>
                <w:sz w:val="21"/>
              </w:rPr>
            </w:pPr>
            <w:r>
              <w:rPr>
                <w:rFonts w:asciiTheme="minorEastAsia" w:hAnsiTheme="minorEastAsia" w:eastAsiaTheme="minorEastAsia"/>
                <w:b/>
                <w:bCs/>
                <w:sz w:val="21"/>
              </w:rPr>
              <w:t xml:space="preserve">年  </w:t>
            </w:r>
            <w:r>
              <w:rPr>
                <w:rFonts w:hint="default" w:asciiTheme="minorEastAsia" w:hAnsiTheme="minorEastAsia" w:eastAsiaTheme="minorEastAsia"/>
                <w:b/>
                <w:bCs/>
                <w:sz w:val="21"/>
              </w:rPr>
              <w:t xml:space="preserve"> </w:t>
            </w:r>
            <w:r>
              <w:rPr>
                <w:rFonts w:asciiTheme="minorEastAsia" w:hAnsiTheme="minorEastAsia" w:eastAsiaTheme="minorEastAsia"/>
                <w:b/>
                <w:bCs/>
                <w:sz w:val="21"/>
              </w:rPr>
              <w:t xml:space="preserve"> 月至 </w:t>
            </w:r>
            <w:r>
              <w:rPr>
                <w:rFonts w:hint="default" w:asciiTheme="minorEastAsia" w:hAnsiTheme="minorEastAsia" w:eastAsiaTheme="minorEastAsia"/>
                <w:b/>
                <w:bCs/>
                <w:sz w:val="21"/>
              </w:rPr>
              <w:t xml:space="preserve">   </w:t>
            </w:r>
            <w:r>
              <w:rPr>
                <w:rFonts w:asciiTheme="minorEastAsia" w:hAnsiTheme="minorEastAsia" w:eastAsiaTheme="minorEastAsia"/>
                <w:b/>
                <w:bCs/>
                <w:sz w:val="21"/>
              </w:rPr>
              <w:t xml:space="preserve">年   </w:t>
            </w:r>
            <w:r>
              <w:rPr>
                <w:rFonts w:hint="default" w:asciiTheme="minorEastAsia" w:hAnsiTheme="minorEastAsia" w:eastAsiaTheme="minorEastAsia"/>
                <w:b/>
                <w:bCs/>
                <w:sz w:val="21"/>
              </w:rPr>
              <w:t xml:space="preserve"> </w:t>
            </w:r>
            <w:r>
              <w:rPr>
                <w:rFonts w:asciiTheme="minorEastAsia" w:hAnsiTheme="minorEastAsia" w:eastAsiaTheme="minorEastAsia"/>
                <w:b/>
                <w:bCs/>
                <w:sz w:val="21"/>
              </w:rPr>
              <w:t>月</w:t>
            </w: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本期已申报免抵退税应退税额</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 xml:space="preserve">2019 年 4 月至申请退税前一税款所属期已抵扣的增值税专用发票（含税控机动车销售统一发票）注明的增值税额 </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2019 年 4 月至申请退税前一税款所属期已抵扣的海关进口增值税专用缴款书注明的增值税额</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2019 年 4 月至申请退税前一税款所属期已抵扣的解缴税款完税凭证注明的增值税额</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left"/>
              <w:rPr>
                <w:rFonts w:hint="default" w:asciiTheme="minorEastAsia" w:hAnsiTheme="minorEastAsia" w:eastAsiaTheme="minorEastAsia"/>
                <w:b/>
                <w:bCs/>
                <w:sz w:val="21"/>
              </w:rPr>
            </w:pPr>
            <w:r>
              <w:rPr>
                <w:rFonts w:asciiTheme="minorEastAsia" w:hAnsiTheme="minorEastAsia" w:eastAsiaTheme="minorEastAsia"/>
                <w:sz w:val="21"/>
              </w:rPr>
              <w:t xml:space="preserve">2019 年 4 月至申请退税前一税款所属期全部已抵扣的进项税额 </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p>
        </w:tc>
      </w:tr>
      <w:tr>
        <w:tblPrEx>
          <w:tblCellMar>
            <w:top w:w="0" w:type="dxa"/>
            <w:left w:w="0" w:type="dxa"/>
            <w:bottom w:w="0" w:type="dxa"/>
            <w:right w:w="0" w:type="dxa"/>
          </w:tblCellMar>
        </w:tblPrEx>
        <w:trPr>
          <w:trHeight w:val="373"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b/>
                <w:bCs/>
                <w:sz w:val="21"/>
              </w:rPr>
            </w:pPr>
            <w:r>
              <w:rPr>
                <w:rFonts w:asciiTheme="minorEastAsia" w:hAnsiTheme="minorEastAsia" w:eastAsiaTheme="minorEastAsia"/>
                <w:sz w:val="21"/>
              </w:rPr>
              <w:t>本期申请退还的增量留抵税额</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b/>
                <w:bCs/>
                <w:sz w:val="21"/>
              </w:rPr>
            </w:pPr>
          </w:p>
        </w:tc>
      </w:tr>
      <w:tr>
        <w:tblPrEx>
          <w:tblCellMar>
            <w:top w:w="0" w:type="dxa"/>
            <w:left w:w="0" w:type="dxa"/>
            <w:bottom w:w="0" w:type="dxa"/>
            <w:right w:w="0" w:type="dxa"/>
          </w:tblCellMar>
        </w:tblPrEx>
        <w:trPr>
          <w:cantSplit/>
          <w:trHeight w:val="2520" w:hRule="atLeast"/>
          <w:jc w:val="center"/>
        </w:trPr>
        <w:tc>
          <w:tcPr>
            <w:tcW w:w="764"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退税申请理由</w:t>
            </w:r>
          </w:p>
        </w:tc>
        <w:tc>
          <w:tcPr>
            <w:tcW w:w="7833" w:type="dxa"/>
            <w:gridSpan w:val="10"/>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720" w:firstLineChars="300"/>
              <w:rPr>
                <w:rFonts w:hint="default" w:asciiTheme="minorEastAsia" w:hAnsiTheme="minorEastAsia" w:eastAsiaTheme="minorEastAsia"/>
                <w:b/>
                <w:color w:val="0000FF"/>
                <w:sz w:val="21"/>
                <w:szCs w:val="21"/>
              </w:rPr>
            </w:pPr>
            <w:r>
              <w:rPr>
                <w:rFonts w:asciiTheme="minorEastAsia" w:hAnsiTheme="minorEastAsia" w:eastAsiaTheme="minorEastAsia"/>
              </w:rPr>
              <w:drawing>
                <wp:anchor distT="0" distB="0" distL="114300" distR="114300" simplePos="0" relativeHeight="251653120" behindDoc="0" locked="0" layoutInCell="1" allowOverlap="1">
                  <wp:simplePos x="0" y="0"/>
                  <wp:positionH relativeFrom="column">
                    <wp:posOffset>2406650</wp:posOffset>
                  </wp:positionH>
                  <wp:positionV relativeFrom="paragraph">
                    <wp:posOffset>464820</wp:posOffset>
                  </wp:positionV>
                  <wp:extent cx="1143000" cy="1066800"/>
                  <wp:effectExtent l="0" t="0" r="0" b="0"/>
                  <wp:wrapNone/>
                  <wp:docPr id="4" name="图片 33"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3" descr="3595913661474679823015"/>
                          <pic:cNvPicPr>
                            <a:picLocks noChangeAspect="1"/>
                          </pic:cNvPicPr>
                        </pic:nvPicPr>
                        <pic:blipFill>
                          <a:blip r:embed="rId14"/>
                          <a:stretch>
                            <a:fillRect/>
                          </a:stretch>
                        </pic:blipFill>
                        <pic:spPr>
                          <a:xfrm>
                            <a:off x="0" y="0"/>
                            <a:ext cx="1143000" cy="1066800"/>
                          </a:xfrm>
                          <a:prstGeom prst="rect">
                            <a:avLst/>
                          </a:prstGeom>
                          <a:noFill/>
                          <a:ln>
                            <a:noFill/>
                          </a:ln>
                        </pic:spPr>
                      </pic:pic>
                    </a:graphicData>
                  </a:graphic>
                </wp:anchor>
              </w:drawing>
            </w:r>
            <w:r>
              <w:rPr>
                <w:rFonts w:asciiTheme="minorEastAsia" w:hAnsiTheme="minorEastAsia" w:eastAsiaTheme="minorEastAsia"/>
                <w:b/>
                <w:color w:val="0000FF"/>
                <w:sz w:val="21"/>
                <w:szCs w:val="21"/>
              </w:rPr>
              <w:t>由于XXXX原因，例如企业所得税分季预缴税额大于年度汇算清缴应纳税额，可以申请该事项办理退税。（如果本次退税账户与原缴税账户不一致，需在此说明）</w:t>
            </w: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right="840" w:firstLine="0" w:firstLineChars="0"/>
              <w:jc w:val="right"/>
              <w:rPr>
                <w:rFonts w:hint="default" w:asciiTheme="minorEastAsia" w:hAnsiTheme="minorEastAsia" w:eastAsiaTheme="minorEastAsia"/>
                <w:sz w:val="21"/>
                <w:szCs w:val="21"/>
              </w:rPr>
            </w:pPr>
            <w:r>
              <w:rPr>
                <w:rFonts w:asciiTheme="minorEastAsia" w:hAnsiTheme="minorEastAsia" w:eastAsiaTheme="minorEastAsia"/>
                <w:sz w:val="21"/>
                <w:szCs w:val="21"/>
              </w:rPr>
              <w:t>经办人：</w:t>
            </w:r>
            <w:r>
              <w:rPr>
                <w:rFonts w:asciiTheme="minorEastAsia" w:hAnsiTheme="minorEastAsia" w:eastAsiaTheme="minorEastAsia"/>
                <w:b/>
                <w:color w:val="0000FF"/>
                <w:sz w:val="21"/>
                <w:szCs w:val="21"/>
              </w:rPr>
              <w:t>某某</w:t>
            </w:r>
            <w:r>
              <w:rPr>
                <w:rFonts w:asciiTheme="minorEastAsia" w:hAnsiTheme="minorEastAsia" w:eastAsiaTheme="minorEastAsia"/>
                <w:sz w:val="21"/>
                <w:szCs w:val="21"/>
              </w:rPr>
              <w:t xml:space="preserve">（公章）       </w:t>
            </w:r>
          </w:p>
          <w:p>
            <w:pPr>
              <w:spacing w:line="400" w:lineRule="exact"/>
              <w:ind w:right="840" w:firstLine="0" w:firstLineChars="0"/>
              <w:jc w:val="right"/>
              <w:rPr>
                <w:rFonts w:hint="default" w:asciiTheme="minorEastAsia" w:hAnsiTheme="minorEastAsia" w:eastAsiaTheme="minorEastAsia"/>
                <w:sz w:val="21"/>
                <w:szCs w:val="21"/>
              </w:rPr>
            </w:pPr>
            <w:r>
              <w:rPr>
                <w:rFonts w:asciiTheme="minorEastAsia" w:hAnsiTheme="minorEastAsia" w:eastAsiaTheme="minorEastAsia"/>
                <w:b/>
                <w:bCs/>
                <w:color w:val="0000FF"/>
                <w:sz w:val="21"/>
              </w:rPr>
              <w:t>××××</w:t>
            </w:r>
            <w:r>
              <w:rPr>
                <w:rFonts w:asciiTheme="minorEastAsia" w:hAnsiTheme="minorEastAsia" w:eastAsiaTheme="minorEastAsia"/>
                <w:sz w:val="21"/>
                <w:szCs w:val="21"/>
              </w:rPr>
              <w:t>年</w:t>
            </w:r>
            <w:r>
              <w:rPr>
                <w:rFonts w:asciiTheme="minorEastAsia" w:hAnsiTheme="minorEastAsia" w:eastAsiaTheme="minorEastAsia"/>
                <w:b/>
                <w:color w:val="0000FF"/>
                <w:sz w:val="21"/>
                <w:szCs w:val="21"/>
              </w:rPr>
              <w:t>××</w:t>
            </w:r>
            <w:r>
              <w:rPr>
                <w:rFonts w:asciiTheme="minorEastAsia" w:hAnsiTheme="minorEastAsia" w:eastAsiaTheme="minorEastAsia"/>
                <w:sz w:val="21"/>
                <w:szCs w:val="21"/>
              </w:rPr>
              <w:t>月</w:t>
            </w:r>
            <w:r>
              <w:rPr>
                <w:rFonts w:asciiTheme="minorEastAsia" w:hAnsiTheme="minorEastAsia" w:eastAsiaTheme="minorEastAsia"/>
                <w:b/>
                <w:color w:val="0000FF"/>
                <w:sz w:val="21"/>
                <w:szCs w:val="21"/>
              </w:rPr>
              <w:t>××</w:t>
            </w:r>
            <w:r>
              <w:rPr>
                <w:rFonts w:asciiTheme="minorEastAsia" w:hAnsiTheme="minorEastAsia" w:eastAsiaTheme="minorEastAsia"/>
                <w:sz w:val="21"/>
                <w:szCs w:val="21"/>
              </w:rPr>
              <w:t xml:space="preserve">日      </w:t>
            </w:r>
          </w:p>
        </w:tc>
      </w:tr>
      <w:tr>
        <w:tblPrEx>
          <w:tblCellMar>
            <w:top w:w="0" w:type="dxa"/>
            <w:left w:w="0" w:type="dxa"/>
            <w:bottom w:w="0" w:type="dxa"/>
            <w:right w:w="0" w:type="dxa"/>
          </w:tblCellMar>
        </w:tblPrEx>
        <w:trPr>
          <w:cantSplit/>
          <w:trHeight w:val="2520" w:hRule="atLeast"/>
          <w:jc w:val="center"/>
        </w:trPr>
        <w:tc>
          <w:tcPr>
            <w:tcW w:w="764"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right="840" w:firstLine="0" w:firstLineChars="0"/>
              <w:rPr>
                <w:rFonts w:hint="default" w:asciiTheme="minorEastAsia" w:hAnsiTheme="minorEastAsia" w:eastAsiaTheme="minorEastAsia"/>
                <w:b/>
                <w:bCs/>
                <w:color w:val="0000FF"/>
                <w:sz w:val="21"/>
              </w:rPr>
            </w:pPr>
            <w:r>
              <w:rPr>
                <w:rFonts w:asciiTheme="minorEastAsia" w:hAnsiTheme="minorEastAsia" w:eastAsiaTheme="minorEastAsia"/>
                <w:sz w:val="21"/>
              </w:rPr>
              <w:t>授权声明</w:t>
            </w:r>
          </w:p>
        </w:tc>
        <w:tc>
          <w:tcPr>
            <w:tcW w:w="3522"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right="-54" w:firstLine="0" w:firstLineChars="0"/>
              <w:jc w:val="left"/>
              <w:rPr>
                <w:rFonts w:hint="default" w:asciiTheme="minorEastAsia" w:hAnsiTheme="minorEastAsia" w:eastAsiaTheme="minorEastAsia"/>
                <w:sz w:val="21"/>
              </w:rPr>
            </w:pPr>
            <w:r>
              <w:rPr>
                <w:rFonts w:asciiTheme="minorEastAsia" w:hAnsiTheme="minorEastAsia" w:eastAsiaTheme="minorEastAsia"/>
                <w:sz w:val="21"/>
              </w:rPr>
              <w:t>如果你已委托代理人申请，请填写下列资料：</w:t>
            </w:r>
          </w:p>
          <w:p>
            <w:pPr>
              <w:spacing w:line="400" w:lineRule="exact"/>
              <w:ind w:right="-54" w:firstLine="0" w:firstLineChars="0"/>
              <w:jc w:val="left"/>
              <w:rPr>
                <w:rFonts w:hint="default" w:asciiTheme="minorEastAsia" w:hAnsiTheme="minorEastAsia" w:eastAsiaTheme="minorEastAsia"/>
                <w:sz w:val="21"/>
              </w:rPr>
            </w:pPr>
            <w:r>
              <w:rPr>
                <w:rFonts w:asciiTheme="minorEastAsia" w:hAnsiTheme="minorEastAsia" w:eastAsiaTheme="minorEastAsia"/>
                <w:sz w:val="21"/>
              </w:rPr>
              <w:t>为代理相关税务事宜，现授权</w:t>
            </w:r>
          </w:p>
          <w:p>
            <w:pPr>
              <w:spacing w:line="400" w:lineRule="exact"/>
              <w:ind w:right="-54" w:firstLine="0" w:firstLineChars="0"/>
              <w:jc w:val="left"/>
              <w:rPr>
                <w:rFonts w:hint="default" w:asciiTheme="minorEastAsia" w:hAnsiTheme="minorEastAsia" w:eastAsiaTheme="minorEastAsia"/>
                <w:sz w:val="21"/>
              </w:rPr>
            </w:pPr>
            <w:r>
              <w:rPr>
                <w:rFonts w:asciiTheme="minorEastAsia" w:hAnsiTheme="minorEastAsia" w:eastAsiaTheme="minorEastAsia"/>
                <w:sz w:val="21"/>
                <w:u w:val="single"/>
              </w:rPr>
              <w:t xml:space="preserve">                     </w:t>
            </w:r>
            <w:r>
              <w:rPr>
                <w:rFonts w:asciiTheme="minorEastAsia" w:hAnsiTheme="minorEastAsia" w:eastAsiaTheme="minorEastAsia"/>
                <w:sz w:val="21"/>
              </w:rPr>
              <w:t>（地址）</w:t>
            </w:r>
          </w:p>
          <w:p>
            <w:pPr>
              <w:spacing w:line="400" w:lineRule="exact"/>
              <w:ind w:right="-54" w:firstLine="0" w:firstLineChars="0"/>
              <w:jc w:val="left"/>
              <w:rPr>
                <w:rFonts w:hint="default" w:asciiTheme="minorEastAsia" w:hAnsiTheme="minorEastAsia" w:eastAsiaTheme="minorEastAsia"/>
                <w:sz w:val="21"/>
              </w:rPr>
            </w:pPr>
            <w:r>
              <w:rPr>
                <w:rFonts w:asciiTheme="minorEastAsia" w:hAnsiTheme="minorEastAsia" w:eastAsiaTheme="minorEastAsia"/>
                <w:sz w:val="21"/>
                <w:u w:val="single"/>
              </w:rPr>
              <w:t xml:space="preserve">                </w:t>
            </w:r>
            <w:r>
              <w:rPr>
                <w:rFonts w:asciiTheme="minorEastAsia" w:hAnsiTheme="minorEastAsia" w:eastAsiaTheme="minorEastAsia"/>
                <w:sz w:val="21"/>
              </w:rPr>
              <w:t>为本纳税人的代理申请人，任何与本申请有关的往来文件，都可寄于此人。</w:t>
            </w:r>
          </w:p>
          <w:p>
            <w:pPr>
              <w:spacing w:line="400" w:lineRule="exact"/>
              <w:ind w:right="840" w:firstLine="0" w:firstLineChars="0"/>
              <w:jc w:val="left"/>
              <w:rPr>
                <w:rFonts w:hint="default" w:asciiTheme="minorEastAsia" w:hAnsiTheme="minorEastAsia" w:eastAsiaTheme="minorEastAsia"/>
                <w:sz w:val="21"/>
              </w:rPr>
            </w:pPr>
          </w:p>
          <w:p>
            <w:pPr>
              <w:spacing w:line="400" w:lineRule="exact"/>
              <w:ind w:right="840" w:firstLine="0" w:firstLineChars="0"/>
              <w:jc w:val="left"/>
              <w:rPr>
                <w:rFonts w:hint="default" w:asciiTheme="minorEastAsia" w:hAnsiTheme="minorEastAsia" w:eastAsiaTheme="minorEastAsia"/>
                <w:sz w:val="21"/>
              </w:rPr>
            </w:pPr>
            <w:r>
              <w:rPr>
                <w:rFonts w:asciiTheme="minorEastAsia" w:hAnsiTheme="minorEastAsia" w:eastAsiaTheme="minorEastAsia"/>
                <w:sz w:val="21"/>
              </w:rPr>
              <w:t>授权人签章：</w:t>
            </w:r>
          </w:p>
        </w:tc>
        <w:tc>
          <w:tcPr>
            <w:tcW w:w="778"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right="840" w:firstLine="0" w:firstLineChars="0"/>
              <w:rPr>
                <w:rFonts w:hint="default" w:asciiTheme="minorEastAsia" w:hAnsiTheme="minorEastAsia" w:eastAsiaTheme="minorEastAsia"/>
                <w:b/>
                <w:bCs/>
                <w:color w:val="0000FF"/>
                <w:sz w:val="21"/>
              </w:rPr>
            </w:pPr>
            <w:r>
              <w:rPr>
                <w:rFonts w:asciiTheme="minorEastAsia" w:hAnsiTheme="minorEastAsia" w:eastAsiaTheme="minorEastAsia"/>
                <w:sz w:val="21"/>
              </w:rPr>
              <w:t>申请人申明</w:t>
            </w:r>
          </w:p>
        </w:tc>
        <w:tc>
          <w:tcPr>
            <w:tcW w:w="3533"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right="-34" w:firstLine="0" w:firstLineChars="0"/>
              <w:rPr>
                <w:rFonts w:hint="default" w:asciiTheme="minorEastAsia" w:hAnsiTheme="minorEastAsia" w:eastAsiaTheme="minorEastAsia"/>
                <w:sz w:val="21"/>
              </w:rPr>
            </w:pPr>
          </w:p>
          <w:p>
            <w:pPr>
              <w:spacing w:line="400" w:lineRule="exact"/>
              <w:ind w:right="-34" w:firstLine="0" w:firstLineChars="0"/>
              <w:rPr>
                <w:rFonts w:hint="default" w:asciiTheme="minorEastAsia" w:hAnsiTheme="minorEastAsia" w:eastAsiaTheme="minorEastAsia"/>
                <w:sz w:val="21"/>
              </w:rPr>
            </w:pPr>
          </w:p>
          <w:p>
            <w:pPr>
              <w:spacing w:line="400" w:lineRule="exact"/>
              <w:ind w:right="-34" w:firstLine="0" w:firstLineChars="0"/>
              <w:rPr>
                <w:rFonts w:hint="default" w:asciiTheme="minorEastAsia" w:hAnsiTheme="minorEastAsia" w:eastAsiaTheme="minorEastAsia"/>
                <w:sz w:val="21"/>
              </w:rPr>
            </w:pPr>
            <w:r>
              <w:rPr>
                <w:rFonts w:asciiTheme="minorEastAsia" w:hAnsiTheme="minorEastAsia" w:eastAsiaTheme="minorEastAsia"/>
                <w:sz w:val="21"/>
              </w:rPr>
              <w:t>本申请表是根据国家税收法律法规及相关规定填写的，我确定它是真实的、可靠的、完整的。</w:t>
            </w:r>
          </w:p>
          <w:p>
            <w:pPr>
              <w:spacing w:line="400" w:lineRule="exact"/>
              <w:ind w:right="840" w:firstLine="0" w:firstLineChars="0"/>
              <w:rPr>
                <w:rFonts w:hint="default" w:asciiTheme="minorEastAsia" w:hAnsiTheme="minorEastAsia" w:eastAsiaTheme="minorEastAsia"/>
                <w:sz w:val="21"/>
              </w:rPr>
            </w:pPr>
          </w:p>
          <w:p>
            <w:pPr>
              <w:spacing w:line="400" w:lineRule="exact"/>
              <w:ind w:right="840" w:firstLine="0" w:firstLineChars="0"/>
              <w:rPr>
                <w:rFonts w:hint="default" w:asciiTheme="minorEastAsia" w:hAnsiTheme="minorEastAsia" w:eastAsiaTheme="minorEastAsia"/>
                <w:sz w:val="21"/>
              </w:rPr>
            </w:pPr>
          </w:p>
          <w:p>
            <w:pPr>
              <w:spacing w:line="400" w:lineRule="exact"/>
              <w:ind w:right="840" w:firstLine="0" w:firstLineChars="0"/>
              <w:rPr>
                <w:rFonts w:hint="default" w:asciiTheme="minorEastAsia" w:hAnsiTheme="minorEastAsia" w:eastAsiaTheme="minorEastAsia"/>
                <w:sz w:val="21"/>
              </w:rPr>
            </w:pPr>
          </w:p>
          <w:p>
            <w:pPr>
              <w:spacing w:line="400" w:lineRule="exact"/>
              <w:ind w:right="840" w:firstLine="0" w:firstLineChars="0"/>
              <w:rPr>
                <w:rFonts w:hint="default" w:asciiTheme="minorEastAsia" w:hAnsiTheme="minorEastAsia" w:eastAsiaTheme="minorEastAsia"/>
                <w:b/>
                <w:bCs/>
                <w:color w:val="0000FF"/>
                <w:sz w:val="21"/>
              </w:rPr>
            </w:pPr>
            <w:r>
              <w:rPr>
                <w:rFonts w:asciiTheme="minorEastAsia" w:hAnsiTheme="minorEastAsia" w:eastAsiaTheme="minorEastAsia"/>
                <w:sz w:val="21"/>
              </w:rPr>
              <w:t>申请人签章：</w:t>
            </w:r>
          </w:p>
        </w:tc>
      </w:tr>
      <w:tr>
        <w:tblPrEx>
          <w:tblCellMar>
            <w:top w:w="0" w:type="dxa"/>
            <w:left w:w="0" w:type="dxa"/>
            <w:bottom w:w="0" w:type="dxa"/>
            <w:right w:w="0" w:type="dxa"/>
          </w:tblCellMar>
        </w:tblPrEx>
        <w:trPr>
          <w:trHeight w:val="356" w:hRule="atLeast"/>
          <w:jc w:val="center"/>
        </w:trPr>
        <w:tc>
          <w:tcPr>
            <w:tcW w:w="8597" w:type="dxa"/>
            <w:gridSpan w:val="11"/>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sz w:val="21"/>
                <w:szCs w:val="21"/>
              </w:rPr>
            </w:pPr>
            <w:r>
              <w:rPr>
                <w:rFonts w:asciiTheme="minorEastAsia" w:hAnsiTheme="minorEastAsia" w:eastAsiaTheme="minorEastAsia"/>
                <w:b/>
                <w:bCs/>
                <w:sz w:val="21"/>
                <w:szCs w:val="21"/>
              </w:rPr>
              <w:t>以下由税务机关填写</w:t>
            </w:r>
          </w:p>
        </w:tc>
      </w:tr>
      <w:tr>
        <w:tblPrEx>
          <w:tblCellMar>
            <w:top w:w="0" w:type="dxa"/>
            <w:left w:w="0" w:type="dxa"/>
            <w:bottom w:w="0" w:type="dxa"/>
            <w:right w:w="0" w:type="dxa"/>
          </w:tblCellMar>
        </w:tblPrEx>
        <w:trPr>
          <w:trHeight w:val="866" w:hRule="atLeast"/>
          <w:jc w:val="center"/>
        </w:trPr>
        <w:tc>
          <w:tcPr>
            <w:tcW w:w="764"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受理情 况</w:t>
            </w:r>
          </w:p>
        </w:tc>
        <w:tc>
          <w:tcPr>
            <w:tcW w:w="7833" w:type="dxa"/>
            <w:gridSpan w:val="10"/>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tcPr>
          <w:p>
            <w:pPr>
              <w:spacing w:line="400" w:lineRule="exact"/>
              <w:ind w:right="1470" w:firstLine="0" w:firstLineChars="0"/>
              <w:jc w:val="right"/>
              <w:rPr>
                <w:rFonts w:hint="default" w:asciiTheme="minorEastAsia" w:hAnsiTheme="minorEastAsia" w:eastAsiaTheme="minorEastAsia"/>
                <w:sz w:val="21"/>
                <w:szCs w:val="21"/>
              </w:rPr>
            </w:pPr>
          </w:p>
          <w:p>
            <w:pPr>
              <w:spacing w:line="400" w:lineRule="exact"/>
              <w:ind w:right="1470" w:firstLine="0" w:firstLineChars="0"/>
              <w:jc w:val="right"/>
              <w:rPr>
                <w:rFonts w:hint="default" w:asciiTheme="minorEastAsia" w:hAnsiTheme="minorEastAsia" w:eastAsiaTheme="minorEastAsia"/>
                <w:sz w:val="21"/>
                <w:szCs w:val="21"/>
              </w:rPr>
            </w:pPr>
          </w:p>
          <w:p>
            <w:pPr>
              <w:spacing w:line="400" w:lineRule="exact"/>
              <w:ind w:right="1470" w:firstLine="0" w:firstLineChars="0"/>
              <w:jc w:val="right"/>
              <w:rPr>
                <w:rFonts w:hint="default" w:asciiTheme="minorEastAsia" w:hAnsiTheme="minorEastAsia" w:eastAsiaTheme="minorEastAsia"/>
                <w:sz w:val="21"/>
                <w:szCs w:val="21"/>
              </w:rPr>
            </w:pPr>
          </w:p>
          <w:p>
            <w:pPr>
              <w:spacing w:line="400" w:lineRule="exact"/>
              <w:ind w:right="1470" w:firstLine="0" w:firstLineChars="0"/>
              <w:jc w:val="right"/>
              <w:rPr>
                <w:rFonts w:hint="default" w:asciiTheme="minorEastAsia" w:hAnsiTheme="minorEastAsia" w:eastAsiaTheme="minorEastAsia"/>
                <w:sz w:val="21"/>
                <w:szCs w:val="21"/>
              </w:rPr>
            </w:pPr>
          </w:p>
          <w:p>
            <w:pPr>
              <w:spacing w:line="400" w:lineRule="exact"/>
              <w:ind w:right="1470" w:firstLine="0" w:firstLineChars="0"/>
              <w:jc w:val="right"/>
              <w:rPr>
                <w:rFonts w:hint="default" w:asciiTheme="minorEastAsia" w:hAnsiTheme="minorEastAsia" w:eastAsiaTheme="minorEastAsia"/>
                <w:sz w:val="21"/>
                <w:szCs w:val="21"/>
              </w:rPr>
            </w:pPr>
          </w:p>
          <w:p>
            <w:pPr>
              <w:spacing w:line="400" w:lineRule="exact"/>
              <w:ind w:right="1470" w:firstLine="0" w:firstLineChars="0"/>
              <w:jc w:val="right"/>
              <w:rPr>
                <w:rFonts w:hint="default" w:asciiTheme="minorEastAsia" w:hAnsiTheme="minorEastAsia" w:eastAsiaTheme="minorEastAsia"/>
                <w:sz w:val="21"/>
                <w:szCs w:val="21"/>
              </w:rPr>
            </w:pPr>
            <w:r>
              <w:rPr>
                <w:rFonts w:asciiTheme="minorEastAsia" w:hAnsiTheme="minorEastAsia" w:eastAsiaTheme="minorEastAsia"/>
                <w:sz w:val="21"/>
                <w:szCs w:val="21"/>
              </w:rPr>
              <w:t>受理人：   年   月   日</w:t>
            </w:r>
          </w:p>
        </w:tc>
      </w:tr>
      <w:tr>
        <w:tblPrEx>
          <w:tblCellMar>
            <w:top w:w="0" w:type="dxa"/>
            <w:left w:w="0" w:type="dxa"/>
            <w:bottom w:w="0" w:type="dxa"/>
            <w:right w:w="0" w:type="dxa"/>
          </w:tblCellMar>
        </w:tblPrEx>
        <w:trPr>
          <w:trHeight w:val="1676" w:hRule="atLeast"/>
          <w:jc w:val="center"/>
        </w:trPr>
        <w:tc>
          <w:tcPr>
            <w:tcW w:w="481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核实部门意见：</w:t>
            </w: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退还方式：退库□    抵扣欠税□</w:t>
            </w: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退税类型：汇算结算退税□</w:t>
            </w:r>
          </w:p>
          <w:p>
            <w:pPr>
              <w:spacing w:line="400" w:lineRule="exact"/>
              <w:ind w:firstLine="1050" w:firstLineChars="500"/>
              <w:rPr>
                <w:rFonts w:hint="default" w:asciiTheme="minorEastAsia" w:hAnsiTheme="minorEastAsia" w:eastAsiaTheme="minorEastAsia"/>
                <w:sz w:val="21"/>
                <w:szCs w:val="21"/>
              </w:rPr>
            </w:pPr>
            <w:r>
              <w:rPr>
                <w:rFonts w:asciiTheme="minorEastAsia" w:hAnsiTheme="minorEastAsia" w:eastAsiaTheme="minorEastAsia"/>
                <w:sz w:val="21"/>
                <w:szCs w:val="21"/>
              </w:rPr>
              <w:t>误收退税□</w:t>
            </w:r>
          </w:p>
          <w:p>
            <w:pPr>
              <w:spacing w:line="400" w:lineRule="exact"/>
              <w:ind w:firstLine="1050" w:firstLineChars="500"/>
              <w:rPr>
                <w:rFonts w:hint="default" w:asciiTheme="minorEastAsia" w:hAnsiTheme="minorEastAsia" w:eastAsiaTheme="minorEastAsia"/>
                <w:sz w:val="21"/>
                <w:szCs w:val="21"/>
              </w:rPr>
            </w:pPr>
            <w:r>
              <w:rPr>
                <w:rFonts w:asciiTheme="minorEastAsia" w:hAnsiTheme="minorEastAsia" w:eastAsiaTheme="minorEastAsia"/>
                <w:sz w:val="21"/>
                <w:szCs w:val="21"/>
              </w:rPr>
              <w:t>留抵退税□</w:t>
            </w: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退税发起方式：纳税人自行申请□</w:t>
            </w:r>
          </w:p>
          <w:p>
            <w:pPr>
              <w:spacing w:line="400" w:lineRule="exact"/>
              <w:ind w:firstLine="1470" w:firstLineChars="700"/>
              <w:rPr>
                <w:rFonts w:hint="default" w:asciiTheme="minorEastAsia" w:hAnsiTheme="minorEastAsia" w:eastAsiaTheme="minorEastAsia"/>
                <w:sz w:val="21"/>
                <w:szCs w:val="21"/>
              </w:rPr>
            </w:pPr>
            <w:r>
              <w:rPr>
                <w:rFonts w:asciiTheme="minorEastAsia" w:hAnsiTheme="minorEastAsia" w:eastAsiaTheme="minorEastAsia"/>
                <w:sz w:val="21"/>
                <w:szCs w:val="21"/>
              </w:rPr>
              <w:t>税务机关发现并通知□</w:t>
            </w: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退（抵）税金额：</w:t>
            </w: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经办人：       负责人：</w:t>
            </w: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年  月  日</w:t>
            </w:r>
          </w:p>
        </w:tc>
        <w:tc>
          <w:tcPr>
            <w:tcW w:w="377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税务机关负责人意见：</w:t>
            </w: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签字</w:t>
            </w:r>
          </w:p>
          <w:p>
            <w:pPr>
              <w:spacing w:line="400" w:lineRule="exact"/>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年  月  日（公章）</w:t>
            </w:r>
          </w:p>
        </w:tc>
      </w:tr>
    </w:tbl>
    <w:p>
      <w:pPr>
        <w:spacing w:line="400" w:lineRule="exact"/>
        <w:ind w:firstLine="480"/>
        <w:rPr>
          <w:rFonts w:hint="default" w:ascii="黑体" w:eastAsia="黑体"/>
        </w:rPr>
      </w:pPr>
      <w:r>
        <w:rPr>
          <w:rFonts w:ascii="黑体" w:eastAsia="黑体"/>
        </w:rPr>
        <w:t>【填表说明】</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一、本表适用于办理汇算结算、误收税款退税、留抵退税。</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二、纳税人退税账户与原缴税账户不一致的，须另行提交资料，并经税务机关确认。</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三、本表一式四联，纳税人一联、税务机关三联。</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四、申请人名称：填写纳税人或扣缴义务人名称。如申请留抵退税，应填写纳税人名称。</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五、申请人身份：选择“纳税人”或“扣缴义务人”。如申请留抵退税，应选择“纳税人”。</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六、纳税人名称：填写税务登记证所载纳税人的全称。</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七、统一社会信用代码（纳税人识别号）：填写纳税人统一社会信用代码或税务机关统一核发的税务登记证号码。</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八、联系人名称：填写联系人姓名。</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九、联系电话：填写联系人固定电话号码或手机号码。</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十、申请退税类型：选择“汇算结算退税”、“误收退税”或“留抵退税”。</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一、原完税情况：填写与汇算结算和误收税款退税相关信息。分税种、品目名称、税款所属时期、税票号码、实缴金额等项目，填写申请办理退税的已入库信息，上述信息应与完税费（缴款）凭证复印件、完税费（缴款）凭证原件或完税电子信息一致。</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十二、申请退税金额：填写与汇算结算和误收税款退税相关的申请退（抵）税的金额，应小于等于原完税情况实缴金额合计。</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十三、申请退税前 36 个月未发生骗取留抵退税、出口退税或虚开增值税专用发票情形，申请退税前 36 个月未因偷税被税务机关处罚两次及以上，自 2019 年 4月 1 日起未享受即征即退、先征后返（退）政策，出口货物劳务、发生跨境应税行为，适用免抵退税办法：根据实际情况，选择“是”或“否”。</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十四、连续六个月（按季纳税的，连续两个季度）增量留抵税额均大于零的起止时间：填写纳税人自 2019 年 4 月税款所属期起，连续六个月（按季纳税的，连续两个季度）增量留抵税额均大于零，且第六个月增量留抵税额不低于 50 万元的起止时间。</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十五、本期已申报免抵退税应退税额：填写享受免抵退税政策的纳税人本期申请退还的免抵退税额。</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十六、2019 年 4 月至申请退税前一税款所属期已抵扣的增值税专用发票（含税控机动车销售统一发票）注明的增值税额：填写纳税人对应属期抵扣的增值税专用发票（含税控机动车销售统一发票）注明的增值税额；纳税人取得不动产或者不动产在建工程的进项税额不再分 2 年抵扣后一次性转入的进项税额，视同取得增值税专用发票抵扣的进项税额，也填入本项。</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十七、2019年4月至申请退税前一税款所属期已抵扣的海关进口增值税专用缴款书注明的增值税额：填写纳税人对应属期抵扣的海关进口增值税专用缴款书注明的增值税额。</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十八、2019 年 4 月至申请退税前一税款所属期已抵扣的解缴税款完税凭证注明的增值税额：填写纳税人对应属期抵扣的解缴税款完税凭证注明的增值税额。</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十九、2019 年 4 月至申请退税前一税款所属期全部已抵扣的进项税额：填写纳税人对应属期全部已抵扣进项税额。</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二十、本期申请退还的增量留抵税额：填写纳税人按照增量留抵税额×进项构成比例×60%计算后的本期申请退还的增量留抵税额。</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进项构成比例=〔2019 年 4 月至申请退税前一税款所属期已抵扣的增值税专用发票（含税控机动车销售统一发票）注明的增值税额+2019 年 4 月至申请退税前一税款所属期已抵扣的海关进口增值税专用缴款书注明的增值税额+2019 年 4 月至申请退税前一税款所属期已抵扣的解缴税款完税凭证注明的增值税额〕÷2019 年 4 月至申请退税前一税款所属期全部已抵扣的进项税额</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二十一、退税申请理由：简要概述退税申请理由，如果本次退税账户与原缴税账户不一致，需在此说明，并须另行提交资料，经税务机关登记确认。</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二十二、受理情况：填写核对接受纳税人、扣缴义务人资料的情况。</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十三、退还方式：申请汇算结算或误收税款退税的，退还方式可以单选或多选，对于有欠税的纳税人，一般情况应选择“抵扣欠税”，对于选择“抵扣欠税”情况，可以取消该选择，将全部申请退税的金额，以“退库”方式办理。</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申请留抵退税的，可同时选择“退库”和“抵扣欠税”。如果纳税人既有增值税欠税，又有期末留抵税额，按照《国家税务总局关于办理增值税期末留抵税额退税有关事项的公告》（国家税务总局公告 2019 年第 20 号）第九条第三项规定，以最近一期增值税纳税申报表期末留抵税额，抵减增值税欠税后的余额确定允许退还的增量留抵税额。</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二十四、退税类型：税务机关依据纳税人申请事项，选择“汇算结算退税”、“误收退税”或“留抵退税”。</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二十五、退税发起方式：纳税人申请汇算结算或误收税款退税的，税务机关选择“纳税人自行申请”或“税务机关发现并通知”；纳税人申请留抵退税的，税务机关选择“纳税人自行申请”。</w:t>
      </w:r>
    </w:p>
    <w:p>
      <w:pPr>
        <w:pStyle w:val="31"/>
        <w:adjustRightInd/>
        <w:snapToGrid/>
        <w:rPr>
          <w:rFonts w:ascii="Times New Roman" w:hAnsi="Times New Roman" w:eastAsia="宋体"/>
          <w:bCs w:val="0"/>
          <w:color w:val="000000" w:themeColor="text1"/>
        </w:rPr>
      </w:pPr>
      <w:r>
        <w:rPr>
          <w:rFonts w:hint="eastAsia" w:ascii="Times New Roman" w:hAnsi="Times New Roman" w:eastAsia="宋体"/>
          <w:bCs w:val="0"/>
          <w:color w:val="000000" w:themeColor="text1"/>
        </w:rPr>
        <w:t>二十六、退（抵）税金额：填写税务机关核准后的退（抵）税额。</w:t>
      </w:r>
    </w:p>
    <w:p>
      <w:pPr>
        <w:pStyle w:val="31"/>
        <w:adjustRightInd/>
        <w:snapToGrid/>
      </w:pPr>
      <w:r>
        <w:rPr>
          <w:rFonts w:hint="eastAsia"/>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3"/>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3" w:type="dxa"/>
            <w:vAlign w:val="center"/>
          </w:tcPr>
          <w:p>
            <w:pPr>
              <w:pStyle w:val="33"/>
              <w:adjustRightInd/>
              <w:snapToGrid/>
              <w:spacing w:line="276" w:lineRule="auto"/>
            </w:pPr>
            <w:r>
              <w:rPr>
                <w:rFonts w:hint="eastAsia"/>
              </w:rPr>
              <w:t>文件名称</w:t>
            </w:r>
          </w:p>
        </w:tc>
        <w:tc>
          <w:tcPr>
            <w:tcW w:w="1684"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3" w:type="dxa"/>
            <w:vAlign w:val="center"/>
          </w:tcPr>
          <w:p>
            <w:pPr>
              <w:pStyle w:val="50"/>
              <w:adjustRightInd/>
              <w:snapToGrid/>
              <w:spacing w:line="276" w:lineRule="auto"/>
            </w:pPr>
            <w:r>
              <w:rPr>
                <w:rFonts w:hint="eastAsia"/>
              </w:rPr>
              <w:t>《中华人民共和国税收征收管理法》</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3" w:type="dxa"/>
            <w:vAlign w:val="center"/>
          </w:tcPr>
          <w:p>
            <w:pPr>
              <w:pStyle w:val="50"/>
              <w:adjustRightInd/>
              <w:snapToGrid/>
              <w:spacing w:line="276" w:lineRule="auto"/>
            </w:pPr>
            <w:r>
              <w:rPr>
                <w:rFonts w:hint="eastAsia"/>
              </w:rPr>
              <w:t>《中华人民共和国税收征收管理法实施细则》</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653" w:type="dxa"/>
            <w:vAlign w:val="center"/>
          </w:tcPr>
          <w:p>
            <w:pPr>
              <w:pStyle w:val="50"/>
              <w:adjustRightInd/>
              <w:snapToGrid/>
              <w:spacing w:line="276" w:lineRule="auto"/>
            </w:pPr>
            <w:r>
              <w:t>《中华人民共和国个人所得税法实施条例》</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4</w:t>
            </w:r>
          </w:p>
        </w:tc>
        <w:tc>
          <w:tcPr>
            <w:tcW w:w="5653" w:type="dxa"/>
            <w:vAlign w:val="center"/>
          </w:tcPr>
          <w:p>
            <w:pPr>
              <w:pStyle w:val="50"/>
              <w:adjustRightInd/>
              <w:snapToGrid/>
              <w:spacing w:line="276" w:lineRule="auto"/>
            </w:pPr>
            <w:r>
              <w:t>《中华人民共和国企业所得税法实施条例》</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5</w:t>
            </w:r>
          </w:p>
        </w:tc>
        <w:tc>
          <w:tcPr>
            <w:tcW w:w="5653" w:type="dxa"/>
            <w:vAlign w:val="center"/>
          </w:tcPr>
          <w:p>
            <w:pPr>
              <w:pStyle w:val="50"/>
              <w:adjustRightInd/>
              <w:snapToGrid/>
              <w:spacing w:line="276" w:lineRule="auto"/>
            </w:pPr>
            <w:r>
              <w:t>《税款缴库退库工作规程》</w:t>
            </w:r>
            <w:r>
              <w:rPr>
                <w:rFonts w:hint="eastAsia"/>
              </w:rPr>
              <w:t>（</w:t>
            </w:r>
            <w:r>
              <w:t>国家税务总局令第31号</w:t>
            </w:r>
            <w:r>
              <w:rPr>
                <w:rFonts w:hint="eastAsia"/>
              </w:rPr>
              <w:t>）</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6</w:t>
            </w:r>
          </w:p>
        </w:tc>
        <w:tc>
          <w:tcPr>
            <w:tcW w:w="5653" w:type="dxa"/>
            <w:vAlign w:val="center"/>
          </w:tcPr>
          <w:p>
            <w:pPr>
              <w:pStyle w:val="50"/>
              <w:adjustRightInd/>
              <w:snapToGrid/>
              <w:spacing w:line="276" w:lineRule="auto"/>
            </w:pPr>
            <w:r>
              <w:rPr>
                <w:rFonts w:hint="eastAsia"/>
              </w:rPr>
              <w:t>《财政部 国家税务总局 5中国人民银行关于纳税人多缴税款及应付利息办理退库的通知》（财预〔2001〕502号）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7</w:t>
            </w:r>
          </w:p>
        </w:tc>
        <w:tc>
          <w:tcPr>
            <w:tcW w:w="5653" w:type="dxa"/>
            <w:vAlign w:val="center"/>
          </w:tcPr>
          <w:p>
            <w:pPr>
              <w:pStyle w:val="50"/>
              <w:adjustRightInd/>
              <w:snapToGrid/>
              <w:spacing w:line="276" w:lineRule="auto"/>
            </w:pPr>
            <w:r>
              <w:rPr>
                <w:rFonts w:hint="eastAsia"/>
              </w:rPr>
              <w:t>《财政部 国家税务总局关于全面推开营业税改征增值税试点的通知》（财税〔</w:t>
            </w:r>
            <w:r>
              <w:t>2016</w:t>
            </w:r>
            <w:r>
              <w:rPr>
                <w:rFonts w:hint="eastAsia"/>
              </w:rPr>
              <w:t>〕</w:t>
            </w:r>
            <w:r>
              <w:t>36</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8</w:t>
            </w:r>
          </w:p>
        </w:tc>
        <w:tc>
          <w:tcPr>
            <w:tcW w:w="5653" w:type="dxa"/>
            <w:vAlign w:val="center"/>
          </w:tcPr>
          <w:p>
            <w:pPr>
              <w:pStyle w:val="50"/>
              <w:adjustRightInd/>
              <w:snapToGrid/>
              <w:spacing w:line="276" w:lineRule="auto"/>
            </w:pPr>
            <w:r>
              <w:rPr>
                <w:rFonts w:hint="eastAsia"/>
              </w:rPr>
              <w:t>《国家税务总局关于公开行政审批事项等相关工作的公告》（国家税务总局公告</w:t>
            </w:r>
            <w:r>
              <w:t>2014</w:t>
            </w:r>
            <w:r>
              <w:rPr>
                <w:rFonts w:hint="eastAsia"/>
              </w:rPr>
              <w:t>年第</w:t>
            </w:r>
            <w:r>
              <w:t>10</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9</w:t>
            </w:r>
          </w:p>
        </w:tc>
        <w:tc>
          <w:tcPr>
            <w:tcW w:w="5653" w:type="dxa"/>
            <w:vAlign w:val="center"/>
          </w:tcPr>
          <w:p>
            <w:pPr>
              <w:pStyle w:val="50"/>
              <w:adjustRightInd/>
              <w:snapToGrid/>
              <w:spacing w:line="276" w:lineRule="auto"/>
            </w:pPr>
            <w:r>
              <w:rPr>
                <w:rFonts w:hint="eastAsia"/>
              </w:rPr>
              <w:t>《国家税务总局关于发布第三批取消进户执法项目清单的公告》（国家税务总局公告</w:t>
            </w:r>
            <w:r>
              <w:t>2014</w:t>
            </w:r>
            <w:r>
              <w:rPr>
                <w:rFonts w:hint="eastAsia"/>
              </w:rPr>
              <w:t>年第</w:t>
            </w:r>
            <w:r>
              <w:t>31</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10</w:t>
            </w:r>
          </w:p>
        </w:tc>
        <w:tc>
          <w:tcPr>
            <w:tcW w:w="5653" w:type="dxa"/>
            <w:vAlign w:val="center"/>
          </w:tcPr>
          <w:p>
            <w:pPr>
              <w:pStyle w:val="50"/>
              <w:adjustRightInd/>
              <w:snapToGrid/>
              <w:spacing w:line="276" w:lineRule="auto"/>
            </w:pPr>
            <w:r>
              <w:t>《国家税务总局关于房地产开发企业土地增值税清算涉及企业所得税退税有关问题的公告》（国家税务总局公告2016年第81号 ）</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1</w:t>
            </w:r>
          </w:p>
        </w:tc>
        <w:tc>
          <w:tcPr>
            <w:tcW w:w="5653" w:type="dxa"/>
            <w:vAlign w:val="center"/>
          </w:tcPr>
          <w:p>
            <w:pPr>
              <w:pStyle w:val="50"/>
              <w:adjustRightInd/>
              <w:snapToGrid/>
              <w:spacing w:line="276" w:lineRule="auto"/>
            </w:pPr>
            <w:r>
              <w:rPr>
                <w:rFonts w:hint="eastAsia"/>
              </w:rPr>
              <w:t>《国家税务总局关于办理增值税期末留抵税额退税有关事项的公告》（国家税务总局公告2019年第20号）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2</w:t>
            </w:r>
          </w:p>
        </w:tc>
        <w:tc>
          <w:tcPr>
            <w:tcW w:w="5653" w:type="dxa"/>
            <w:vAlign w:val="center"/>
          </w:tcPr>
          <w:p>
            <w:pPr>
              <w:pStyle w:val="50"/>
              <w:adjustRightInd/>
              <w:snapToGrid/>
              <w:spacing w:line="276" w:lineRule="auto"/>
            </w:pPr>
            <w:r>
              <w:rPr>
                <w:rFonts w:hint="eastAsia"/>
              </w:rPr>
              <w:t>《国家税务总局关于应退税款抵扣欠缴税款有关问题的通知》（国税发〔</w:t>
            </w:r>
            <w:r>
              <w:t>2002</w:t>
            </w:r>
            <w:r>
              <w:rPr>
                <w:rFonts w:hint="eastAsia"/>
              </w:rPr>
              <w:t>〕</w:t>
            </w:r>
            <w:r>
              <w:t>150</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3</w:t>
            </w:r>
          </w:p>
        </w:tc>
        <w:tc>
          <w:tcPr>
            <w:tcW w:w="5653" w:type="dxa"/>
            <w:vAlign w:val="center"/>
          </w:tcPr>
          <w:p>
            <w:pPr>
              <w:pStyle w:val="50"/>
              <w:adjustRightInd/>
              <w:snapToGrid/>
              <w:spacing w:line="276" w:lineRule="auto"/>
            </w:pPr>
            <w:r>
              <w:rPr>
                <w:rFonts w:hint="eastAsia"/>
              </w:rPr>
              <w:t>《国家税务总局关于印发〈企业所得税汇算清缴管理办法〉的通知》（国税发〔</w:t>
            </w:r>
            <w:r>
              <w:t>2009</w:t>
            </w:r>
            <w:r>
              <w:rPr>
                <w:rFonts w:hint="eastAsia"/>
              </w:rPr>
              <w:t>〕</w:t>
            </w:r>
            <w:r>
              <w:t>79</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14</w:t>
            </w:r>
          </w:p>
        </w:tc>
        <w:tc>
          <w:tcPr>
            <w:tcW w:w="5653" w:type="dxa"/>
            <w:vAlign w:val="center"/>
          </w:tcPr>
          <w:p>
            <w:pPr>
              <w:pStyle w:val="50"/>
              <w:adjustRightInd/>
              <w:snapToGrid/>
              <w:spacing w:line="276" w:lineRule="auto"/>
            </w:pPr>
            <w:r>
              <w:rPr>
                <w:rFonts w:hint="eastAsia"/>
              </w:rPr>
              <w:t>《国家税务总局关于做好限售股转让所得个人所得税征收管理工作的通知》（国税发〔</w:t>
            </w:r>
            <w:r>
              <w:t>2010</w:t>
            </w:r>
            <w:r>
              <w:rPr>
                <w:rFonts w:hint="eastAsia"/>
              </w:rPr>
              <w:t>〕</w:t>
            </w:r>
            <w:r>
              <w:t>8</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5</w:t>
            </w:r>
          </w:p>
        </w:tc>
        <w:tc>
          <w:tcPr>
            <w:tcW w:w="5653" w:type="dxa"/>
            <w:vAlign w:val="center"/>
          </w:tcPr>
          <w:p>
            <w:pPr>
              <w:pStyle w:val="50"/>
              <w:adjustRightInd/>
              <w:snapToGrid/>
              <w:spacing w:line="276" w:lineRule="auto"/>
            </w:pPr>
            <w:r>
              <w:rPr>
                <w:rFonts w:hint="eastAsia"/>
              </w:rPr>
              <w:t>《国家税务总局关于印发〈增值税一般纳税人纳税辅导期管理办法〉的通知》（国税发〔</w:t>
            </w:r>
            <w:r>
              <w:t>2010</w:t>
            </w:r>
            <w:r>
              <w:rPr>
                <w:rFonts w:hint="eastAsia"/>
              </w:rPr>
              <w:t>〕</w:t>
            </w:r>
            <w:r>
              <w:t>40</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16</w:t>
            </w:r>
          </w:p>
        </w:tc>
        <w:tc>
          <w:tcPr>
            <w:tcW w:w="5653" w:type="dxa"/>
            <w:vAlign w:val="center"/>
          </w:tcPr>
          <w:p>
            <w:pPr>
              <w:pStyle w:val="50"/>
              <w:adjustRightInd/>
              <w:snapToGrid/>
              <w:spacing w:line="276" w:lineRule="auto"/>
            </w:pPr>
            <w:r>
              <w:rPr>
                <w:rFonts w:hint="eastAsia"/>
              </w:rPr>
              <w:t>《国家税务总局关于严格执行税款退库办理制度的通知》（国税函〔</w:t>
            </w:r>
            <w:r>
              <w:t>2011</w:t>
            </w:r>
            <w:r>
              <w:rPr>
                <w:rFonts w:hint="eastAsia"/>
              </w:rPr>
              <w:t>〕</w:t>
            </w:r>
            <w:r>
              <w:t>19</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17</w:t>
            </w:r>
          </w:p>
        </w:tc>
        <w:tc>
          <w:tcPr>
            <w:tcW w:w="5653" w:type="dxa"/>
            <w:vAlign w:val="center"/>
          </w:tcPr>
          <w:p>
            <w:pPr>
              <w:pStyle w:val="50"/>
              <w:adjustRightInd/>
              <w:snapToGrid/>
              <w:spacing w:line="276" w:lineRule="auto"/>
            </w:pPr>
            <w:r>
              <w:rPr>
                <w:rFonts w:hint="eastAsia"/>
              </w:rPr>
              <w:t>《国家税务总局中国人民银行财政部关于跨省合资铁路企业跨地区税收分享入库有关问题的通知》（国税发〔</w:t>
            </w:r>
            <w:r>
              <w:t>2012</w:t>
            </w:r>
            <w:r>
              <w:rPr>
                <w:rFonts w:hint="eastAsia"/>
              </w:rPr>
              <w:t>〕</w:t>
            </w:r>
            <w:r>
              <w:t>116</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18</w:t>
            </w:r>
          </w:p>
        </w:tc>
        <w:tc>
          <w:tcPr>
            <w:tcW w:w="5653" w:type="dxa"/>
            <w:vAlign w:val="center"/>
          </w:tcPr>
          <w:p>
            <w:pPr>
              <w:pStyle w:val="50"/>
              <w:adjustRightInd/>
              <w:snapToGrid/>
              <w:spacing w:line="276" w:lineRule="auto"/>
            </w:pPr>
            <w:r>
              <w:rPr>
                <w:rFonts w:hint="eastAsia"/>
              </w:rPr>
              <w:t>《国家税务总局财政部中国人民银行关于纳税人多缴税款退付利息的范围及退库程序的批复》（国税函〔</w:t>
            </w:r>
            <w:r>
              <w:t>2002</w:t>
            </w:r>
            <w:r>
              <w:rPr>
                <w:rFonts w:hint="eastAsia"/>
              </w:rPr>
              <w:t>〕</w:t>
            </w:r>
            <w:r>
              <w:t>566</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9</w:t>
            </w:r>
          </w:p>
        </w:tc>
        <w:tc>
          <w:tcPr>
            <w:tcW w:w="5653" w:type="dxa"/>
            <w:vAlign w:val="center"/>
          </w:tcPr>
          <w:p>
            <w:pPr>
              <w:pStyle w:val="50"/>
              <w:adjustRightInd/>
              <w:snapToGrid/>
              <w:spacing w:line="276" w:lineRule="auto"/>
              <w:rPr>
                <w:rFonts w:eastAsia="等线"/>
              </w:rPr>
            </w:pPr>
            <w:r>
              <w:rPr>
                <w:rFonts w:hint="eastAsia"/>
              </w:rPr>
              <w:t>《国家税务总局关于限售股转让所得个人所得税征缴有关问题的通知》（国税函〔</w:t>
            </w:r>
            <w:r>
              <w:t>2010</w:t>
            </w:r>
            <w:r>
              <w:rPr>
                <w:rFonts w:hint="eastAsia"/>
              </w:rPr>
              <w:t>〕</w:t>
            </w:r>
            <w:r>
              <w:t>23</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2</w:t>
            </w:r>
            <w:r>
              <w:t>0</w:t>
            </w:r>
          </w:p>
        </w:tc>
        <w:tc>
          <w:tcPr>
            <w:tcW w:w="565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2</w:t>
            </w:r>
            <w:r>
              <w:t>1</w:t>
            </w:r>
          </w:p>
        </w:tc>
        <w:tc>
          <w:tcPr>
            <w:tcW w:w="565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2</w:t>
            </w:r>
            <w:r>
              <w:t>2</w:t>
            </w:r>
          </w:p>
        </w:tc>
        <w:tc>
          <w:tcPr>
            <w:tcW w:w="565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4" w:type="dxa"/>
            <w:vAlign w:val="center"/>
          </w:tcPr>
          <w:p>
            <w:pPr>
              <w:pStyle w:val="50"/>
              <w:adjustRightInd/>
              <w:snapToGrid/>
              <w:spacing w:line="276" w:lineRule="auto"/>
            </w:pPr>
            <w:r>
              <w:rPr>
                <w:rFonts w:hint="eastAsia"/>
              </w:rPr>
              <w:t>依申请公开</w:t>
            </w:r>
          </w:p>
        </w:tc>
      </w:tr>
    </w:tbl>
    <w:p>
      <w:pPr>
        <w:pStyle w:val="37"/>
        <w:wordWrap w:val="0"/>
        <w:topLinePunct w:val="0"/>
        <w:spacing w:before="336" w:after="336"/>
        <w:rPr>
          <w:color w:val="000000" w:themeColor="text1"/>
        </w:rPr>
      </w:pPr>
      <w:bookmarkStart w:id="275" w:name="_Toc12134"/>
      <w:bookmarkStart w:id="276" w:name="_Toc18096191"/>
      <w:r>
        <w:rPr>
          <w:rFonts w:hint="eastAsia"/>
          <w:color w:val="000000" w:themeColor="text1"/>
        </w:rPr>
        <w:t>3.25.4—1</w:t>
      </w:r>
      <w:r>
        <w:rPr>
          <w:color w:val="000000" w:themeColor="text1"/>
        </w:rPr>
        <w:t>21</w:t>
      </w:r>
      <w:r>
        <w:rPr>
          <w:rFonts w:hint="eastAsia"/>
          <w:color w:val="000000" w:themeColor="text1"/>
        </w:rPr>
        <w:t>　</w:t>
      </w:r>
      <w:r>
        <w:rPr>
          <w:color w:val="000000" w:themeColor="text1"/>
        </w:rPr>
        <w:t>　</w:t>
      </w:r>
      <w:r>
        <w:rPr>
          <w:rFonts w:hint="eastAsia"/>
          <w:color w:val="000000" w:themeColor="text1"/>
        </w:rPr>
        <w:t>增值税期末留抵税额退税</w:t>
      </w:r>
      <w:bookmarkEnd w:id="275"/>
      <w:bookmarkEnd w:id="276"/>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增值税期末留抵税额退税</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符合条件的增值税一般纳税人，由于特定事项产生的留抵税额，按照一定的计算公式予以计算退还，主要包括：</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符合条件的集成电路重大项目增值税留抵税额退税。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对外购用于生产乙烯、芳烃类化工产品的石脑油、燃料油价格中消费税部分对应的增值税额退税。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符合条件的大型客机和新支线飞机增值税留抵税额退税。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自</w:t>
      </w:r>
      <w:r>
        <w:rPr>
          <w:rFonts w:cs="Times New Roman"/>
          <w:color w:val="000000" w:themeColor="text1"/>
        </w:rPr>
        <w:t>2018</w:t>
      </w:r>
      <w:r>
        <w:rPr>
          <w:rFonts w:ascii="宋体" w:hAnsi="宋体" w:cs="Times New Roman"/>
          <w:color w:val="000000" w:themeColor="text1"/>
        </w:rPr>
        <w:t>年</w:t>
      </w:r>
      <w:r>
        <w:rPr>
          <w:rFonts w:cs="Times New Roman"/>
          <w:color w:val="000000" w:themeColor="text1"/>
        </w:rPr>
        <w:t>7</w:t>
      </w:r>
      <w:r>
        <w:rPr>
          <w:rFonts w:ascii="宋体" w:hAnsi="宋体" w:cs="Times New Roman"/>
          <w:color w:val="000000" w:themeColor="text1"/>
        </w:rPr>
        <w:t>月</w:t>
      </w:r>
      <w:r>
        <w:rPr>
          <w:rFonts w:cs="Times New Roman"/>
          <w:color w:val="000000" w:themeColor="text1"/>
        </w:rPr>
        <w:t>27</w:t>
      </w:r>
      <w:r>
        <w:rPr>
          <w:rFonts w:ascii="宋体" w:hAnsi="宋体" w:cs="Times New Roman"/>
          <w:color w:val="000000" w:themeColor="text1"/>
        </w:rPr>
        <w:t>日起，对实行增值税期末留抵退税的纳税人，允许其从城市维护建设税、教育费附加和地方教育附加的计税（征）依据中扣除退还的增值税税额。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自</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4</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日起，试行增值税期末留抵税额退税制度。符合以下条件的纳税人，可以向主管税务机关申请退还增量留抵税额：自</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4</w:t>
      </w:r>
      <w:r>
        <w:rPr>
          <w:rFonts w:ascii="宋体" w:hAnsi="宋体" w:cs="Times New Roman"/>
          <w:color w:val="000000" w:themeColor="text1"/>
        </w:rPr>
        <w:t>月税款所属期起，连续六个月（按季纳税的，连续两个季度）增量留抵税额均大于零，且第六个月增量留抵税额不低于</w:t>
      </w:r>
      <w:r>
        <w:rPr>
          <w:rFonts w:cs="Times New Roman"/>
          <w:color w:val="000000" w:themeColor="text1"/>
        </w:rPr>
        <w:t>50</w:t>
      </w:r>
      <w:r>
        <w:rPr>
          <w:rFonts w:ascii="宋体" w:hAnsi="宋体" w:cs="Times New Roman"/>
          <w:color w:val="000000" w:themeColor="text1"/>
        </w:rPr>
        <w:t>万元；纳税信用等级为A级或者B级；申请退税前</w:t>
      </w:r>
      <w:r>
        <w:rPr>
          <w:rFonts w:cs="Times New Roman"/>
          <w:color w:val="000000" w:themeColor="text1"/>
        </w:rPr>
        <w:t>36</w:t>
      </w:r>
      <w:r>
        <w:rPr>
          <w:rFonts w:ascii="宋体" w:hAnsi="宋体" w:cs="Times New Roman"/>
          <w:color w:val="000000" w:themeColor="text1"/>
        </w:rPr>
        <w:t>个月未发生骗取留抵退税、出口退税或虚开增值税专用发票情形的；申请退税前</w:t>
      </w:r>
      <w:r>
        <w:rPr>
          <w:rFonts w:cs="Times New Roman"/>
          <w:color w:val="000000" w:themeColor="text1"/>
        </w:rPr>
        <w:t>36</w:t>
      </w:r>
      <w:r>
        <w:rPr>
          <w:rFonts w:ascii="宋体" w:hAnsi="宋体" w:cs="Times New Roman"/>
          <w:color w:val="000000" w:themeColor="text1"/>
        </w:rPr>
        <w:t>个月未因偷税被税务机关处罚两次及以上的；自</w:t>
      </w:r>
      <w:r>
        <w:rPr>
          <w:rFonts w:cs="Times New Roman"/>
          <w:color w:val="000000" w:themeColor="text1"/>
        </w:rPr>
        <w:t>2019</w:t>
      </w:r>
      <w:r>
        <w:rPr>
          <w:rFonts w:ascii="宋体" w:hAnsi="宋体" w:cs="Times New Roman"/>
          <w:color w:val="000000" w:themeColor="text1"/>
        </w:rPr>
        <w:t>年</w:t>
      </w:r>
      <w:r>
        <w:rPr>
          <w:rFonts w:cs="Times New Roman"/>
          <w:color w:val="000000" w:themeColor="text1"/>
        </w:rPr>
        <w:t>4</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日起未享受即征即退、先征后返（退）政策的。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6</w:t>
      </w:r>
      <w:r>
        <w:rPr>
          <w:rFonts w:hint="default" w:ascii="宋体" w:hAnsi="宋体" w:cs="Times New Roman"/>
          <w:color w:val="000000" w:themeColor="text1"/>
        </w:rPr>
        <w:t>.</w:t>
      </w:r>
      <w:r>
        <w:rPr>
          <w:rFonts w:ascii="宋体" w:hAnsi="宋体" w:cs="Times New Roman"/>
          <w:color w:val="000000" w:themeColor="text1"/>
        </w:rPr>
        <w:t>自2019年6月1日起，同时符合以下条件的部分先进制造业纳税人，可以自2019年7月及以后纳税申报期向主管税务机关申请退还增量留抵税额：增量留抵税额大于零；纳税信用等级为A级或者B级；申请退税前36个月未发生骗取留抵退税、出口退税或虚开增值税专用发票情形；申请退税前36个月未因偷税被税务机关处罚两次及以上；自2019年4月1日起未享受即征即退、先征后返(退)政策。</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《中华人民共和国税收征收管理法》第五十一条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《中华人民共和国税收征收管理法实施细则》第七十八条、第七十九条</w:t>
      </w:r>
    </w:p>
    <w:p>
      <w:pPr>
        <w:pStyle w:val="31"/>
        <w:wordWrap w:val="0"/>
        <w:adjustRightInd/>
        <w:snapToGrid/>
        <w:rPr>
          <w:color w:val="000000" w:themeColor="text1"/>
        </w:rPr>
      </w:pPr>
      <w:r>
        <w:rPr>
          <w:rFonts w:hint="eastAsia"/>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9"/>
        <w:gridCol w:w="1508"/>
        <w:gridCol w:w="2178"/>
        <w:gridCol w:w="850"/>
        <w:gridCol w:w="680"/>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79" w:type="dxa"/>
            <w:tcBorders>
              <w:top w:val="single" w:color="auto" w:sz="4" w:space="0"/>
              <w:left w:val="single" w:color="auto" w:sz="4" w:space="0"/>
              <w:bottom w:val="single" w:color="auto" w:sz="4" w:space="0"/>
              <w:right w:val="single" w:color="auto" w:sz="4" w:space="0"/>
            </w:tcBorders>
            <w:shd w:val="clear" w:color="000000" w:fill="D9D9D9"/>
            <w:tcMar>
              <w:top w:w="15" w:type="dxa"/>
              <w:left w:w="15" w:type="dxa"/>
              <w:bottom w:w="0" w:type="dxa"/>
              <w:right w:w="15" w:type="dxa"/>
            </w:tcMar>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3686" w:type="dxa"/>
            <w:gridSpan w:val="2"/>
            <w:tcBorders>
              <w:top w:val="single" w:color="auto" w:sz="4" w:space="0"/>
              <w:left w:val="single" w:color="auto" w:sz="4" w:space="0"/>
              <w:bottom w:val="single" w:color="auto" w:sz="4" w:space="0"/>
              <w:right w:val="single" w:color="auto" w:sz="4" w:space="0"/>
            </w:tcBorders>
            <w:shd w:val="clear" w:color="000000" w:fill="D9D9D9"/>
            <w:tcMar>
              <w:top w:w="15" w:type="dxa"/>
              <w:left w:w="15" w:type="dxa"/>
              <w:bottom w:w="0" w:type="dxa"/>
              <w:right w:w="15" w:type="dxa"/>
            </w:tcMar>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850" w:type="dxa"/>
            <w:tcBorders>
              <w:top w:val="single" w:color="auto" w:sz="4" w:space="0"/>
              <w:left w:val="single" w:color="auto" w:sz="4" w:space="0"/>
              <w:bottom w:val="single" w:color="auto" w:sz="4" w:space="0"/>
              <w:right w:val="single" w:color="auto" w:sz="4" w:space="0"/>
            </w:tcBorders>
            <w:shd w:val="clear" w:color="000000" w:fill="D9D9D9"/>
            <w:tcMar>
              <w:top w:w="15" w:type="dxa"/>
              <w:left w:w="15" w:type="dxa"/>
              <w:bottom w:w="0" w:type="dxa"/>
              <w:right w:w="15" w:type="dxa"/>
            </w:tcMar>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947" w:type="dxa"/>
            <w:gridSpan w:val="2"/>
            <w:tcBorders>
              <w:top w:val="single" w:color="auto" w:sz="4" w:space="0"/>
              <w:left w:val="single" w:color="auto" w:sz="4" w:space="0"/>
              <w:bottom w:val="single" w:color="auto" w:sz="4" w:space="0"/>
              <w:right w:val="single" w:color="auto" w:sz="4" w:space="0"/>
            </w:tcBorders>
            <w:shd w:val="clear" w:color="000000" w:fill="D9D9D9"/>
            <w:tcMar>
              <w:top w:w="15" w:type="dxa"/>
              <w:left w:w="15" w:type="dxa"/>
              <w:bottom w:w="0" w:type="dxa"/>
              <w:right w:w="15" w:type="dxa"/>
            </w:tcMar>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7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3686"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《增值税期末留抵税额退税申请表》</w:t>
            </w:r>
          </w:p>
        </w:tc>
        <w:tc>
          <w:tcPr>
            <w:tcW w:w="8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r>
              <w:rPr>
                <w:rFonts w:hint="eastAsia"/>
                <w:color w:val="000000" w:themeColor="text1"/>
              </w:rPr>
              <w:t>份</w:t>
            </w:r>
          </w:p>
        </w:tc>
        <w:tc>
          <w:tcPr>
            <w:tcW w:w="294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符合条件的集成电路重大项目增值税留抵税额退税、外购用于生产乙烯、芳烃类化工产品的石脑油、燃料油价格中消费税部分对应的增值税额退税、符合条件的大型客机和新支线飞机增值税留抵税额退税填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67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3686"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《退（抵）税申请表》</w:t>
            </w:r>
          </w:p>
        </w:tc>
        <w:tc>
          <w:tcPr>
            <w:tcW w:w="8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r>
              <w:rPr>
                <w:rFonts w:hint="eastAsia"/>
                <w:color w:val="000000" w:themeColor="text1"/>
              </w:rPr>
              <w:t>份</w:t>
            </w:r>
          </w:p>
        </w:tc>
        <w:tc>
          <w:tcPr>
            <w:tcW w:w="294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8162" w:type="dxa"/>
            <w:gridSpan w:val="6"/>
            <w:tcBorders>
              <w:top w:val="single" w:color="auto" w:sz="4" w:space="0"/>
              <w:left w:val="single" w:color="auto" w:sz="4" w:space="0"/>
              <w:bottom w:val="single" w:color="auto" w:sz="4" w:space="0"/>
              <w:right w:val="single" w:color="auto" w:sz="4" w:space="0"/>
            </w:tcBorders>
            <w:shd w:val="clear" w:color="000000" w:fill="D9D9D9"/>
            <w:tcMar>
              <w:top w:w="15" w:type="dxa"/>
              <w:left w:w="15" w:type="dxa"/>
              <w:bottom w:w="0" w:type="dxa"/>
              <w:right w:w="15" w:type="dxa"/>
            </w:tcMar>
            <w:vAlign w:val="center"/>
          </w:tcPr>
          <w:p>
            <w:pPr>
              <w:pStyle w:val="32"/>
              <w:wordWrap w:val="0"/>
              <w:adjustRightInd/>
              <w:snapToGrid/>
              <w:spacing w:line="240" w:lineRule="auto"/>
              <w:rPr>
                <w:color w:val="000000" w:themeColor="text1"/>
              </w:rPr>
            </w:pPr>
            <w:r>
              <w:rPr>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tcBorders>
              <w:top w:val="single" w:color="auto" w:sz="4" w:space="0"/>
              <w:left w:val="single" w:color="auto" w:sz="4" w:space="0"/>
              <w:right w:val="single" w:color="auto" w:sz="4" w:space="0"/>
            </w:tcBorders>
            <w:shd w:val="clear" w:color="auto" w:fill="D7D7D7"/>
            <w:tcMar>
              <w:top w:w="15" w:type="dxa"/>
              <w:left w:w="15" w:type="dxa"/>
              <w:bottom w:w="0" w:type="dxa"/>
              <w:right w:w="15" w:type="dxa"/>
            </w:tcMar>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适用情形</w:t>
            </w:r>
          </w:p>
        </w:tc>
        <w:tc>
          <w:tcPr>
            <w:tcW w:w="3028" w:type="dxa"/>
            <w:gridSpan w:val="2"/>
            <w:tcBorders>
              <w:top w:val="single" w:color="auto" w:sz="4" w:space="0"/>
              <w:left w:val="single" w:color="auto" w:sz="4" w:space="0"/>
              <w:bottom w:val="single" w:color="auto" w:sz="4" w:space="0"/>
              <w:right w:val="single" w:color="auto" w:sz="4" w:space="0"/>
            </w:tcBorders>
            <w:shd w:val="clear" w:color="auto" w:fill="D7D7D7"/>
            <w:tcMar>
              <w:top w:w="15" w:type="dxa"/>
              <w:left w:w="15" w:type="dxa"/>
              <w:bottom w:w="0" w:type="dxa"/>
              <w:right w:w="15" w:type="dxa"/>
            </w:tcMar>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材料名称</w:t>
            </w:r>
          </w:p>
        </w:tc>
        <w:tc>
          <w:tcPr>
            <w:tcW w:w="680" w:type="dxa"/>
            <w:tcBorders>
              <w:top w:val="single" w:color="auto" w:sz="4" w:space="0"/>
              <w:left w:val="single" w:color="auto" w:sz="4" w:space="0"/>
              <w:bottom w:val="single" w:color="auto" w:sz="4" w:space="0"/>
              <w:right w:val="single" w:color="auto" w:sz="4" w:space="0"/>
            </w:tcBorders>
            <w:shd w:val="clear" w:color="auto" w:fill="D7D7D7"/>
            <w:tcMar>
              <w:top w:w="15" w:type="dxa"/>
              <w:left w:w="15" w:type="dxa"/>
              <w:bottom w:w="0" w:type="dxa"/>
              <w:right w:w="15" w:type="dxa"/>
            </w:tcMar>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数量</w:t>
            </w:r>
          </w:p>
        </w:tc>
        <w:tc>
          <w:tcPr>
            <w:tcW w:w="2267" w:type="dxa"/>
            <w:tcBorders>
              <w:top w:val="single" w:color="auto" w:sz="4" w:space="0"/>
              <w:left w:val="single" w:color="auto" w:sz="4" w:space="0"/>
              <w:bottom w:val="single" w:color="auto" w:sz="4" w:space="0"/>
              <w:right w:val="single" w:color="auto" w:sz="4" w:space="0"/>
            </w:tcBorders>
            <w:shd w:val="clear" w:color="auto" w:fill="D7D7D7"/>
            <w:tcMar>
              <w:top w:w="15" w:type="dxa"/>
              <w:left w:w="15" w:type="dxa"/>
              <w:bottom w:w="0" w:type="dxa"/>
              <w:right w:w="15" w:type="dxa"/>
            </w:tcMar>
            <w:vAlign w:val="center"/>
          </w:tcPr>
          <w:p>
            <w:pPr>
              <w:pStyle w:val="34"/>
              <w:wordWrap w:val="0"/>
              <w:adjustRightInd/>
              <w:snapToGrid/>
              <w:spacing w:line="240" w:lineRule="auto"/>
              <w:rPr>
                <w:color w:val="000000" w:themeColor="text1"/>
                <w:sz w:val="21"/>
                <w:szCs w:val="21"/>
              </w:rPr>
            </w:pPr>
            <w:r>
              <w:rPr>
                <w:rFonts w:hint="eastAsia"/>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符合条件的集成电路重大项目增值税留抵税额退税</w:t>
            </w: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增值税专用发票复印件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海关进口增值税专用缴款书复印件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进口协议复印件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进口货物报关单复印件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对外购用于生产乙烯、芳烃类化工产品的石脑油、燃料油价格中消费税部分对应的增值税额退税</w:t>
            </w: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增值税专用发票复印件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海关进口增值税专用缴款书复印件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购进合同复印件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34"/>
              <w:wordWrap w:val="0"/>
              <w:adjustRightInd/>
              <w:snapToGrid/>
              <w:spacing w:line="240" w:lineRule="auto"/>
              <w:rPr>
                <w:color w:val="000000" w:themeColor="text1"/>
              </w:rPr>
            </w:pP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进口货物报关单复印件</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2187" w:type="dxa"/>
            <w:gridSpan w:val="2"/>
            <w:tcBorders>
              <w:top w:val="single" w:color="auto" w:sz="4" w:space="0"/>
              <w:left w:val="single" w:color="auto" w:sz="4" w:space="0"/>
              <w:right w:val="single" w:color="auto" w:sz="4" w:space="0"/>
            </w:tcBorders>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因特殊情况不能退至纳税人、扣缴义务人原缴款账户</w:t>
            </w:r>
          </w:p>
        </w:tc>
        <w:tc>
          <w:tcPr>
            <w:tcW w:w="302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color w:val="000000" w:themeColor="text1"/>
              </w:rPr>
              <w:t>由于特殊情况不能退至纳税人、扣缴义务人原缴款账户的书面说明，相关证明资料，和指定接受退税的其他账户及接受退税单位（人）名称的资料</w:t>
            </w:r>
          </w:p>
        </w:tc>
        <w:tc>
          <w:tcPr>
            <w:tcW w:w="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pStyle w:val="31"/>
        <w:wordWrap w:val="0"/>
        <w:adjustRightInd/>
        <w:snapToGrid/>
        <w:rPr>
          <w:rFonts w:ascii="宋体" w:hAnsi="宋体" w:eastAsia="宋体"/>
          <w:bCs w:val="0"/>
          <w:color w:val="000000" w:themeColor="text1"/>
        </w:rPr>
      </w:pPr>
      <w:r>
        <w:rPr>
          <w:rFonts w:hint="eastAsia" w:ascii="宋体" w:hAnsi="宋体" w:eastAsia="宋体"/>
          <w:bCs w:val="0"/>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w:t>
      </w:r>
      <w:r>
        <w:rPr>
          <w:rFonts w:hint="default" w:ascii="宋体" w:hAnsi="宋体" w:cs="Times New Roman"/>
          <w:color w:val="000000" w:themeColor="text1"/>
        </w:rPr>
        <w:t>.</w:t>
      </w:r>
      <w:r>
        <w:rPr>
          <w:rFonts w:ascii="宋体" w:hAnsi="宋体" w:cs="Times New Roman"/>
          <w:color w:val="000000" w:themeColor="text1"/>
        </w:rPr>
        <w:t>符合条件的集成电路重大项目增值税留抵税额退税和对外购用于生产乙烯、芳烃类化工产品的石脑油、燃料油价格中消费税部分对应的增值税额退税事项，</w:t>
      </w:r>
      <w:r>
        <w:rPr>
          <w:rFonts w:cs="Times New Roman"/>
          <w:color w:val="000000" w:themeColor="text1"/>
        </w:rPr>
        <w:t>15</w:t>
      </w:r>
      <w:r>
        <w:rPr>
          <w:rFonts w:ascii="宋体" w:hAnsi="宋体" w:cs="Times New Roman"/>
          <w:color w:val="000000" w:themeColor="text1"/>
        </w:rPr>
        <w:t>个工作日内办结；</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w:t>
      </w:r>
      <w:r>
        <w:rPr>
          <w:rFonts w:hint="default" w:ascii="宋体" w:hAnsi="宋体" w:cs="Times New Roman"/>
          <w:color w:val="000000" w:themeColor="text1"/>
        </w:rPr>
        <w:t>.</w:t>
      </w:r>
      <w:r>
        <w:rPr>
          <w:rFonts w:ascii="宋体" w:hAnsi="宋体" w:cs="Times New Roman"/>
          <w:color w:val="000000" w:themeColor="text1"/>
        </w:rPr>
        <w:t>其他增值税期末留抵税额退税事项，</w:t>
      </w:r>
      <w:r>
        <w:rPr>
          <w:rFonts w:cs="Times New Roman"/>
          <w:color w:val="000000" w:themeColor="text1"/>
        </w:rPr>
        <w:t>10</w:t>
      </w:r>
      <w:r>
        <w:rPr>
          <w:rFonts w:ascii="宋体" w:hAnsi="宋体" w:cs="Times New Roman"/>
          <w:color w:val="000000" w:themeColor="text1"/>
        </w:rPr>
        <w:t>个工作日内办结。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bookmarkStart w:id="277" w:name="_Hlk15391692"/>
      <w:r>
        <w:rPr>
          <w:rFonts w:hint="default" w:ascii="宋体" w:hAnsi="宋体" w:cs="Times New Roman"/>
          <w:color w:val="000000" w:themeColor="text1"/>
        </w:rPr>
        <w:drawing>
          <wp:inline distT="0" distB="0" distL="114300" distR="114300">
            <wp:extent cx="5184140" cy="1769745"/>
            <wp:effectExtent l="0" t="0" r="12700" b="13335"/>
            <wp:docPr id="74" name="图片 24" descr="C:\Users\baoqianyu\Desktop\流程图\流转\纳税人.png纳税人"/>
            <wp:cNvGraphicFramePr/>
            <a:graphic xmlns:a="http://schemas.openxmlformats.org/drawingml/2006/main">
              <a:graphicData uri="http://schemas.openxmlformats.org/drawingml/2006/picture">
                <pic:pic xmlns:pic="http://schemas.openxmlformats.org/drawingml/2006/picture">
                  <pic:nvPicPr>
                    <pic:cNvPr id="74" name="图片 24" descr="C:\Users\baoqianyu\Desktop\流程图\流转\纳税人.png纳税人"/>
                    <pic:cNvPicPr/>
                  </pic:nvPicPr>
                  <pic:blipFill>
                    <a:blip r:embed="rId15"/>
                    <a:srcRect/>
                    <a:stretch>
                      <a:fillRect/>
                    </a:stretch>
                  </pic:blipFill>
                  <pic:spPr>
                    <a:xfrm>
                      <a:off x="0" y="0"/>
                      <a:ext cx="5184140" cy="1769745"/>
                    </a:xfrm>
                    <a:prstGeom prst="rect">
                      <a:avLst/>
                    </a:prstGeom>
                    <a:noFill/>
                    <a:ln>
                      <a:noFill/>
                    </a:ln>
                  </pic:spPr>
                </pic:pic>
              </a:graphicData>
            </a:graphic>
          </wp:inline>
        </w:drawing>
      </w:r>
    </w:p>
    <w:bookmarkEnd w:id="277"/>
    <w:p>
      <w:pPr>
        <w:pStyle w:val="31"/>
        <w:wordWrap w:val="0"/>
        <w:adjustRightInd/>
        <w:snapToGrid/>
        <w:rPr>
          <w:color w:val="000000" w:themeColor="text1"/>
          <w:lang w:val="zh-CN"/>
        </w:rPr>
      </w:pPr>
      <w:bookmarkStart w:id="278" w:name="_Hlk514859329"/>
      <w:r>
        <w:rPr>
          <w:rFonts w:hint="eastAsia"/>
          <w:color w:val="000000" w:themeColor="text1"/>
          <w:lang w:val="zh-CN"/>
        </w:rPr>
        <w:t>【纳税人注意事项】</w:t>
      </w:r>
    </w:p>
    <w:bookmarkEnd w:id="278"/>
    <w:p>
      <w:pPr>
        <w:wordWrap w:val="0"/>
        <w:spacing w:line="360" w:lineRule="auto"/>
        <w:ind w:firstLine="480"/>
        <w:rPr>
          <w:rFonts w:hint="default" w:ascii="宋体" w:hAnsi="宋体" w:cs="Times New Roman"/>
          <w:color w:val="000000" w:themeColor="text1"/>
          <w:lang w:val="zh-CN"/>
        </w:rPr>
      </w:pPr>
      <w:r>
        <w:rPr>
          <w:rFonts w:cs="Times New Roman"/>
          <w:color w:val="000000" w:themeColor="text1"/>
          <w:lang w:val="zh-CN"/>
        </w:rPr>
        <w:t>1.</w:t>
      </w:r>
      <w:r>
        <w:rPr>
          <w:rFonts w:ascii="宋体" w:hAnsi="宋体" w:cs="Times New Roman"/>
          <w:color w:val="000000" w:themeColor="text1"/>
          <w:lang w:val="zh-CN"/>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bookmarkStart w:id="279" w:name="_Hlk514859322"/>
      <w:r>
        <w:rPr>
          <w:rFonts w:cs="Times New Roman"/>
          <w:color w:val="000000" w:themeColor="text1"/>
        </w:rPr>
        <w:t>5.</w:t>
      </w:r>
      <w:r>
        <w:rPr>
          <w:rFonts w:ascii="宋体" w:hAnsi="宋体" w:cs="Times New Roman"/>
          <w:color w:val="000000" w:themeColor="text1"/>
        </w:rPr>
        <w:t>符合条件的集成电路重大项目增值税留抵税额退税，对外购用于生产乙烯、芳烃类化工产品的石脑油、燃料油价格中消费税部分对应的增值税额退税，纳税人应于每月申报期结束后</w:t>
      </w:r>
      <w:r>
        <w:rPr>
          <w:rFonts w:cs="Times New Roman"/>
          <w:color w:val="000000" w:themeColor="text1"/>
        </w:rPr>
        <w:t>10</w:t>
      </w:r>
      <w:r>
        <w:rPr>
          <w:rFonts w:ascii="宋体" w:hAnsi="宋体" w:cs="Times New Roman"/>
          <w:color w:val="000000" w:themeColor="text1"/>
        </w:rPr>
        <w:t>个工作日内向主管税务机关申请退税。</w:t>
      </w:r>
      <w:bookmarkEnd w:id="279"/>
      <w:r>
        <w:rPr>
          <w:rFonts w:ascii="宋体" w:hAnsi="宋体" w:cs="Times New Roman"/>
          <w:color w:val="000000" w:themeColor="text1"/>
        </w:rPr>
        <w:t>其他符合条件的纳税人申请办理留抵退税，应于符合留抵退税条件的次月起，在增值税纳税申报期内，完成本期增值税纳税申报后，提出申请。</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纳税人收到退税款项的当月，应将退税额从增值税进项税额中转出。</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对国家批准的集成电路重大项目企业，购进使用期限超过</w:t>
      </w:r>
      <w:r>
        <w:rPr>
          <w:rFonts w:cs="Times New Roman"/>
          <w:color w:val="000000" w:themeColor="text1"/>
        </w:rPr>
        <w:t>12</w:t>
      </w:r>
      <w:r>
        <w:rPr>
          <w:rFonts w:ascii="宋体" w:hAnsi="宋体" w:cs="Times New Roman"/>
          <w:color w:val="000000" w:themeColor="text1"/>
        </w:rPr>
        <w:t>个月的机器、机械、运输工具以及其他与生产经营有关的设备、工具、器具等，因购进该设备形成的增值税期末留抵税额予以退还。</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8</w:t>
      </w:r>
      <w:r>
        <w:rPr>
          <w:rFonts w:hint="default" w:ascii="宋体" w:hAnsi="宋体" w:cs="Times New Roman"/>
          <w:color w:val="000000" w:themeColor="text1"/>
        </w:rPr>
        <w:t>.</w:t>
      </w:r>
      <w:r>
        <w:rPr>
          <w:rFonts w:ascii="宋体" w:hAnsi="宋体" w:cs="Times New Roman"/>
          <w:color w:val="000000" w:themeColor="text1"/>
        </w:rPr>
        <w:t>部分先进制造业纳税人，是指按照《国民经济行业分类》，生产并销售非金属矿物制品、通用设备、专用设备及计算机、通信和其他电子设备销售额占全部销售额的比重超过50%的纳税人。上述销售额比重根据纳税人申请退税前连续12个月的销售额计算确定；申请退税前经营期不满12个月但满3个月的，按照实际经营期的销售额计算确定。</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9</w:t>
      </w:r>
      <w:r>
        <w:rPr>
          <w:rFonts w:cs="Times New Roman"/>
          <w:color w:val="000000" w:themeColor="text1"/>
        </w:rPr>
        <w:t>.</w:t>
      </w:r>
      <w:r>
        <w:rPr>
          <w:rFonts w:ascii="宋体" w:hAnsi="宋体" w:cs="Times New Roman"/>
          <w:color w:val="000000" w:themeColor="text1"/>
        </w:rPr>
        <w:t>对实行增值税期末留抵退税的纳税人，允许其从城市维护建设税、教育费附加和地方教育附加的计税（征）依据中扣除退还的增值税税额。</w:t>
      </w:r>
    </w:p>
    <w:p>
      <w:pPr>
        <w:wordWrap w:val="0"/>
        <w:spacing w:line="360" w:lineRule="auto"/>
        <w:ind w:firstLine="480"/>
        <w:rPr>
          <w:rFonts w:hint="default" w:ascii="宋体" w:hAnsi="宋体" w:cs="Times New Roman"/>
          <w:color w:val="000000" w:themeColor="text1"/>
        </w:rPr>
      </w:pPr>
      <w:r>
        <w:rPr>
          <w:rFonts w:hint="default" w:cs="Times New Roman"/>
          <w:color w:val="000000" w:themeColor="text1"/>
        </w:rPr>
        <w:t>10</w:t>
      </w:r>
      <w:r>
        <w:rPr>
          <w:rFonts w:cs="Times New Roman"/>
          <w:color w:val="000000" w:themeColor="text1"/>
        </w:rPr>
        <w:t>.</w:t>
      </w:r>
      <w:r>
        <w:rPr>
          <w:rFonts w:ascii="宋体" w:hAnsi="宋体" w:cs="Times New Roman"/>
          <w:color w:val="000000" w:themeColor="text1"/>
        </w:rPr>
        <w:t>纳税人既有增值税欠税，又有期末留抵税额的，按最近一期《增值税纳税申报表（一般纳税人适用）》期末留抵税额，抵减增值税欠税后的余额确定允许退还的增量留抵税额。</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hint="default" w:ascii="宋体" w:hAnsi="宋体" w:cs="Times New Roman"/>
          <w:color w:val="000000" w:themeColor="text1"/>
        </w:rPr>
        <w:t>个工作日内通知纳税人领取办理结果，制作</w:t>
      </w:r>
      <w:r>
        <w:rPr>
          <w:rFonts w:ascii="宋体" w:hAnsi="宋体" w:cs="Times New Roman"/>
          <w:color w:val="000000" w:themeColor="text1"/>
        </w:rPr>
        <w:t>并</w:t>
      </w:r>
      <w:r>
        <w:rPr>
          <w:rFonts w:hint="default" w:ascii="宋体" w:hAnsi="宋体" w:cs="Times New Roman"/>
          <w:color w:val="000000" w:themeColor="text1"/>
        </w:rPr>
        <w:t>发放《税务事项通知书》。电子税务局办理的，将办理结果通过电子税务局反馈给纳税人。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税务机关能够获取相关信息的，可不再报送纸质资料。</w:t>
      </w:r>
    </w:p>
    <w:p>
      <w:pPr>
        <w:wordWrap w:val="0"/>
        <w:spacing w:line="360" w:lineRule="auto"/>
        <w:ind w:firstLine="480"/>
        <w:rPr>
          <w:rFonts w:hint="default" w:ascii="黑体" w:hAnsi="黑体" w:eastAsia="黑体" w:cs="黑体"/>
          <w:color w:val="000000" w:themeColor="text1"/>
        </w:rPr>
      </w:pPr>
      <w:r>
        <w:rPr>
          <w:rFonts w:ascii="黑体" w:hAnsi="黑体" w:eastAsia="黑体" w:cs="黑体"/>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进入金三操作系统，通过文书受理岗权限，按照【管理服务】—【文书管理】—【退税类】—</w:t>
      </w:r>
      <w:bookmarkStart w:id="294" w:name="_GoBack"/>
      <w:r>
        <w:rPr>
          <w:rFonts w:cs="Times New Roman"/>
          <w:b/>
          <w:bCs/>
          <w:color w:val="000000" w:themeColor="text1"/>
        </w:rPr>
        <w:t>【增值税期末留抵税额退税】的</w:t>
      </w:r>
      <w:bookmarkEnd w:id="294"/>
      <w:r>
        <w:rPr>
          <w:rFonts w:cs="Times New Roman"/>
          <w:color w:val="000000" w:themeColor="text1"/>
        </w:rPr>
        <w:t>路径进入功能模块。</w:t>
      </w:r>
    </w:p>
    <w:p>
      <w:pPr>
        <w:wordWrap w:val="0"/>
        <w:spacing w:line="360" w:lineRule="auto"/>
        <w:ind w:firstLine="480"/>
        <w:rPr>
          <w:rFonts w:hint="default" w:cs="Times New Roman"/>
          <w:color w:val="000000" w:themeColor="text1"/>
        </w:rPr>
      </w:pPr>
      <w:r>
        <w:rPr>
          <w:rFonts w:cs="Times New Roman"/>
          <w:color w:val="000000" w:themeColor="text1"/>
        </w:rPr>
        <w:t>2.发放环节</w:t>
      </w:r>
    </w:p>
    <w:p>
      <w:pPr>
        <w:wordWrap w:val="0"/>
        <w:spacing w:line="360" w:lineRule="auto"/>
        <w:ind w:firstLine="480"/>
        <w:rPr>
          <w:rFonts w:hint="default" w:ascii="宋体" w:hAnsi="宋体" w:cs="Times New Roman"/>
          <w:color w:val="000000" w:themeColor="text1"/>
        </w:rPr>
      </w:pPr>
      <w:r>
        <w:rPr>
          <w:rFonts w:cs="Times New Roman"/>
          <w:color w:val="000000" w:themeColor="text1"/>
        </w:rPr>
        <w:t>办理人员从待办任务中打开相对应的增值税期末留抵税额退税发放事项，进入发放界面，打印《税务事项通知书（增值税期末留抵税额退税）》交纳税人。</w:t>
      </w:r>
    </w:p>
    <w:p>
      <w:pPr>
        <w:ind w:firstLine="480"/>
        <w:rPr>
          <w:rFonts w:hint="default"/>
          <w:b/>
        </w:rPr>
      </w:pPr>
      <w:r>
        <w:rPr>
          <w:rFonts w:ascii="黑体" w:hAnsi="黑体" w:eastAsia="黑体" w:cs="黑体"/>
          <w:color w:val="000000" w:themeColor="text1"/>
        </w:rPr>
        <w:t>【表证单书填写范本】</w:t>
      </w:r>
    </w:p>
    <w:p>
      <w:pPr>
        <w:ind w:firstLine="0" w:firstLineChars="0"/>
        <w:jc w:val="center"/>
        <w:rPr>
          <w:rFonts w:hint="default" w:ascii="黑体" w:hAnsi="黑体" w:eastAsia="黑体" w:cs="黑体"/>
          <w:bCs/>
          <w:sz w:val="36"/>
          <w:szCs w:val="36"/>
        </w:rPr>
      </w:pPr>
      <w:r>
        <w:rPr>
          <w:rFonts w:ascii="黑体" w:hAnsi="黑体" w:eastAsia="黑体" w:cs="黑体"/>
          <w:bCs/>
          <w:sz w:val="36"/>
          <w:szCs w:val="36"/>
        </w:rPr>
        <w:t>增值税期末留抵税额退税申请表</w:t>
      </w:r>
    </w:p>
    <w:p>
      <w:pPr>
        <w:ind w:firstLine="0" w:firstLineChars="0"/>
        <w:jc w:val="center"/>
        <w:rPr>
          <w:rFonts w:hint="default" w:cs="宋体" w:asciiTheme="minorEastAsia" w:hAnsiTheme="minorEastAsia" w:eastAsiaTheme="minorEastAsia"/>
          <w:b/>
          <w:color w:val="0000FF"/>
          <w:lang w:val="zh-CN" w:bidi="zh-CN"/>
        </w:rPr>
      </w:pPr>
      <w:r>
        <w:rPr>
          <w:rFonts w:cs="宋体" w:asciiTheme="minorEastAsia" w:hAnsiTheme="minorEastAsia" w:eastAsiaTheme="minorEastAsia"/>
          <w:b/>
          <w:color w:val="0000FF"/>
          <w:lang w:val="zh-CN" w:bidi="zh-CN"/>
        </w:rPr>
        <w:t>（以集成电路重大项目增值税留抵税额退税为例）</w:t>
      </w:r>
    </w:p>
    <w:p>
      <w:pPr>
        <w:ind w:firstLine="5060" w:firstLineChars="2100"/>
        <w:rPr>
          <w:rFonts w:hint="default" w:asciiTheme="minorEastAsia" w:hAnsiTheme="minorEastAsia" w:eastAsiaTheme="minorEastAsia"/>
          <w:b/>
        </w:rPr>
      </w:pPr>
      <w:r>
        <w:rPr>
          <w:rFonts w:asciiTheme="minorEastAsia" w:hAnsiTheme="minorEastAsia" w:eastAsiaTheme="minorEastAsia"/>
          <w:b/>
        </w:rPr>
        <w:t>填报时间：</w:t>
      </w:r>
      <w:r>
        <w:rPr>
          <w:rFonts w:asciiTheme="minorEastAsia" w:hAnsiTheme="minorEastAsia" w:eastAsiaTheme="minorEastAsia"/>
          <w:b/>
          <w:bCs/>
          <w:color w:val="0000FF"/>
          <w:sz w:val="21"/>
        </w:rPr>
        <w:t>××</w:t>
      </w:r>
      <w:r>
        <w:rPr>
          <w:rFonts w:asciiTheme="minorEastAsia" w:hAnsiTheme="minorEastAsia" w:eastAsiaTheme="minorEastAsia"/>
          <w:b/>
        </w:rPr>
        <w:t>年</w:t>
      </w:r>
      <w:r>
        <w:rPr>
          <w:rFonts w:asciiTheme="minorEastAsia" w:hAnsiTheme="minorEastAsia" w:eastAsiaTheme="minorEastAsia"/>
          <w:b/>
          <w:bCs/>
          <w:color w:val="0000FF"/>
          <w:sz w:val="21"/>
        </w:rPr>
        <w:t>××</w:t>
      </w:r>
      <w:r>
        <w:rPr>
          <w:rFonts w:asciiTheme="minorEastAsia" w:hAnsiTheme="minorEastAsia" w:eastAsiaTheme="minorEastAsia"/>
          <w:b/>
        </w:rPr>
        <w:t>月</w:t>
      </w:r>
      <w:r>
        <w:rPr>
          <w:rFonts w:asciiTheme="minorEastAsia" w:hAnsiTheme="minorEastAsia" w:eastAsiaTheme="minorEastAsia"/>
          <w:b/>
          <w:bCs/>
          <w:color w:val="0000FF"/>
          <w:sz w:val="21"/>
        </w:rPr>
        <w:t>××</w:t>
      </w:r>
      <w:r>
        <w:rPr>
          <w:rFonts w:asciiTheme="minorEastAsia" w:hAnsiTheme="minorEastAsia" w:eastAsiaTheme="minorEastAsia"/>
          <w:b/>
        </w:rPr>
        <w:t>日</w:t>
      </w:r>
    </w:p>
    <w:p>
      <w:pPr>
        <w:ind w:firstLine="6505" w:firstLineChars="2700"/>
        <w:rPr>
          <w:rFonts w:hint="default" w:asciiTheme="minorEastAsia" w:hAnsiTheme="minorEastAsia" w:eastAsiaTheme="minorEastAsia"/>
          <w:b/>
        </w:rPr>
      </w:pPr>
      <w:r>
        <w:rPr>
          <w:rFonts w:asciiTheme="minorEastAsia" w:hAnsiTheme="minorEastAsia" w:eastAsiaTheme="minorEastAsia"/>
          <w:b/>
        </w:rPr>
        <w:t>金额单位：元</w:t>
      </w:r>
    </w:p>
    <w:tbl>
      <w:tblPr>
        <w:tblStyle w:val="18"/>
        <w:tblW w:w="842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77"/>
        <w:gridCol w:w="975"/>
        <w:gridCol w:w="771"/>
        <w:gridCol w:w="1355"/>
        <w:gridCol w:w="425"/>
        <w:gridCol w:w="426"/>
        <w:gridCol w:w="1275"/>
        <w:gridCol w:w="162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4" w:hRule="atLeast"/>
          <w:jc w:val="center"/>
        </w:trPr>
        <w:tc>
          <w:tcPr>
            <w:tcW w:w="1577" w:type="dxa"/>
            <w:vAlign w:val="center"/>
          </w:tcPr>
          <w:p>
            <w:pPr>
              <w:pStyle w:val="53"/>
              <w:spacing w:before="137"/>
              <w:ind w:right="120"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纳税人识别号</w:t>
            </w:r>
          </w:p>
        </w:tc>
        <w:tc>
          <w:tcPr>
            <w:tcW w:w="1746" w:type="dxa"/>
            <w:gridSpan w:val="2"/>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bCs/>
                <w:color w:val="0000FF"/>
                <w:sz w:val="21"/>
              </w:rPr>
              <w:t>××××××</w:t>
            </w:r>
          </w:p>
        </w:tc>
        <w:tc>
          <w:tcPr>
            <w:tcW w:w="2206" w:type="dxa"/>
            <w:gridSpan w:val="3"/>
            <w:vAlign w:val="center"/>
          </w:tcPr>
          <w:p>
            <w:pPr>
              <w:pStyle w:val="53"/>
              <w:spacing w:before="137"/>
              <w:ind w:right="114"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纳税人名称</w:t>
            </w:r>
          </w:p>
        </w:tc>
        <w:tc>
          <w:tcPr>
            <w:tcW w:w="2899"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jc w:val="center"/>
        </w:trPr>
        <w:tc>
          <w:tcPr>
            <w:tcW w:w="1577" w:type="dxa"/>
            <w:vAlign w:val="center"/>
          </w:tcPr>
          <w:p>
            <w:pPr>
              <w:pStyle w:val="53"/>
              <w:spacing w:before="44"/>
              <w:ind w:right="120"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银行名称</w:t>
            </w:r>
          </w:p>
        </w:tc>
        <w:tc>
          <w:tcPr>
            <w:tcW w:w="6851" w:type="dxa"/>
            <w:gridSpan w:val="7"/>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color w:val="0000FF"/>
              </w:rPr>
              <w:t>接收国库退税税款的开户银行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1577" w:type="dxa"/>
            <w:vAlign w:val="center"/>
          </w:tcPr>
          <w:p>
            <w:pPr>
              <w:pStyle w:val="53"/>
              <w:spacing w:before="46"/>
              <w:ind w:right="118"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账户名称</w:t>
            </w:r>
          </w:p>
        </w:tc>
        <w:tc>
          <w:tcPr>
            <w:tcW w:w="1746" w:type="dxa"/>
            <w:gridSpan w:val="2"/>
            <w:vAlign w:val="center"/>
          </w:tcPr>
          <w:p>
            <w:pPr>
              <w:pStyle w:val="53"/>
              <w:ind w:firstLine="0" w:firstLineChars="0"/>
              <w:rPr>
                <w:rFonts w:hint="default" w:asciiTheme="minorEastAsia" w:hAnsiTheme="minorEastAsia" w:eastAsiaTheme="minorEastAsia"/>
                <w:sz w:val="22"/>
                <w:lang w:val="en-US"/>
              </w:rPr>
            </w:pPr>
            <w:r>
              <w:rPr>
                <w:rFonts w:asciiTheme="minorEastAsia" w:hAnsiTheme="minorEastAsia" w:eastAsiaTheme="minorEastAsia"/>
                <w:b/>
                <w:color w:val="0000FF"/>
              </w:rPr>
              <w:t>接收国库退税税款的开户银行</w:t>
            </w:r>
            <w:r>
              <w:rPr>
                <w:rFonts w:asciiTheme="minorEastAsia" w:hAnsiTheme="minorEastAsia" w:eastAsiaTheme="minorEastAsia"/>
                <w:b/>
                <w:color w:val="0000FF"/>
                <w:lang w:val="en-US"/>
              </w:rPr>
              <w:t>账户名称</w:t>
            </w:r>
          </w:p>
        </w:tc>
        <w:tc>
          <w:tcPr>
            <w:tcW w:w="1355" w:type="dxa"/>
            <w:vAlign w:val="center"/>
          </w:tcPr>
          <w:p>
            <w:pPr>
              <w:pStyle w:val="53"/>
              <w:spacing w:before="46"/>
              <w:ind w:right="114"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银行账号</w:t>
            </w:r>
          </w:p>
        </w:tc>
        <w:tc>
          <w:tcPr>
            <w:tcW w:w="3750" w:type="dxa"/>
            <w:gridSpan w:val="4"/>
            <w:vAlign w:val="center"/>
          </w:tcPr>
          <w:p>
            <w:pPr>
              <w:pStyle w:val="53"/>
              <w:ind w:firstLine="0" w:firstLineChars="0"/>
              <w:rPr>
                <w:rFonts w:hint="default" w:asciiTheme="minorEastAsia" w:hAnsiTheme="minorEastAsia" w:eastAsiaTheme="minorEastAsia"/>
                <w:sz w:val="22"/>
              </w:rPr>
            </w:pPr>
            <w:r>
              <w:rPr>
                <w:rFonts w:hint="default"/>
              </w:rPr>
              <w:pict>
                <v:shape id="对话气泡: 椭圆形 45" o:spid="_x0000_s1038" o:spt="63" type="#_x0000_t63" style="position:absolute;left:0pt;margin-left:135.9pt;margin-top:34.05pt;height:65.45pt;width:92.2pt;z-index:25166540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" adj="-1827,16732">
                  <v:path arrowok="t"/>
                  <v:fill focussize="0,0"/>
                  <v:stroke joinstyle="miter"/>
                  <v:imagedata o:title=""/>
                  <o:lock v:ext="edit"/>
                  <v:textbox>
                    <w:txbxContent>
                      <w:p>
                        <w:pPr>
                          <w:ind w:firstLine="0" w:firstLineChars="0"/>
                          <w:rPr>
                            <w:rFonts w:hint="default" w:ascii="黑体" w:hAnsi="黑体" w:eastAsia="黑体"/>
                            <w:b/>
                            <w:color w:val="0000FF"/>
                          </w:rPr>
                        </w:pPr>
                        <w:r>
                          <w:rPr>
                            <w:rFonts w:ascii="黑体" w:hAnsi="黑体" w:eastAsia="黑体"/>
                            <w:b/>
                            <w:color w:val="0000FF"/>
                          </w:rPr>
                          <w:t>根据实际</w:t>
                        </w:r>
                      </w:p>
                      <w:p>
                        <w:pPr>
                          <w:ind w:firstLine="0" w:firstLineChars="0"/>
                          <w:rPr>
                            <w:rFonts w:hint="default" w:ascii="黑体" w:hAnsi="黑体" w:eastAsia="黑体"/>
                            <w:b/>
                            <w:color w:val="0000FF"/>
                          </w:rPr>
                        </w:pPr>
                        <w:r>
                          <w:rPr>
                            <w:rFonts w:ascii="黑体" w:hAnsi="黑体" w:eastAsia="黑体"/>
                            <w:b/>
                            <w:color w:val="0000FF"/>
                          </w:rPr>
                          <w:t>情况勾选</w:t>
                        </w:r>
                      </w:p>
                    </w:txbxContent>
                  </v:textbox>
                </v:shape>
              </w:pict>
            </w:r>
            <w:r>
              <w:rPr>
                <w:rFonts w:asciiTheme="minorEastAsia" w:hAnsiTheme="minorEastAsia" w:eastAsiaTheme="minorEastAsia"/>
                <w:b/>
                <w:color w:val="0000FF"/>
              </w:rPr>
              <w:t>接收国库退税税款的开户银行账号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1577" w:type="dxa"/>
            <w:vAlign w:val="center"/>
          </w:tcPr>
          <w:p>
            <w:pPr>
              <w:pStyle w:val="53"/>
              <w:spacing w:before="46"/>
              <w:ind w:right="120"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退税原因类型</w:t>
            </w:r>
          </w:p>
        </w:tc>
        <w:tc>
          <w:tcPr>
            <w:tcW w:w="1746" w:type="dxa"/>
            <w:gridSpan w:val="2"/>
            <w:vAlign w:val="center"/>
          </w:tcPr>
          <w:p>
            <w:pPr>
              <w:pStyle w:val="53"/>
              <w:ind w:firstLine="0" w:firstLineChars="0"/>
              <w:rPr>
                <w:rFonts w:hint="default" w:asciiTheme="minorEastAsia" w:hAnsiTheme="minorEastAsia" w:eastAsiaTheme="minorEastAsia"/>
                <w:sz w:val="22"/>
                <w:lang w:val="en-US"/>
              </w:rPr>
            </w:pPr>
            <w:r>
              <w:rPr>
                <w:rFonts w:asciiTheme="minorEastAsia" w:hAnsiTheme="minorEastAsia" w:eastAsiaTheme="minorEastAsia"/>
                <w:b/>
                <w:color w:val="0000FF"/>
                <w:lang w:val="en-US"/>
              </w:rPr>
              <w:t>增值税期末留抵退税</w:t>
            </w:r>
          </w:p>
        </w:tc>
        <w:tc>
          <w:tcPr>
            <w:tcW w:w="1355" w:type="dxa"/>
            <w:vAlign w:val="center"/>
          </w:tcPr>
          <w:p>
            <w:pPr>
              <w:pStyle w:val="53"/>
              <w:spacing w:before="46"/>
              <w:ind w:right="114" w:firstLine="0" w:firstLineChars="0"/>
              <w:rPr>
                <w:rFonts w:hint="default" w:asciiTheme="minorEastAsia" w:hAnsiTheme="minorEastAsia" w:eastAsiaTheme="minorEastAsia"/>
                <w:sz w:val="21"/>
              </w:rPr>
            </w:pPr>
            <w:r>
              <w:rPr>
                <w:rFonts w:asciiTheme="minorEastAsia" w:hAnsiTheme="minorEastAsia" w:eastAsiaTheme="minorEastAsia"/>
                <w:sz w:val="21"/>
              </w:rPr>
              <w:t>退抵税方式</w:t>
            </w:r>
          </w:p>
        </w:tc>
        <w:tc>
          <w:tcPr>
            <w:tcW w:w="3750" w:type="dxa"/>
            <w:gridSpan w:val="4"/>
            <w:vAlign w:val="center"/>
          </w:tcPr>
          <w:p>
            <w:pPr>
              <w:pStyle w:val="53"/>
              <w:ind w:firstLine="0" w:firstLineChars="0"/>
              <w:rPr>
                <w:rFonts w:hint="default" w:asciiTheme="minorEastAsia" w:hAnsiTheme="minorEastAsia" w:eastAsiaTheme="minorEastAsia"/>
                <w:sz w:val="22"/>
                <w:lang w:val="en-US"/>
              </w:rPr>
            </w:pPr>
            <w:r>
              <w:rPr>
                <w:rFonts w:asciiTheme="minorEastAsia" w:hAnsiTheme="minorEastAsia" w:eastAsiaTheme="minorEastAsia"/>
                <w:b/>
                <w:color w:val="0000FF"/>
                <w:lang w:val="en-US"/>
              </w:rPr>
              <w:t>退税/抵欠/先抵后退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34" w:hRule="atLeast"/>
          <w:jc w:val="center"/>
        </w:trPr>
        <w:tc>
          <w:tcPr>
            <w:tcW w:w="3323" w:type="dxa"/>
            <w:gridSpan w:val="3"/>
            <w:vAlign w:val="center"/>
          </w:tcPr>
          <w:p>
            <w:pPr>
              <w:pStyle w:val="53"/>
              <w:spacing w:before="44" w:line="321" w:lineRule="auto"/>
              <w:ind w:right="27"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退抵税企业类型（请选择对应项目打√）</w:t>
            </w:r>
          </w:p>
        </w:tc>
        <w:tc>
          <w:tcPr>
            <w:tcW w:w="5105" w:type="dxa"/>
            <w:gridSpan w:val="5"/>
            <w:vAlign w:val="center"/>
          </w:tcPr>
          <w:p>
            <w:pPr>
              <w:pStyle w:val="53"/>
              <w:spacing w:before="44"/>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集成电路企业 【</w:t>
            </w:r>
            <w:r>
              <w:rPr>
                <w:rFonts w:asciiTheme="minorEastAsia" w:hAnsiTheme="minorEastAsia" w:eastAsiaTheme="minorEastAsia"/>
                <w:b/>
                <w:bCs/>
                <w:color w:val="0033CC"/>
                <w:sz w:val="21"/>
              </w:rPr>
              <w:t>√</w:t>
            </w:r>
            <w:r>
              <w:rPr>
                <w:rFonts w:asciiTheme="minorEastAsia" w:hAnsiTheme="minorEastAsia" w:eastAsiaTheme="minorEastAsia"/>
                <w:sz w:val="21"/>
              </w:rPr>
              <w:t>】 2 类油品企业【 】 大型</w:t>
            </w:r>
            <w:r>
              <w:rPr>
                <w:rFonts w:asciiTheme="minorEastAsia" w:hAnsiTheme="minorEastAsia" w:eastAsiaTheme="minorEastAsia"/>
                <w:spacing w:val="-3"/>
                <w:sz w:val="21"/>
              </w:rPr>
              <w:t>客</w:t>
            </w:r>
            <w:r>
              <w:rPr>
                <w:rFonts w:asciiTheme="minorEastAsia" w:hAnsiTheme="minorEastAsia" w:eastAsiaTheme="minorEastAsia"/>
                <w:sz w:val="21"/>
              </w:rPr>
              <w:t>机</w:t>
            </w:r>
            <w:r>
              <w:rPr>
                <w:rFonts w:asciiTheme="minorEastAsia" w:hAnsiTheme="minorEastAsia" w:eastAsiaTheme="minorEastAsia"/>
                <w:spacing w:val="-3"/>
                <w:sz w:val="21"/>
              </w:rPr>
              <w:t>和</w:t>
            </w:r>
            <w:r>
              <w:rPr>
                <w:rFonts w:asciiTheme="minorEastAsia" w:hAnsiTheme="minorEastAsia" w:eastAsiaTheme="minorEastAsia"/>
                <w:sz w:val="21"/>
              </w:rPr>
              <w:t>新</w:t>
            </w:r>
            <w:r>
              <w:rPr>
                <w:rFonts w:asciiTheme="minorEastAsia" w:hAnsiTheme="minorEastAsia" w:eastAsiaTheme="minorEastAsia"/>
                <w:spacing w:val="-3"/>
                <w:sz w:val="21"/>
              </w:rPr>
              <w:t>支</w:t>
            </w:r>
            <w:r>
              <w:rPr>
                <w:rFonts w:asciiTheme="minorEastAsia" w:hAnsiTheme="minorEastAsia" w:eastAsiaTheme="minorEastAsia"/>
                <w:sz w:val="21"/>
              </w:rPr>
              <w:t>线</w:t>
            </w:r>
            <w:r>
              <w:rPr>
                <w:rFonts w:asciiTheme="minorEastAsia" w:hAnsiTheme="minorEastAsia" w:eastAsiaTheme="minorEastAsia"/>
                <w:spacing w:val="-3"/>
                <w:sz w:val="21"/>
              </w:rPr>
              <w:t>飞</w:t>
            </w:r>
            <w:r>
              <w:rPr>
                <w:rFonts w:asciiTheme="minorEastAsia" w:hAnsiTheme="minorEastAsia" w:eastAsiaTheme="minorEastAsia"/>
                <w:sz w:val="21"/>
              </w:rPr>
              <w:t>机</w:t>
            </w:r>
            <w:r>
              <w:rPr>
                <w:rFonts w:asciiTheme="minorEastAsia" w:hAnsiTheme="minorEastAsia" w:eastAsiaTheme="minorEastAsia"/>
                <w:spacing w:val="-3"/>
                <w:sz w:val="21"/>
              </w:rPr>
              <w:t>企</w:t>
            </w:r>
            <w:r>
              <w:rPr>
                <w:rFonts w:asciiTheme="minorEastAsia" w:hAnsiTheme="minorEastAsia" w:eastAsiaTheme="minorEastAsia"/>
                <w:sz w:val="21"/>
              </w:rPr>
              <w:t>业【</w:t>
            </w:r>
            <w:r>
              <w:rPr>
                <w:rFonts w:asciiTheme="minorEastAsia" w:hAnsiTheme="minorEastAsia" w:eastAsiaTheme="minorEastAsia"/>
                <w:sz w:val="21"/>
              </w:rPr>
              <w:tab/>
            </w:r>
            <w:r>
              <w:rPr>
                <w:rFonts w:asciiTheme="minorEastAsia" w:hAnsiTheme="minorEastAsia" w:eastAsiaTheme="minorEastAsia"/>
                <w:sz w:val="21"/>
              </w:rPr>
              <w:t>】</w:t>
            </w:r>
            <w:r>
              <w:rPr>
                <w:rFonts w:asciiTheme="minorEastAsia" w:hAnsiTheme="minorEastAsia" w:eastAsiaTheme="minorEastAsia"/>
                <w:spacing w:val="6"/>
                <w:sz w:val="21"/>
              </w:rPr>
              <w:t xml:space="preserve"> </w:t>
            </w:r>
            <w:r>
              <w:rPr>
                <w:rFonts w:asciiTheme="minorEastAsia" w:hAnsiTheme="minorEastAsia" w:eastAsiaTheme="minorEastAsia"/>
                <w:sz w:val="21"/>
              </w:rPr>
              <w:t>装</w:t>
            </w:r>
            <w:r>
              <w:rPr>
                <w:rFonts w:asciiTheme="minorEastAsia" w:hAnsiTheme="minorEastAsia" w:eastAsiaTheme="minorEastAsia"/>
                <w:spacing w:val="-3"/>
                <w:sz w:val="21"/>
              </w:rPr>
              <w:t>备</w:t>
            </w:r>
            <w:r>
              <w:rPr>
                <w:rFonts w:asciiTheme="minorEastAsia" w:hAnsiTheme="minorEastAsia" w:eastAsiaTheme="minorEastAsia"/>
                <w:sz w:val="21"/>
              </w:rPr>
              <w:t>制</w:t>
            </w:r>
            <w:r>
              <w:rPr>
                <w:rFonts w:asciiTheme="minorEastAsia" w:hAnsiTheme="minorEastAsia" w:eastAsiaTheme="minorEastAsia"/>
                <w:spacing w:val="-3"/>
                <w:sz w:val="21"/>
              </w:rPr>
              <w:t>造</w:t>
            </w:r>
            <w:r>
              <w:rPr>
                <w:rFonts w:asciiTheme="minorEastAsia" w:hAnsiTheme="minorEastAsia" w:eastAsiaTheme="minorEastAsia"/>
                <w:sz w:val="21"/>
              </w:rPr>
              <w:t>等</w:t>
            </w:r>
            <w:r>
              <w:rPr>
                <w:rFonts w:asciiTheme="minorEastAsia" w:hAnsiTheme="minorEastAsia" w:eastAsiaTheme="minorEastAsia"/>
                <w:spacing w:val="-3"/>
                <w:sz w:val="21"/>
              </w:rPr>
              <w:t>先</w:t>
            </w:r>
            <w:r>
              <w:rPr>
                <w:rFonts w:asciiTheme="minorEastAsia" w:hAnsiTheme="minorEastAsia" w:eastAsiaTheme="minorEastAsia"/>
                <w:spacing w:val="-15"/>
                <w:sz w:val="21"/>
              </w:rPr>
              <w:t>进</w:t>
            </w:r>
            <w:r>
              <w:rPr>
                <w:rFonts w:asciiTheme="minorEastAsia" w:hAnsiTheme="minorEastAsia" w:eastAsiaTheme="minorEastAsia"/>
                <w:sz w:val="21"/>
              </w:rPr>
              <w:t>制造</w:t>
            </w:r>
            <w:r>
              <w:rPr>
                <w:rFonts w:asciiTheme="minorEastAsia" w:hAnsiTheme="minorEastAsia" w:eastAsiaTheme="minorEastAsia"/>
                <w:spacing w:val="-3"/>
                <w:sz w:val="21"/>
              </w:rPr>
              <w:t>业</w:t>
            </w:r>
            <w:r>
              <w:rPr>
                <w:rFonts w:asciiTheme="minorEastAsia" w:hAnsiTheme="minorEastAsia" w:eastAsiaTheme="minorEastAsia"/>
                <w:sz w:val="21"/>
              </w:rPr>
              <w:t>【</w:t>
            </w:r>
            <w:r>
              <w:rPr>
                <w:rFonts w:asciiTheme="minorEastAsia" w:hAnsiTheme="minorEastAsia" w:eastAsiaTheme="minorEastAsia"/>
                <w:spacing w:val="6"/>
                <w:sz w:val="21"/>
              </w:rPr>
              <w:t xml:space="preserve"> </w:t>
            </w:r>
            <w:r>
              <w:rPr>
                <w:rFonts w:asciiTheme="minorEastAsia" w:hAnsiTheme="minorEastAsia" w:eastAsiaTheme="minorEastAsia"/>
                <w:sz w:val="21"/>
              </w:rPr>
              <w:t>】</w:t>
            </w:r>
            <w:r>
              <w:rPr>
                <w:rFonts w:asciiTheme="minorEastAsia" w:hAnsiTheme="minorEastAsia" w:eastAsiaTheme="minorEastAsia"/>
                <w:spacing w:val="1"/>
                <w:sz w:val="21"/>
              </w:rPr>
              <w:t xml:space="preserve"> </w:t>
            </w:r>
            <w:r>
              <w:rPr>
                <w:rFonts w:asciiTheme="minorEastAsia" w:hAnsiTheme="minorEastAsia" w:eastAsiaTheme="minorEastAsia"/>
                <w:sz w:val="21"/>
              </w:rPr>
              <w:t>研</w:t>
            </w:r>
            <w:r>
              <w:rPr>
                <w:rFonts w:asciiTheme="minorEastAsia" w:hAnsiTheme="minorEastAsia" w:eastAsiaTheme="minorEastAsia"/>
                <w:spacing w:val="-3"/>
                <w:sz w:val="21"/>
              </w:rPr>
              <w:t>发</w:t>
            </w:r>
            <w:r>
              <w:rPr>
                <w:rFonts w:asciiTheme="minorEastAsia" w:hAnsiTheme="minorEastAsia" w:eastAsiaTheme="minorEastAsia"/>
                <w:sz w:val="21"/>
              </w:rPr>
              <w:t>等</w:t>
            </w:r>
            <w:r>
              <w:rPr>
                <w:rFonts w:asciiTheme="minorEastAsia" w:hAnsiTheme="minorEastAsia" w:eastAsiaTheme="minorEastAsia"/>
                <w:spacing w:val="-3"/>
                <w:sz w:val="21"/>
              </w:rPr>
              <w:t>现</w:t>
            </w:r>
            <w:r>
              <w:rPr>
                <w:rFonts w:asciiTheme="minorEastAsia" w:hAnsiTheme="minorEastAsia" w:eastAsiaTheme="minorEastAsia"/>
                <w:sz w:val="21"/>
              </w:rPr>
              <w:t>代服</w:t>
            </w:r>
            <w:r>
              <w:rPr>
                <w:rFonts w:asciiTheme="minorEastAsia" w:hAnsiTheme="minorEastAsia" w:eastAsiaTheme="minorEastAsia"/>
                <w:spacing w:val="-3"/>
                <w:sz w:val="21"/>
              </w:rPr>
              <w:t>务</w:t>
            </w:r>
            <w:r>
              <w:rPr>
                <w:rFonts w:asciiTheme="minorEastAsia" w:hAnsiTheme="minorEastAsia" w:eastAsiaTheme="minorEastAsia"/>
                <w:sz w:val="21"/>
              </w:rPr>
              <w:t>业</w:t>
            </w:r>
            <w:r>
              <w:rPr>
                <w:rFonts w:asciiTheme="minorEastAsia" w:hAnsiTheme="minorEastAsia" w:eastAsiaTheme="minorEastAsia"/>
                <w:spacing w:val="-3"/>
                <w:sz w:val="21"/>
              </w:rPr>
              <w:t>【</w:t>
            </w:r>
            <w:r>
              <w:rPr>
                <w:rFonts w:asciiTheme="minorEastAsia" w:hAnsiTheme="minorEastAsia" w:eastAsiaTheme="minorEastAsia"/>
                <w:spacing w:val="14"/>
                <w:sz w:val="21"/>
              </w:rPr>
              <w:t xml:space="preserve"> </w:t>
            </w:r>
            <w:r>
              <w:rPr>
                <w:rFonts w:asciiTheme="minorEastAsia" w:hAnsiTheme="minorEastAsia" w:eastAsiaTheme="minorEastAsia"/>
                <w:sz w:val="21"/>
              </w:rPr>
              <w:t>】</w:t>
            </w:r>
            <w:r>
              <w:rPr>
                <w:rFonts w:asciiTheme="minorEastAsia" w:hAnsiTheme="minorEastAsia" w:eastAsiaTheme="minorEastAsia"/>
                <w:spacing w:val="3"/>
                <w:sz w:val="21"/>
              </w:rPr>
              <w:t xml:space="preserve"> </w:t>
            </w:r>
            <w:r>
              <w:rPr>
                <w:rFonts w:asciiTheme="minorEastAsia" w:hAnsiTheme="minorEastAsia" w:eastAsiaTheme="minorEastAsia"/>
                <w:spacing w:val="-3"/>
                <w:sz w:val="21"/>
              </w:rPr>
              <w:t>电</w:t>
            </w:r>
            <w:r>
              <w:rPr>
                <w:rFonts w:asciiTheme="minorEastAsia" w:hAnsiTheme="minorEastAsia" w:eastAsiaTheme="minorEastAsia"/>
                <w:sz w:val="21"/>
              </w:rPr>
              <w:t>网</w:t>
            </w:r>
            <w:r>
              <w:rPr>
                <w:rFonts w:asciiTheme="minorEastAsia" w:hAnsiTheme="minorEastAsia" w:eastAsiaTheme="minorEastAsia"/>
                <w:spacing w:val="-3"/>
                <w:sz w:val="21"/>
              </w:rPr>
              <w:t>企</w:t>
            </w:r>
            <w:r>
              <w:rPr>
                <w:rFonts w:asciiTheme="minorEastAsia" w:hAnsiTheme="minorEastAsia" w:eastAsiaTheme="minorEastAsia"/>
                <w:sz w:val="21"/>
              </w:rPr>
              <w:t>业【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8428" w:type="dxa"/>
            <w:gridSpan w:val="8"/>
            <w:vAlign w:val="center"/>
          </w:tcPr>
          <w:p>
            <w:pPr>
              <w:pStyle w:val="53"/>
              <w:spacing w:before="41"/>
              <w:ind w:right="3023" w:firstLine="0" w:firstLineChars="0"/>
              <w:jc w:val="center"/>
              <w:rPr>
                <w:rFonts w:hint="default" w:asciiTheme="minorEastAsia" w:hAnsiTheme="minorEastAsia" w:eastAsiaTheme="minorEastAsia"/>
                <w:sz w:val="22"/>
              </w:rPr>
            </w:pPr>
            <w:r>
              <w:rPr>
                <w:rFonts w:asciiTheme="minorEastAsia" w:hAnsiTheme="minorEastAsia" w:eastAsiaTheme="minorEastAsia"/>
                <w:sz w:val="22"/>
                <w:lang w:val="en-US"/>
              </w:rPr>
              <w:t xml:space="preserve">                           </w:t>
            </w:r>
            <w:r>
              <w:rPr>
                <w:rFonts w:asciiTheme="minorEastAsia" w:hAnsiTheme="minorEastAsia" w:eastAsiaTheme="minorEastAsia"/>
                <w:sz w:val="22"/>
              </w:rPr>
              <w:t>增值税专用发票信息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spacing w:before="46"/>
              <w:ind w:right="118"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发票号码</w:t>
            </w:r>
          </w:p>
        </w:tc>
        <w:tc>
          <w:tcPr>
            <w:tcW w:w="2551" w:type="dxa"/>
            <w:gridSpan w:val="3"/>
            <w:vAlign w:val="center"/>
          </w:tcPr>
          <w:p>
            <w:pPr>
              <w:pStyle w:val="53"/>
              <w:spacing w:before="46"/>
              <w:ind w:right="430"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开票日期</w:t>
            </w:r>
          </w:p>
        </w:tc>
        <w:tc>
          <w:tcPr>
            <w:tcW w:w="1701" w:type="dxa"/>
            <w:gridSpan w:val="2"/>
            <w:vAlign w:val="center"/>
          </w:tcPr>
          <w:p>
            <w:pPr>
              <w:pStyle w:val="53"/>
              <w:spacing w:before="46"/>
              <w:ind w:right="113"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金额</w:t>
            </w:r>
          </w:p>
        </w:tc>
        <w:tc>
          <w:tcPr>
            <w:tcW w:w="1624" w:type="dxa"/>
            <w:vAlign w:val="center"/>
          </w:tcPr>
          <w:p>
            <w:pPr>
              <w:pStyle w:val="53"/>
              <w:spacing w:before="46"/>
              <w:ind w:right="1103"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税额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p>
        </w:tc>
        <w:tc>
          <w:tcPr>
            <w:tcW w:w="2551" w:type="dxa"/>
            <w:gridSpan w:val="3"/>
            <w:vAlign w:val="center"/>
          </w:tcPr>
          <w:p>
            <w:pPr>
              <w:pStyle w:val="53"/>
              <w:ind w:firstLine="0" w:firstLineChars="0"/>
              <w:jc w:val="center"/>
              <w:rPr>
                <w:rFonts w:hint="default" w:asciiTheme="minorEastAsia" w:hAnsiTheme="minorEastAsia" w:eastAsiaTheme="minorEastAsia"/>
                <w:sz w:val="22"/>
                <w:lang w:val="en-US"/>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年</w:t>
            </w: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月</w:t>
            </w: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日</w:t>
            </w:r>
          </w:p>
        </w:tc>
        <w:tc>
          <w:tcPr>
            <w:tcW w:w="1701" w:type="dxa"/>
            <w:gridSpan w:val="2"/>
            <w:vAlign w:val="center"/>
          </w:tcPr>
          <w:p>
            <w:pPr>
              <w:pStyle w:val="53"/>
              <w:ind w:firstLine="0" w:firstLineChars="0"/>
              <w:jc w:val="center"/>
              <w:rPr>
                <w:rFonts w:hint="default" w:asciiTheme="minorEastAsia" w:hAnsiTheme="minorEastAsia" w:eastAsiaTheme="minorEastAsia"/>
                <w:sz w:val="22"/>
                <w:lang w:val="en-US"/>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c>
          <w:tcPr>
            <w:tcW w:w="1624" w:type="dxa"/>
            <w:vAlign w:val="center"/>
          </w:tcPr>
          <w:p>
            <w:pPr>
              <w:pStyle w:val="53"/>
              <w:ind w:firstLine="0" w:firstLineChars="0"/>
              <w:jc w:val="center"/>
              <w:rPr>
                <w:rFonts w:hint="default" w:asciiTheme="minorEastAsia" w:hAnsiTheme="minorEastAsia" w:eastAsiaTheme="minorEastAsia"/>
                <w:sz w:val="22"/>
                <w:lang w:val="en-US"/>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rPr>
                <w:rFonts w:hint="default" w:asciiTheme="minorEastAsia" w:hAnsiTheme="minorEastAsia" w:eastAsiaTheme="minorEastAsia"/>
                <w:sz w:val="22"/>
              </w:rPr>
            </w:pPr>
          </w:p>
        </w:tc>
        <w:tc>
          <w:tcPr>
            <w:tcW w:w="2551" w:type="dxa"/>
            <w:gridSpan w:val="3"/>
            <w:vAlign w:val="center"/>
          </w:tcPr>
          <w:p>
            <w:pPr>
              <w:pStyle w:val="53"/>
              <w:ind w:firstLine="0" w:firstLineChars="0"/>
              <w:rPr>
                <w:rFonts w:hint="default" w:asciiTheme="minorEastAsia" w:hAnsiTheme="minorEastAsia" w:eastAsiaTheme="minorEastAsia"/>
                <w:sz w:val="22"/>
              </w:rPr>
            </w:pPr>
          </w:p>
        </w:tc>
        <w:tc>
          <w:tcPr>
            <w:tcW w:w="1701" w:type="dxa"/>
            <w:gridSpan w:val="2"/>
            <w:vAlign w:val="center"/>
          </w:tcPr>
          <w:p>
            <w:pPr>
              <w:pStyle w:val="53"/>
              <w:ind w:firstLine="0" w:firstLineChars="0"/>
              <w:rPr>
                <w:rFonts w:hint="default" w:asciiTheme="minorEastAsia" w:hAnsiTheme="minorEastAsia" w:eastAsiaTheme="minorEastAsia"/>
                <w:sz w:val="22"/>
              </w:rPr>
            </w:pPr>
          </w:p>
        </w:tc>
        <w:tc>
          <w:tcPr>
            <w:tcW w:w="1624" w:type="dxa"/>
            <w:vAlign w:val="center"/>
          </w:tcPr>
          <w:p>
            <w:pPr>
              <w:pStyle w:val="53"/>
              <w:ind w:firstLine="0" w:firstLineChars="0"/>
              <w:rPr>
                <w:rFonts w:hint="default" w:asciiTheme="minorEastAsia" w:hAnsiTheme="minorEastAsia" w:eastAsiaTheme="minorEastAsia"/>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rPr>
                <w:rFonts w:hint="default" w:asciiTheme="minorEastAsia" w:hAnsiTheme="minorEastAsia" w:eastAsiaTheme="minorEastAsia"/>
                <w:sz w:val="22"/>
              </w:rPr>
            </w:pPr>
          </w:p>
        </w:tc>
        <w:tc>
          <w:tcPr>
            <w:tcW w:w="2551" w:type="dxa"/>
            <w:gridSpan w:val="3"/>
            <w:vAlign w:val="center"/>
          </w:tcPr>
          <w:p>
            <w:pPr>
              <w:pStyle w:val="53"/>
              <w:ind w:firstLine="0" w:firstLineChars="0"/>
              <w:rPr>
                <w:rFonts w:hint="default" w:asciiTheme="minorEastAsia" w:hAnsiTheme="minorEastAsia" w:eastAsiaTheme="minorEastAsia"/>
                <w:sz w:val="22"/>
              </w:rPr>
            </w:pPr>
          </w:p>
        </w:tc>
        <w:tc>
          <w:tcPr>
            <w:tcW w:w="1701" w:type="dxa"/>
            <w:gridSpan w:val="2"/>
            <w:vAlign w:val="center"/>
          </w:tcPr>
          <w:p>
            <w:pPr>
              <w:pStyle w:val="53"/>
              <w:ind w:firstLine="0" w:firstLineChars="0"/>
              <w:rPr>
                <w:rFonts w:hint="default" w:asciiTheme="minorEastAsia" w:hAnsiTheme="minorEastAsia" w:eastAsiaTheme="minorEastAsia"/>
                <w:sz w:val="22"/>
              </w:rPr>
            </w:pPr>
          </w:p>
        </w:tc>
        <w:tc>
          <w:tcPr>
            <w:tcW w:w="1624" w:type="dxa"/>
            <w:vAlign w:val="center"/>
          </w:tcPr>
          <w:p>
            <w:pPr>
              <w:pStyle w:val="53"/>
              <w:ind w:firstLine="0" w:firstLineChars="0"/>
              <w:rPr>
                <w:rFonts w:hint="default" w:asciiTheme="minorEastAsia" w:hAnsiTheme="minorEastAsia" w:eastAsiaTheme="minorEastAsia"/>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 w:hRule="atLeast"/>
          <w:jc w:val="center"/>
        </w:trPr>
        <w:tc>
          <w:tcPr>
            <w:tcW w:w="6804" w:type="dxa"/>
            <w:gridSpan w:val="7"/>
            <w:vAlign w:val="center"/>
          </w:tcPr>
          <w:p>
            <w:pPr>
              <w:pStyle w:val="53"/>
              <w:spacing w:before="44"/>
              <w:ind w:right="-3740"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小 计</w:t>
            </w:r>
          </w:p>
        </w:tc>
        <w:tc>
          <w:tcPr>
            <w:tcW w:w="1624" w:type="dxa"/>
            <w:vAlign w:val="center"/>
          </w:tcPr>
          <w:p>
            <w:pPr>
              <w:pStyle w:val="53"/>
              <w:ind w:firstLine="0" w:firstLineChars="0"/>
              <w:jc w:val="center"/>
              <w:rPr>
                <w:rFonts w:hint="default" w:asciiTheme="minorEastAsia" w:hAnsiTheme="minorEastAsia" w:eastAsiaTheme="minorEastAsia"/>
                <w:sz w:val="22"/>
                <w:lang w:val="en-US"/>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8428" w:type="dxa"/>
            <w:gridSpan w:val="8"/>
            <w:vAlign w:val="center"/>
          </w:tcPr>
          <w:p>
            <w:pPr>
              <w:pStyle w:val="53"/>
              <w:spacing w:before="46"/>
              <w:ind w:right="8"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海关进口专用缴款书信息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spacing w:before="46"/>
              <w:ind w:right="118" w:firstLine="0" w:firstLineChars="0"/>
              <w:rPr>
                <w:rFonts w:hint="default" w:asciiTheme="minorEastAsia" w:hAnsiTheme="minorEastAsia" w:eastAsiaTheme="minorEastAsia"/>
                <w:sz w:val="21"/>
              </w:rPr>
            </w:pPr>
            <w:r>
              <w:rPr>
                <w:rFonts w:asciiTheme="minorEastAsia" w:hAnsiTheme="minorEastAsia" w:eastAsiaTheme="minorEastAsia"/>
                <w:sz w:val="21"/>
              </w:rPr>
              <w:t>缴款书号码</w:t>
            </w:r>
          </w:p>
        </w:tc>
        <w:tc>
          <w:tcPr>
            <w:tcW w:w="2551" w:type="dxa"/>
            <w:gridSpan w:val="3"/>
            <w:vAlign w:val="center"/>
          </w:tcPr>
          <w:p>
            <w:pPr>
              <w:pStyle w:val="53"/>
              <w:spacing w:before="46"/>
              <w:ind w:right="430" w:firstLine="0" w:firstLineChars="0"/>
              <w:jc w:val="right"/>
              <w:rPr>
                <w:rFonts w:hint="default" w:asciiTheme="minorEastAsia" w:hAnsiTheme="minorEastAsia" w:eastAsiaTheme="minorEastAsia"/>
                <w:sz w:val="21"/>
              </w:rPr>
            </w:pPr>
            <w:r>
              <w:rPr>
                <w:rFonts w:asciiTheme="minorEastAsia" w:hAnsiTheme="minorEastAsia" w:eastAsiaTheme="minorEastAsia"/>
                <w:sz w:val="21"/>
              </w:rPr>
              <w:t>填发日期</w:t>
            </w:r>
          </w:p>
        </w:tc>
        <w:tc>
          <w:tcPr>
            <w:tcW w:w="1701" w:type="dxa"/>
            <w:gridSpan w:val="2"/>
            <w:vAlign w:val="center"/>
          </w:tcPr>
          <w:p>
            <w:pPr>
              <w:pStyle w:val="53"/>
              <w:spacing w:before="46"/>
              <w:ind w:right="114"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完税价格</w:t>
            </w:r>
          </w:p>
        </w:tc>
        <w:tc>
          <w:tcPr>
            <w:tcW w:w="1624" w:type="dxa"/>
            <w:vAlign w:val="center"/>
          </w:tcPr>
          <w:p>
            <w:pPr>
              <w:pStyle w:val="53"/>
              <w:spacing w:before="46"/>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代征增值税税额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p>
        </w:tc>
        <w:tc>
          <w:tcPr>
            <w:tcW w:w="2551" w:type="dxa"/>
            <w:gridSpan w:val="3"/>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年</w:t>
            </w: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月</w:t>
            </w: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日</w:t>
            </w:r>
          </w:p>
        </w:tc>
        <w:tc>
          <w:tcPr>
            <w:tcW w:w="1701"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c>
          <w:tcPr>
            <w:tcW w:w="1624" w:type="dxa"/>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rPr>
                <w:rFonts w:hint="default" w:asciiTheme="minorEastAsia" w:hAnsiTheme="minorEastAsia" w:eastAsiaTheme="minorEastAsia"/>
                <w:sz w:val="22"/>
              </w:rPr>
            </w:pPr>
          </w:p>
        </w:tc>
        <w:tc>
          <w:tcPr>
            <w:tcW w:w="2551" w:type="dxa"/>
            <w:gridSpan w:val="3"/>
            <w:vAlign w:val="center"/>
          </w:tcPr>
          <w:p>
            <w:pPr>
              <w:pStyle w:val="53"/>
              <w:ind w:firstLine="0" w:firstLineChars="0"/>
              <w:rPr>
                <w:rFonts w:hint="default" w:asciiTheme="minorEastAsia" w:hAnsiTheme="minorEastAsia" w:eastAsiaTheme="minorEastAsia"/>
                <w:sz w:val="22"/>
              </w:rPr>
            </w:pPr>
          </w:p>
        </w:tc>
        <w:tc>
          <w:tcPr>
            <w:tcW w:w="1701" w:type="dxa"/>
            <w:gridSpan w:val="2"/>
            <w:vAlign w:val="center"/>
          </w:tcPr>
          <w:p>
            <w:pPr>
              <w:pStyle w:val="53"/>
              <w:ind w:firstLine="0" w:firstLineChars="0"/>
              <w:rPr>
                <w:rFonts w:hint="default" w:asciiTheme="minorEastAsia" w:hAnsiTheme="minorEastAsia" w:eastAsiaTheme="minorEastAsia"/>
                <w:sz w:val="22"/>
              </w:rPr>
            </w:pPr>
          </w:p>
        </w:tc>
        <w:tc>
          <w:tcPr>
            <w:tcW w:w="1624" w:type="dxa"/>
            <w:vAlign w:val="center"/>
          </w:tcPr>
          <w:p>
            <w:pPr>
              <w:pStyle w:val="53"/>
              <w:ind w:firstLine="0" w:firstLineChars="0"/>
              <w:rPr>
                <w:rFonts w:hint="default" w:asciiTheme="minorEastAsia" w:hAnsiTheme="minorEastAsia" w:eastAsiaTheme="minorEastAsia"/>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rPr>
                <w:rFonts w:hint="default" w:asciiTheme="minorEastAsia" w:hAnsiTheme="minorEastAsia" w:eastAsiaTheme="minorEastAsia"/>
                <w:sz w:val="22"/>
              </w:rPr>
            </w:pPr>
          </w:p>
        </w:tc>
        <w:tc>
          <w:tcPr>
            <w:tcW w:w="2551" w:type="dxa"/>
            <w:gridSpan w:val="3"/>
            <w:vAlign w:val="center"/>
          </w:tcPr>
          <w:p>
            <w:pPr>
              <w:pStyle w:val="53"/>
              <w:ind w:firstLine="0" w:firstLineChars="0"/>
              <w:rPr>
                <w:rFonts w:hint="default" w:asciiTheme="minorEastAsia" w:hAnsiTheme="minorEastAsia" w:eastAsiaTheme="minorEastAsia"/>
                <w:sz w:val="22"/>
              </w:rPr>
            </w:pPr>
          </w:p>
        </w:tc>
        <w:tc>
          <w:tcPr>
            <w:tcW w:w="1701" w:type="dxa"/>
            <w:gridSpan w:val="2"/>
            <w:vAlign w:val="center"/>
          </w:tcPr>
          <w:p>
            <w:pPr>
              <w:pStyle w:val="53"/>
              <w:ind w:firstLine="0" w:firstLineChars="0"/>
              <w:rPr>
                <w:rFonts w:hint="default" w:asciiTheme="minorEastAsia" w:hAnsiTheme="minorEastAsia" w:eastAsiaTheme="minorEastAsia"/>
                <w:sz w:val="22"/>
              </w:rPr>
            </w:pPr>
          </w:p>
        </w:tc>
        <w:tc>
          <w:tcPr>
            <w:tcW w:w="1624" w:type="dxa"/>
            <w:vAlign w:val="center"/>
          </w:tcPr>
          <w:p>
            <w:pPr>
              <w:pStyle w:val="53"/>
              <w:ind w:firstLine="0" w:firstLineChars="0"/>
              <w:rPr>
                <w:rFonts w:hint="default" w:asciiTheme="minorEastAsia" w:hAnsiTheme="minorEastAsia" w:eastAsiaTheme="minorEastAsia"/>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rPr>
                <w:rFonts w:hint="default" w:asciiTheme="minorEastAsia" w:hAnsiTheme="minorEastAsia" w:eastAsiaTheme="minorEastAsia"/>
                <w:sz w:val="22"/>
              </w:rPr>
            </w:pPr>
          </w:p>
        </w:tc>
        <w:tc>
          <w:tcPr>
            <w:tcW w:w="2551" w:type="dxa"/>
            <w:gridSpan w:val="3"/>
            <w:vAlign w:val="center"/>
          </w:tcPr>
          <w:p>
            <w:pPr>
              <w:pStyle w:val="53"/>
              <w:ind w:firstLine="0" w:firstLineChars="0"/>
              <w:rPr>
                <w:rFonts w:hint="default" w:asciiTheme="minorEastAsia" w:hAnsiTheme="minorEastAsia" w:eastAsiaTheme="minorEastAsia"/>
                <w:sz w:val="22"/>
              </w:rPr>
            </w:pPr>
          </w:p>
        </w:tc>
        <w:tc>
          <w:tcPr>
            <w:tcW w:w="1701" w:type="dxa"/>
            <w:gridSpan w:val="2"/>
            <w:vAlign w:val="center"/>
          </w:tcPr>
          <w:p>
            <w:pPr>
              <w:pStyle w:val="53"/>
              <w:ind w:firstLine="0" w:firstLineChars="0"/>
              <w:rPr>
                <w:rFonts w:hint="default" w:asciiTheme="minorEastAsia" w:hAnsiTheme="minorEastAsia" w:eastAsiaTheme="minorEastAsia"/>
                <w:sz w:val="22"/>
              </w:rPr>
            </w:pPr>
          </w:p>
        </w:tc>
        <w:tc>
          <w:tcPr>
            <w:tcW w:w="1624" w:type="dxa"/>
            <w:vAlign w:val="center"/>
          </w:tcPr>
          <w:p>
            <w:pPr>
              <w:pStyle w:val="53"/>
              <w:ind w:firstLine="0" w:firstLineChars="0"/>
              <w:rPr>
                <w:rFonts w:hint="default" w:asciiTheme="minorEastAsia" w:hAnsiTheme="minorEastAsia" w:eastAsiaTheme="minorEastAsia"/>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 w:hRule="atLeast"/>
          <w:jc w:val="center"/>
        </w:trPr>
        <w:tc>
          <w:tcPr>
            <w:tcW w:w="6804" w:type="dxa"/>
            <w:gridSpan w:val="7"/>
            <w:tcBorders>
              <w:top w:val="nil"/>
            </w:tcBorders>
            <w:vAlign w:val="center"/>
          </w:tcPr>
          <w:p>
            <w:pPr>
              <w:pStyle w:val="53"/>
              <w:tabs>
                <w:tab w:val="left" w:pos="472"/>
              </w:tabs>
              <w:spacing w:before="36"/>
              <w:ind w:left="14"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小</w:t>
            </w:r>
            <w:r>
              <w:rPr>
                <w:rFonts w:asciiTheme="minorEastAsia" w:hAnsiTheme="minorEastAsia" w:eastAsiaTheme="minorEastAsia"/>
                <w:sz w:val="21"/>
              </w:rPr>
              <w:tab/>
            </w:r>
            <w:r>
              <w:rPr>
                <w:rFonts w:asciiTheme="minorEastAsia" w:hAnsiTheme="minorEastAsia" w:eastAsiaTheme="minorEastAsia"/>
                <w:sz w:val="21"/>
              </w:rPr>
              <w:t>计</w:t>
            </w:r>
          </w:p>
        </w:tc>
        <w:tc>
          <w:tcPr>
            <w:tcW w:w="1624" w:type="dxa"/>
            <w:tcBorders>
              <w:top w:val="nil"/>
            </w:tcBorders>
            <w:vAlign w:val="center"/>
          </w:tcPr>
          <w:p>
            <w:pPr>
              <w:pStyle w:val="53"/>
              <w:ind w:firstLine="0" w:firstLineChars="0"/>
              <w:jc w:val="center"/>
              <w:rPr>
                <w:rFonts w:hint="default" w:asciiTheme="minorEastAsia" w:hAnsiTheme="minorEastAsia" w:eastAsiaTheme="minorEastAsia"/>
                <w:sz w:val="20"/>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8428" w:type="dxa"/>
            <w:gridSpan w:val="8"/>
            <w:vAlign w:val="center"/>
          </w:tcPr>
          <w:p>
            <w:pPr>
              <w:pStyle w:val="53"/>
              <w:spacing w:before="38"/>
              <w:ind w:left="-2" w:leftChars="-1" w:right="-87" w:firstLine="1" w:firstLineChars="0"/>
              <w:jc w:val="center"/>
              <w:rPr>
                <w:rFonts w:hint="default" w:asciiTheme="minorEastAsia" w:hAnsiTheme="minorEastAsia" w:eastAsiaTheme="minorEastAsia"/>
                <w:sz w:val="21"/>
              </w:rPr>
            </w:pPr>
            <w:r>
              <w:rPr>
                <w:rFonts w:asciiTheme="minorEastAsia" w:hAnsiTheme="minorEastAsia" w:eastAsiaTheme="minorEastAsia"/>
                <w:sz w:val="21"/>
              </w:rPr>
              <w:t>外购的 2 类油品已缴纳消费税信息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spacing w:before="38"/>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完税凭证号码</w:t>
            </w:r>
          </w:p>
        </w:tc>
        <w:tc>
          <w:tcPr>
            <w:tcW w:w="2551" w:type="dxa"/>
            <w:gridSpan w:val="3"/>
            <w:vAlign w:val="center"/>
          </w:tcPr>
          <w:p>
            <w:pPr>
              <w:pStyle w:val="53"/>
              <w:spacing w:before="38"/>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开票日期</w:t>
            </w:r>
          </w:p>
        </w:tc>
        <w:tc>
          <w:tcPr>
            <w:tcW w:w="1701" w:type="dxa"/>
            <w:gridSpan w:val="2"/>
            <w:vAlign w:val="center"/>
          </w:tcPr>
          <w:p>
            <w:pPr>
              <w:pStyle w:val="53"/>
              <w:spacing w:before="38"/>
              <w:ind w:right="474"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金额</w:t>
            </w:r>
          </w:p>
        </w:tc>
        <w:tc>
          <w:tcPr>
            <w:tcW w:w="1624" w:type="dxa"/>
            <w:vAlign w:val="center"/>
          </w:tcPr>
          <w:p>
            <w:pPr>
              <w:pStyle w:val="53"/>
              <w:spacing w:before="38"/>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税额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p>
        </w:tc>
        <w:tc>
          <w:tcPr>
            <w:tcW w:w="2551" w:type="dxa"/>
            <w:gridSpan w:val="3"/>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年</w:t>
            </w: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月</w:t>
            </w: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日</w:t>
            </w:r>
          </w:p>
        </w:tc>
        <w:tc>
          <w:tcPr>
            <w:tcW w:w="1701"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c>
          <w:tcPr>
            <w:tcW w:w="1624" w:type="dxa"/>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2552" w:type="dxa"/>
            <w:gridSpan w:val="2"/>
            <w:vAlign w:val="center"/>
          </w:tcPr>
          <w:p>
            <w:pPr>
              <w:pStyle w:val="53"/>
              <w:ind w:firstLine="0" w:firstLineChars="0"/>
              <w:rPr>
                <w:rFonts w:hint="default" w:asciiTheme="minorEastAsia" w:hAnsiTheme="minorEastAsia" w:eastAsiaTheme="minorEastAsia"/>
                <w:sz w:val="20"/>
              </w:rPr>
            </w:pPr>
          </w:p>
        </w:tc>
        <w:tc>
          <w:tcPr>
            <w:tcW w:w="2551" w:type="dxa"/>
            <w:gridSpan w:val="3"/>
            <w:vAlign w:val="center"/>
          </w:tcPr>
          <w:p>
            <w:pPr>
              <w:pStyle w:val="53"/>
              <w:ind w:firstLine="0" w:firstLineChars="0"/>
              <w:rPr>
                <w:rFonts w:hint="default" w:asciiTheme="minorEastAsia" w:hAnsiTheme="minorEastAsia" w:eastAsiaTheme="minorEastAsia"/>
                <w:sz w:val="20"/>
              </w:rPr>
            </w:pPr>
          </w:p>
        </w:tc>
        <w:tc>
          <w:tcPr>
            <w:tcW w:w="1701" w:type="dxa"/>
            <w:gridSpan w:val="2"/>
            <w:vAlign w:val="center"/>
          </w:tcPr>
          <w:p>
            <w:pPr>
              <w:pStyle w:val="53"/>
              <w:ind w:firstLine="0" w:firstLineChars="0"/>
              <w:rPr>
                <w:rFonts w:hint="default" w:asciiTheme="minorEastAsia" w:hAnsiTheme="minorEastAsia" w:eastAsiaTheme="minorEastAsia"/>
                <w:sz w:val="20"/>
              </w:rPr>
            </w:pPr>
          </w:p>
        </w:tc>
        <w:tc>
          <w:tcPr>
            <w:tcW w:w="1624" w:type="dxa"/>
            <w:vAlign w:val="center"/>
          </w:tcPr>
          <w:p>
            <w:pPr>
              <w:pStyle w:val="53"/>
              <w:ind w:firstLine="0" w:firstLineChars="0"/>
              <w:rPr>
                <w:rFonts w:hint="default" w:asciiTheme="minorEastAsia" w:hAnsiTheme="minorEastAsia" w:eastAsiaTheme="minorEastAsia"/>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6804" w:type="dxa"/>
            <w:gridSpan w:val="7"/>
            <w:vAlign w:val="center"/>
          </w:tcPr>
          <w:p>
            <w:pPr>
              <w:pStyle w:val="53"/>
              <w:spacing w:before="36"/>
              <w:ind w:left="16"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小计</w:t>
            </w:r>
          </w:p>
        </w:tc>
        <w:tc>
          <w:tcPr>
            <w:tcW w:w="1624" w:type="dxa"/>
            <w:vAlign w:val="center"/>
          </w:tcPr>
          <w:p>
            <w:pPr>
              <w:pStyle w:val="53"/>
              <w:ind w:firstLine="0" w:firstLineChars="0"/>
              <w:rPr>
                <w:rFonts w:hint="default" w:asciiTheme="minorEastAsia" w:hAnsiTheme="minorEastAsia" w:eastAsiaTheme="minorEastAsia"/>
                <w:sz w:val="20"/>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jc w:val="center"/>
        </w:trPr>
        <w:tc>
          <w:tcPr>
            <w:tcW w:w="3323" w:type="dxa"/>
            <w:gridSpan w:val="3"/>
            <w:vAlign w:val="center"/>
          </w:tcPr>
          <w:p>
            <w:pPr>
              <w:pStyle w:val="53"/>
              <w:spacing w:before="36"/>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当期购进设备进项税额</w:t>
            </w:r>
          </w:p>
        </w:tc>
        <w:tc>
          <w:tcPr>
            <w:tcW w:w="5105" w:type="dxa"/>
            <w:gridSpan w:val="5"/>
            <w:vAlign w:val="center"/>
          </w:tcPr>
          <w:p>
            <w:pPr>
              <w:pStyle w:val="53"/>
              <w:ind w:firstLine="0" w:firstLineChars="0"/>
              <w:rPr>
                <w:rFonts w:hint="default" w:asciiTheme="minorEastAsia" w:hAnsiTheme="minorEastAsia" w:eastAsiaTheme="minorEastAsia"/>
                <w:sz w:val="20"/>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jc w:val="center"/>
        </w:trPr>
        <w:tc>
          <w:tcPr>
            <w:tcW w:w="1577" w:type="dxa"/>
            <w:vAlign w:val="center"/>
          </w:tcPr>
          <w:p>
            <w:pPr>
              <w:pStyle w:val="53"/>
              <w:spacing w:before="38"/>
              <w:ind w:right="72"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期末留抵税额</w:t>
            </w:r>
          </w:p>
        </w:tc>
        <w:tc>
          <w:tcPr>
            <w:tcW w:w="1746" w:type="dxa"/>
            <w:gridSpan w:val="2"/>
            <w:vAlign w:val="center"/>
          </w:tcPr>
          <w:p>
            <w:pPr>
              <w:pStyle w:val="53"/>
              <w:ind w:firstLine="0" w:firstLineChars="0"/>
              <w:rPr>
                <w:rFonts w:hint="default" w:asciiTheme="minorEastAsia" w:hAnsiTheme="minorEastAsia" w:eastAsiaTheme="minorEastAsia"/>
                <w:sz w:val="20"/>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c>
          <w:tcPr>
            <w:tcW w:w="3481" w:type="dxa"/>
            <w:gridSpan w:val="4"/>
            <w:vAlign w:val="center"/>
          </w:tcPr>
          <w:p>
            <w:pPr>
              <w:pStyle w:val="53"/>
              <w:spacing w:before="38"/>
              <w:ind w:right="113"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申请退税额</w:t>
            </w:r>
          </w:p>
        </w:tc>
        <w:tc>
          <w:tcPr>
            <w:tcW w:w="1624" w:type="dxa"/>
            <w:vAlign w:val="center"/>
          </w:tcPr>
          <w:p>
            <w:pPr>
              <w:pStyle w:val="53"/>
              <w:ind w:firstLine="0" w:firstLineChars="0"/>
              <w:rPr>
                <w:rFonts w:hint="default" w:asciiTheme="minorEastAsia" w:hAnsiTheme="minorEastAsia" w:eastAsiaTheme="minorEastAsia"/>
                <w:sz w:val="20"/>
              </w:rPr>
            </w:pPr>
            <w:r>
              <w:rPr>
                <w:rFonts w:asciiTheme="minorEastAsia" w:hAnsiTheme="minorEastAsia" w:eastAsiaTheme="minorEastAsia"/>
                <w:b/>
                <w:bCs/>
                <w:color w:val="0000FF"/>
                <w:sz w:val="21"/>
              </w:rPr>
              <w:t>××</w:t>
            </w:r>
            <w:r>
              <w:rPr>
                <w:rFonts w:asciiTheme="minorEastAsia" w:hAnsiTheme="minorEastAsia" w:eastAsiaTheme="minorEastAsia"/>
                <w:b/>
                <w:bCs/>
                <w:color w:val="0000FF"/>
                <w:sz w:val="21"/>
                <w:lang w:val="en-US"/>
              </w:rPr>
              <w:t>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7" w:hRule="atLeast"/>
          <w:jc w:val="center"/>
        </w:trPr>
        <w:tc>
          <w:tcPr>
            <w:tcW w:w="1577" w:type="dxa"/>
            <w:vAlign w:val="center"/>
          </w:tcPr>
          <w:p>
            <w:pPr>
              <w:pStyle w:val="53"/>
              <w:spacing w:before="146"/>
              <w:ind w:right="72"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接收人</w:t>
            </w:r>
          </w:p>
        </w:tc>
        <w:tc>
          <w:tcPr>
            <w:tcW w:w="1746" w:type="dxa"/>
            <w:gridSpan w:val="2"/>
            <w:vAlign w:val="center"/>
          </w:tcPr>
          <w:p>
            <w:pPr>
              <w:pStyle w:val="53"/>
              <w:ind w:firstLine="0" w:firstLineChars="0"/>
              <w:rPr>
                <w:rFonts w:hint="default" w:asciiTheme="minorEastAsia" w:hAnsiTheme="minorEastAsia" w:eastAsiaTheme="minorEastAsia"/>
                <w:sz w:val="20"/>
              </w:rPr>
            </w:pPr>
          </w:p>
        </w:tc>
        <w:tc>
          <w:tcPr>
            <w:tcW w:w="3481" w:type="dxa"/>
            <w:gridSpan w:val="4"/>
            <w:vAlign w:val="center"/>
          </w:tcPr>
          <w:p>
            <w:pPr>
              <w:pStyle w:val="53"/>
              <w:spacing w:before="146"/>
              <w:ind w:right="113"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接收日期</w:t>
            </w:r>
          </w:p>
        </w:tc>
        <w:tc>
          <w:tcPr>
            <w:tcW w:w="1624" w:type="dxa"/>
            <w:vAlign w:val="center"/>
          </w:tcPr>
          <w:p>
            <w:pPr>
              <w:pStyle w:val="53"/>
              <w:ind w:firstLine="0" w:firstLineChars="0"/>
              <w:rPr>
                <w:rFonts w:hint="default" w:asciiTheme="minorEastAsia" w:hAnsiTheme="minorEastAsia" w:eastAsiaTheme="minorEastAsia"/>
                <w:sz w:val="20"/>
              </w:rPr>
            </w:pPr>
          </w:p>
        </w:tc>
      </w:tr>
    </w:tbl>
    <w:p>
      <w:pPr>
        <w:ind w:right="670" w:rightChars="279" w:firstLine="482"/>
        <w:rPr>
          <w:rFonts w:hint="default"/>
          <w:b/>
        </w:rPr>
      </w:pPr>
    </w:p>
    <w:tbl>
      <w:tblPr>
        <w:tblStyle w:val="18"/>
        <w:tblW w:w="8522" w:type="dxa"/>
        <w:jc w:val="center"/>
        <w:tblLayout w:type="fixed"/>
        <w:tblCellMar>
          <w:top w:w="0" w:type="dxa"/>
          <w:left w:w="108" w:type="dxa"/>
          <w:bottom w:w="0" w:type="dxa"/>
          <w:right w:w="108" w:type="dxa"/>
        </w:tblCellMar>
      </w:tblPr>
      <w:tblGrid>
        <w:gridCol w:w="533"/>
        <w:gridCol w:w="142"/>
        <w:gridCol w:w="993"/>
        <w:gridCol w:w="663"/>
        <w:gridCol w:w="1548"/>
        <w:gridCol w:w="382"/>
        <w:gridCol w:w="242"/>
        <w:gridCol w:w="141"/>
        <w:gridCol w:w="141"/>
        <w:gridCol w:w="641"/>
        <w:gridCol w:w="1316"/>
        <w:gridCol w:w="232"/>
        <w:gridCol w:w="1548"/>
      </w:tblGrid>
      <w:tr>
        <w:tblPrEx>
          <w:tblCellMar>
            <w:top w:w="0" w:type="dxa"/>
            <w:left w:w="108" w:type="dxa"/>
            <w:bottom w:w="0" w:type="dxa"/>
            <w:right w:w="108" w:type="dxa"/>
          </w:tblCellMar>
        </w:tblPrEx>
        <w:trPr>
          <w:trHeight w:val="540" w:hRule="atLeast"/>
          <w:jc w:val="center"/>
        </w:trPr>
        <w:tc>
          <w:tcPr>
            <w:tcW w:w="8522" w:type="dxa"/>
            <w:gridSpan w:val="13"/>
            <w:tcBorders>
              <w:top w:val="nil"/>
              <w:left w:val="nil"/>
              <w:bottom w:val="nil"/>
              <w:right w:val="nil"/>
            </w:tcBorders>
            <w:shd w:val="clear" w:color="auto" w:fill="auto"/>
            <w:noWrap/>
            <w:vAlign w:val="center"/>
          </w:tcPr>
          <w:p>
            <w:pPr>
              <w:widowControl/>
              <w:ind w:firstLine="0" w:firstLineChars="0"/>
              <w:jc w:val="center"/>
              <w:rPr>
                <w:rFonts w:hint="default" w:ascii="黑体" w:hAnsi="黑体" w:eastAsia="黑体" w:cs="宋体"/>
                <w:color w:val="000000"/>
                <w:kern w:val="0"/>
                <w:sz w:val="36"/>
                <w:szCs w:val="36"/>
              </w:rPr>
            </w:pPr>
            <w:r>
              <w:rPr>
                <w:rFonts w:ascii="黑体" w:hAnsi="黑体" w:eastAsia="黑体" w:cs="宋体"/>
                <w:color w:val="000000"/>
                <w:kern w:val="0"/>
                <w:sz w:val="36"/>
                <w:szCs w:val="36"/>
              </w:rPr>
              <w:t>退（抵）税申请表</w:t>
            </w:r>
          </w:p>
        </w:tc>
      </w:tr>
      <w:tr>
        <w:tblPrEx>
          <w:tblCellMar>
            <w:top w:w="0" w:type="dxa"/>
            <w:left w:w="108" w:type="dxa"/>
            <w:bottom w:w="0" w:type="dxa"/>
            <w:right w:w="108" w:type="dxa"/>
          </w:tblCellMar>
        </w:tblPrEx>
        <w:trPr>
          <w:trHeight w:val="345" w:hRule="atLeast"/>
          <w:jc w:val="center"/>
        </w:trPr>
        <w:tc>
          <w:tcPr>
            <w:tcW w:w="8522" w:type="dxa"/>
            <w:gridSpan w:val="13"/>
            <w:tcBorders>
              <w:top w:val="nil"/>
              <w:left w:val="nil"/>
              <w:bottom w:val="nil"/>
              <w:right w:val="nil"/>
            </w:tcBorders>
            <w:shd w:val="clear" w:color="auto" w:fill="auto"/>
            <w:noWrap/>
            <w:vAlign w:val="center"/>
          </w:tcPr>
          <w:p>
            <w:pPr>
              <w:widowControl/>
              <w:ind w:firstLine="442"/>
              <w:jc w:val="right"/>
              <w:rPr>
                <w:rFonts w:hint="default" w:ascii="宋体" w:hAnsi="宋体" w:cs="宋体"/>
                <w:b/>
                <w:color w:val="000000"/>
                <w:kern w:val="0"/>
                <w:sz w:val="22"/>
              </w:rPr>
            </w:pPr>
            <w:r>
              <w:rPr>
                <w:rFonts w:ascii="宋体" w:hAnsi="宋体" w:cs="宋体"/>
                <w:b/>
                <w:color w:val="000000"/>
                <w:kern w:val="0"/>
                <w:sz w:val="22"/>
              </w:rPr>
              <w:t>金额单位：元，至角分</w:t>
            </w:r>
          </w:p>
        </w:tc>
      </w:tr>
      <w:tr>
        <w:tblPrEx>
          <w:tblCellMar>
            <w:top w:w="0" w:type="dxa"/>
            <w:left w:w="108" w:type="dxa"/>
            <w:bottom w:w="0" w:type="dxa"/>
            <w:right w:w="108" w:type="dxa"/>
          </w:tblCellMar>
        </w:tblPrEx>
        <w:trPr>
          <w:trHeight w:val="430" w:hRule="atLeast"/>
          <w:jc w:val="center"/>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申请人名称</w:t>
            </w:r>
          </w:p>
        </w:tc>
        <w:tc>
          <w:tcPr>
            <w:tcW w:w="231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w:t>
            </w:r>
          </w:p>
        </w:tc>
        <w:tc>
          <w:tcPr>
            <w:tcW w:w="3878"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sz w:val="21"/>
                <w:szCs w:val="21"/>
              </w:rPr>
              <w:t>纳税人</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扣缴义务人□</w:t>
            </w:r>
          </w:p>
        </w:tc>
      </w:tr>
      <w:tr>
        <w:tblPrEx>
          <w:tblCellMar>
            <w:top w:w="0" w:type="dxa"/>
            <w:left w:w="108" w:type="dxa"/>
            <w:bottom w:w="0" w:type="dxa"/>
            <w:right w:w="108" w:type="dxa"/>
          </w:tblCellMar>
        </w:tblPrEx>
        <w:trPr>
          <w:trHeight w:val="540" w:hRule="atLeast"/>
          <w:jc w:val="center"/>
        </w:trPr>
        <w:tc>
          <w:tcPr>
            <w:tcW w:w="2331"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纳税人名称</w:t>
            </w:r>
          </w:p>
        </w:tc>
        <w:tc>
          <w:tcPr>
            <w:tcW w:w="2313"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r>
              <w:rPr>
                <w:rFonts w:asciiTheme="minorEastAsia" w:hAnsiTheme="minorEastAsia" w:eastAsiaTheme="minorEastAsia"/>
                <w:b/>
                <w:color w:val="0000FF"/>
                <w:sz w:val="21"/>
                <w:szCs w:val="21"/>
              </w:rPr>
              <w:t>××</w:t>
            </w:r>
          </w:p>
        </w:tc>
        <w:tc>
          <w:tcPr>
            <w:tcW w:w="2098"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统一社会信用代码     （纳税人识别号）</w:t>
            </w:r>
          </w:p>
        </w:tc>
        <w:tc>
          <w:tcPr>
            <w:tcW w:w="178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p>
        </w:tc>
      </w:tr>
      <w:tr>
        <w:tblPrEx>
          <w:tblCellMar>
            <w:top w:w="0" w:type="dxa"/>
            <w:left w:w="108" w:type="dxa"/>
            <w:bottom w:w="0" w:type="dxa"/>
            <w:right w:w="108" w:type="dxa"/>
          </w:tblCellMar>
        </w:tblPrEx>
        <w:trPr>
          <w:trHeight w:val="431" w:hRule="atLeast"/>
          <w:jc w:val="center"/>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联系人姓名</w:t>
            </w:r>
          </w:p>
        </w:tc>
        <w:tc>
          <w:tcPr>
            <w:tcW w:w="231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某某</w:t>
            </w:r>
          </w:p>
        </w:tc>
        <w:tc>
          <w:tcPr>
            <w:tcW w:w="2098"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联系电话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r>
              <w:rPr>
                <w:rFonts w:asciiTheme="minorEastAsia" w:hAnsiTheme="minorEastAsia" w:eastAsiaTheme="minorEastAsia"/>
                <w:b/>
                <w:color w:val="0000FF"/>
                <w:sz w:val="21"/>
                <w:szCs w:val="21"/>
              </w:rPr>
              <w:t>×××</w:t>
            </w:r>
          </w:p>
        </w:tc>
      </w:tr>
      <w:tr>
        <w:tblPrEx>
          <w:tblCellMar>
            <w:top w:w="0" w:type="dxa"/>
            <w:left w:w="108" w:type="dxa"/>
            <w:bottom w:w="0" w:type="dxa"/>
            <w:right w:w="108" w:type="dxa"/>
          </w:tblCellMar>
        </w:tblPrEx>
        <w:trPr>
          <w:trHeight w:val="431" w:hRule="atLeast"/>
          <w:jc w:val="center"/>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申请退税类型</w:t>
            </w:r>
          </w:p>
        </w:tc>
        <w:tc>
          <w:tcPr>
            <w:tcW w:w="6191" w:type="dxa"/>
            <w:gridSpan w:val="9"/>
            <w:tcBorders>
              <w:top w:val="single" w:color="auto" w:sz="4" w:space="0"/>
              <w:left w:val="nil"/>
              <w:bottom w:val="nil"/>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汇算结算退税□      误收退税□     留抵退税</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p>
        </w:tc>
      </w:tr>
      <w:tr>
        <w:tblPrEx>
          <w:tblCellMar>
            <w:top w:w="0" w:type="dxa"/>
            <w:left w:w="108" w:type="dxa"/>
            <w:bottom w:w="0" w:type="dxa"/>
            <w:right w:w="108" w:type="dxa"/>
          </w:tblCellMar>
        </w:tblPrEx>
        <w:trPr>
          <w:trHeight w:val="431" w:hRule="atLeast"/>
          <w:jc w:val="center"/>
        </w:trPr>
        <w:tc>
          <w:tcPr>
            <w:tcW w:w="8522"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bCs/>
                <w:color w:val="000000"/>
                <w:kern w:val="0"/>
                <w:sz w:val="22"/>
              </w:rPr>
            </w:pPr>
            <w:r>
              <w:rPr>
                <w:rFonts w:cs="宋体" w:asciiTheme="minorEastAsia" w:hAnsiTheme="minorEastAsia" w:eastAsiaTheme="minorEastAsia"/>
                <w:b/>
                <w:bCs/>
                <w:color w:val="000000"/>
                <w:kern w:val="0"/>
                <w:sz w:val="22"/>
              </w:rPr>
              <w:t>一、汇算结算、误收税款退税</w:t>
            </w:r>
          </w:p>
        </w:tc>
      </w:tr>
      <w:tr>
        <w:tblPrEx>
          <w:tblCellMar>
            <w:top w:w="0" w:type="dxa"/>
            <w:left w:w="108" w:type="dxa"/>
            <w:bottom w:w="0" w:type="dxa"/>
            <w:right w:w="108" w:type="dxa"/>
          </w:tblCellMar>
        </w:tblPrEx>
        <w:trPr>
          <w:trHeight w:val="431" w:hRule="atLeast"/>
          <w:jc w:val="center"/>
        </w:trPr>
        <w:tc>
          <w:tcPr>
            <w:tcW w:w="675" w:type="dxa"/>
            <w:gridSpan w:val="2"/>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原完税情况</w:t>
            </w:r>
          </w:p>
        </w:tc>
        <w:tc>
          <w:tcPr>
            <w:tcW w:w="1656"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税种</w:t>
            </w:r>
          </w:p>
        </w:tc>
        <w:tc>
          <w:tcPr>
            <w:tcW w:w="1548"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品目名称</w:t>
            </w:r>
          </w:p>
        </w:tc>
        <w:tc>
          <w:tcPr>
            <w:tcW w:w="1547" w:type="dxa"/>
            <w:gridSpan w:val="5"/>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税款所属时期</w:t>
            </w:r>
          </w:p>
        </w:tc>
        <w:tc>
          <w:tcPr>
            <w:tcW w:w="1548"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税票号码</w:t>
            </w:r>
          </w:p>
        </w:tc>
        <w:tc>
          <w:tcPr>
            <w:tcW w:w="1548"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实缴金额</w:t>
            </w:r>
          </w:p>
        </w:tc>
      </w:tr>
      <w:tr>
        <w:tblPrEx>
          <w:tblCellMar>
            <w:top w:w="0" w:type="dxa"/>
            <w:left w:w="108" w:type="dxa"/>
            <w:bottom w:w="0" w:type="dxa"/>
            <w:right w:w="108" w:type="dxa"/>
          </w:tblCellMar>
        </w:tblPrEx>
        <w:trPr>
          <w:trHeight w:val="431" w:hRule="atLeast"/>
          <w:jc w:val="center"/>
        </w:trPr>
        <w:tc>
          <w:tcPr>
            <w:tcW w:w="675" w:type="dxa"/>
            <w:gridSpan w:val="2"/>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656" w:type="dxa"/>
            <w:gridSpan w:val="2"/>
            <w:tcBorders>
              <w:top w:val="nil"/>
              <w:left w:val="nil"/>
              <w:bottom w:val="single" w:color="auto" w:sz="4" w:space="0"/>
              <w:right w:val="single" w:color="auto" w:sz="4" w:space="0"/>
            </w:tcBorders>
            <w:shd w:val="clear" w:color="auto" w:fill="auto"/>
            <w:noWrap/>
            <w:vAlign w:val="center"/>
          </w:tcPr>
          <w:p>
            <w:pPr>
              <w:spacing w:line="400" w:lineRule="exact"/>
              <w:ind w:firstLine="0" w:firstLineChars="0"/>
              <w:rPr>
                <w:rFonts w:hint="default" w:cs="宋体" w:asciiTheme="minorEastAsia" w:hAnsiTheme="minorEastAsia" w:eastAsiaTheme="minorEastAsia"/>
                <w:b/>
                <w:bCs/>
                <w:color w:val="0000FF"/>
                <w:kern w:val="0"/>
                <w:sz w:val="22"/>
              </w:rPr>
            </w:pPr>
            <w:r>
              <w:rPr>
                <w:rFonts w:cs="宋体" w:asciiTheme="minorEastAsia" w:hAnsiTheme="minorEastAsia" w:eastAsiaTheme="minorEastAsia"/>
                <w:b/>
                <w:bCs/>
                <w:color w:val="0000FF"/>
                <w:kern w:val="0"/>
                <w:sz w:val="22"/>
              </w:rPr>
              <w:t>增值税</w:t>
            </w: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rPr>
                <w:rFonts w:hint="default" w:cs="宋体" w:asciiTheme="minorEastAsia" w:hAnsiTheme="minorEastAsia" w:eastAsiaTheme="minorEastAsia"/>
                <w:b/>
                <w:bCs/>
                <w:color w:val="0000FF"/>
                <w:kern w:val="0"/>
                <w:sz w:val="22"/>
              </w:rPr>
            </w:pPr>
            <w:r>
              <w:rPr>
                <w:rFonts w:cs="宋体" w:asciiTheme="minorEastAsia" w:hAnsiTheme="minorEastAsia" w:eastAsiaTheme="minorEastAsia"/>
                <w:b/>
                <w:bCs/>
                <w:color w:val="0000FF"/>
                <w:kern w:val="0"/>
                <w:sz w:val="22"/>
              </w:rPr>
              <w:t>X</w:t>
            </w:r>
            <w:r>
              <w:rPr>
                <w:rFonts w:hint="default" w:cs="宋体" w:asciiTheme="minorEastAsia" w:hAnsiTheme="minorEastAsia" w:eastAsiaTheme="minorEastAsia"/>
                <w:b/>
                <w:bCs/>
                <w:color w:val="0000FF"/>
                <w:kern w:val="0"/>
                <w:sz w:val="22"/>
              </w:rPr>
              <w:t>XXX</w:t>
            </w:r>
          </w:p>
        </w:tc>
        <w:tc>
          <w:tcPr>
            <w:tcW w:w="1547" w:type="dxa"/>
            <w:gridSpan w:val="5"/>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rPr>
                <w:rFonts w:hint="default" w:cs="宋体" w:asciiTheme="minorEastAsia" w:hAnsiTheme="minorEastAsia" w:eastAsiaTheme="minorEastAsia"/>
                <w:b/>
                <w:bCs/>
                <w:color w:val="0000FF"/>
                <w:kern w:val="0"/>
                <w:sz w:val="22"/>
              </w:rPr>
            </w:pPr>
            <w:r>
              <w:rPr>
                <w:rFonts w:cs="宋体" w:asciiTheme="minorEastAsia" w:hAnsiTheme="minorEastAsia" w:eastAsiaTheme="minorEastAsia"/>
                <w:b/>
                <w:bCs/>
                <w:color w:val="0000FF"/>
                <w:kern w:val="0"/>
                <w:sz w:val="22"/>
              </w:rPr>
              <w:t>X</w:t>
            </w:r>
            <w:r>
              <w:rPr>
                <w:rFonts w:hint="default" w:cs="宋体" w:asciiTheme="minorEastAsia" w:hAnsiTheme="minorEastAsia" w:eastAsiaTheme="minorEastAsia"/>
                <w:b/>
                <w:bCs/>
                <w:color w:val="0000FF"/>
                <w:kern w:val="0"/>
                <w:sz w:val="22"/>
              </w:rPr>
              <w:t>XXX</w:t>
            </w:r>
            <w:r>
              <w:rPr>
                <w:rFonts w:cs="宋体" w:asciiTheme="minorEastAsia" w:hAnsiTheme="minorEastAsia" w:eastAsiaTheme="minorEastAsia"/>
                <w:b/>
                <w:bCs/>
                <w:color w:val="0000FF"/>
                <w:kern w:val="0"/>
                <w:sz w:val="22"/>
              </w:rPr>
              <w:t>年</w:t>
            </w:r>
            <w:r>
              <w:rPr>
                <w:rFonts w:hint="default" w:cs="宋体" w:asciiTheme="minorEastAsia" w:hAnsiTheme="minorEastAsia" w:eastAsiaTheme="minorEastAsia"/>
                <w:b/>
                <w:bCs/>
                <w:color w:val="0000FF"/>
                <w:kern w:val="0"/>
                <w:sz w:val="22"/>
              </w:rPr>
              <w:t>XX</w:t>
            </w:r>
            <w:r>
              <w:rPr>
                <w:rFonts w:cs="宋体" w:asciiTheme="minorEastAsia" w:hAnsiTheme="minorEastAsia" w:eastAsiaTheme="minorEastAsia"/>
                <w:b/>
                <w:bCs/>
                <w:color w:val="0000FF"/>
                <w:kern w:val="0"/>
                <w:sz w:val="22"/>
              </w:rPr>
              <w:t>月</w:t>
            </w:r>
            <w:r>
              <w:rPr>
                <w:rFonts w:hint="default" w:cs="宋体" w:asciiTheme="minorEastAsia" w:hAnsiTheme="minorEastAsia" w:eastAsiaTheme="minorEastAsia"/>
                <w:b/>
                <w:bCs/>
                <w:color w:val="0000FF"/>
                <w:kern w:val="0"/>
                <w:sz w:val="22"/>
              </w:rPr>
              <w:t>XX</w:t>
            </w:r>
            <w:r>
              <w:rPr>
                <w:rFonts w:cs="宋体" w:asciiTheme="minorEastAsia" w:hAnsiTheme="minorEastAsia" w:eastAsiaTheme="minorEastAsia"/>
                <w:b/>
                <w:bCs/>
                <w:color w:val="0000FF"/>
                <w:kern w:val="0"/>
                <w:sz w:val="22"/>
              </w:rPr>
              <w:t>日</w:t>
            </w:r>
          </w:p>
        </w:tc>
        <w:tc>
          <w:tcPr>
            <w:tcW w:w="1548" w:type="dxa"/>
            <w:gridSpan w:val="2"/>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rPr>
                <w:rFonts w:hint="default" w:cs="宋体" w:asciiTheme="minorEastAsia" w:hAnsiTheme="minorEastAsia" w:eastAsiaTheme="minorEastAsia"/>
                <w:b/>
                <w:bCs/>
                <w:color w:val="0000FF"/>
                <w:kern w:val="0"/>
                <w:sz w:val="22"/>
              </w:rPr>
            </w:pPr>
            <w:r>
              <w:rPr>
                <w:rFonts w:cs="宋体" w:asciiTheme="minorEastAsia" w:hAnsiTheme="minorEastAsia" w:eastAsiaTheme="minorEastAsia"/>
                <w:b/>
                <w:bCs/>
                <w:color w:val="0000FF"/>
                <w:kern w:val="0"/>
                <w:sz w:val="22"/>
              </w:rPr>
              <w:t>X</w:t>
            </w:r>
            <w:r>
              <w:rPr>
                <w:rFonts w:hint="default" w:cs="宋体" w:asciiTheme="minorEastAsia" w:hAnsiTheme="minorEastAsia" w:eastAsiaTheme="minorEastAsia"/>
                <w:b/>
                <w:bCs/>
                <w:color w:val="0000FF"/>
                <w:kern w:val="0"/>
                <w:sz w:val="22"/>
              </w:rPr>
              <w:t>XXXXXXX</w:t>
            </w: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rPr>
                <w:rFonts w:hint="default" w:cs="宋体" w:asciiTheme="minorEastAsia" w:hAnsiTheme="minorEastAsia" w:eastAsiaTheme="minorEastAsia"/>
                <w:b/>
                <w:bCs/>
                <w:color w:val="0000FF"/>
                <w:kern w:val="0"/>
                <w:sz w:val="22"/>
              </w:rPr>
            </w:pPr>
            <w:r>
              <w:rPr>
                <w:rFonts w:cs="宋体" w:asciiTheme="minorEastAsia" w:hAnsiTheme="minorEastAsia" w:eastAsiaTheme="minorEastAsia"/>
                <w:b/>
                <w:bCs/>
                <w:color w:val="0000FF"/>
                <w:kern w:val="0"/>
                <w:sz w:val="22"/>
              </w:rPr>
              <w:t>X</w:t>
            </w:r>
            <w:r>
              <w:rPr>
                <w:rFonts w:hint="default" w:cs="宋体" w:asciiTheme="minorEastAsia" w:hAnsiTheme="minorEastAsia" w:eastAsiaTheme="minorEastAsia"/>
                <w:b/>
                <w:bCs/>
                <w:color w:val="0000FF"/>
                <w:kern w:val="0"/>
                <w:sz w:val="22"/>
              </w:rPr>
              <w:t>XXX.XX</w:t>
            </w:r>
            <w:r>
              <w:rPr>
                <w:rFonts w:cs="宋体" w:asciiTheme="minorEastAsia" w:hAnsiTheme="minorEastAsia" w:eastAsiaTheme="minorEastAsia"/>
                <w:b/>
                <w:bCs/>
                <w:color w:val="0000FF"/>
                <w:kern w:val="0"/>
                <w:sz w:val="22"/>
              </w:rPr>
              <w:t>元</w:t>
            </w:r>
          </w:p>
        </w:tc>
      </w:tr>
      <w:tr>
        <w:tblPrEx>
          <w:tblCellMar>
            <w:top w:w="0" w:type="dxa"/>
            <w:left w:w="108" w:type="dxa"/>
            <w:bottom w:w="0" w:type="dxa"/>
            <w:right w:w="108" w:type="dxa"/>
          </w:tblCellMar>
        </w:tblPrEx>
        <w:trPr>
          <w:trHeight w:val="431" w:hRule="atLeast"/>
          <w:jc w:val="center"/>
        </w:trPr>
        <w:tc>
          <w:tcPr>
            <w:tcW w:w="675" w:type="dxa"/>
            <w:gridSpan w:val="2"/>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656"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jc w:val="center"/>
        </w:trPr>
        <w:tc>
          <w:tcPr>
            <w:tcW w:w="675" w:type="dxa"/>
            <w:gridSpan w:val="2"/>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656"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jc w:val="center"/>
        </w:trPr>
        <w:tc>
          <w:tcPr>
            <w:tcW w:w="675" w:type="dxa"/>
            <w:gridSpan w:val="2"/>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656"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jc w:val="center"/>
        </w:trPr>
        <w:tc>
          <w:tcPr>
            <w:tcW w:w="675" w:type="dxa"/>
            <w:gridSpan w:val="2"/>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656"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jc w:val="center"/>
        </w:trPr>
        <w:tc>
          <w:tcPr>
            <w:tcW w:w="675" w:type="dxa"/>
            <w:gridSpan w:val="2"/>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656"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合计（小写）</w:t>
            </w: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b/>
                <w:bCs/>
                <w:color w:val="0000FF"/>
                <w:kern w:val="0"/>
                <w:sz w:val="22"/>
              </w:rPr>
              <w:t>X</w:t>
            </w:r>
            <w:r>
              <w:rPr>
                <w:rFonts w:hint="default" w:cs="宋体" w:asciiTheme="minorEastAsia" w:hAnsiTheme="minorEastAsia" w:eastAsiaTheme="minorEastAsia"/>
                <w:b/>
                <w:bCs/>
                <w:color w:val="0000FF"/>
                <w:kern w:val="0"/>
                <w:sz w:val="22"/>
              </w:rPr>
              <w:t>XXX.XX</w:t>
            </w:r>
            <w:r>
              <w:rPr>
                <w:rFonts w:cs="宋体" w:asciiTheme="minorEastAsia" w:hAnsiTheme="minorEastAsia" w:eastAsiaTheme="minorEastAsia"/>
                <w:b/>
                <w:bCs/>
                <w:color w:val="0000FF"/>
                <w:kern w:val="0"/>
                <w:sz w:val="22"/>
              </w:rPr>
              <w:t>元</w:t>
            </w:r>
          </w:p>
        </w:tc>
      </w:tr>
      <w:tr>
        <w:tblPrEx>
          <w:tblCellMar>
            <w:top w:w="0" w:type="dxa"/>
            <w:left w:w="108" w:type="dxa"/>
            <w:bottom w:w="0" w:type="dxa"/>
            <w:right w:w="108" w:type="dxa"/>
          </w:tblCellMar>
        </w:tblPrEx>
        <w:trPr>
          <w:trHeight w:val="431" w:hRule="atLeast"/>
          <w:jc w:val="center"/>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申请退税金额（小写）</w:t>
            </w:r>
          </w:p>
        </w:tc>
        <w:tc>
          <w:tcPr>
            <w:tcW w:w="6191" w:type="dxa"/>
            <w:gridSpan w:val="9"/>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540" w:hRule="atLeast"/>
          <w:jc w:val="center"/>
        </w:trPr>
        <w:tc>
          <w:tcPr>
            <w:tcW w:w="8522"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bCs/>
                <w:color w:val="000000"/>
                <w:kern w:val="0"/>
                <w:sz w:val="22"/>
              </w:rPr>
            </w:pPr>
            <w:r>
              <w:rPr>
                <w:rFonts w:cs="宋体" w:asciiTheme="minorEastAsia" w:hAnsiTheme="minorEastAsia" w:eastAsiaTheme="minorEastAsia"/>
                <w:b/>
                <w:bCs/>
                <w:color w:val="000000"/>
                <w:kern w:val="0"/>
                <w:sz w:val="22"/>
              </w:rPr>
              <w:t>二、留抵退税</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申请退税前36个月未发生骗取留抵退税、出口退税或虚开增值税专用发票情形</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否□</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申请退税前36个月未因偷税被税务机关处罚两次及以上</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否□</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自2019年4月1日起未享受即征即退、先征后返（退）政策</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否□</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出口货物劳务、发生跨境应税行为，适用免抵退税办法</w:t>
            </w:r>
          </w:p>
        </w:tc>
        <w:tc>
          <w:tcPr>
            <w:tcW w:w="178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否□</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连续六个月（按季纳税的，连续两个季度）增量留抵税额均大于零的起止时间</w:t>
            </w:r>
          </w:p>
        </w:tc>
        <w:tc>
          <w:tcPr>
            <w:tcW w:w="178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XX</w:t>
            </w:r>
            <w:r>
              <w:rPr>
                <w:rFonts w:cs="宋体" w:asciiTheme="minorEastAsia" w:hAnsiTheme="minorEastAsia" w:eastAsiaTheme="minorEastAsia"/>
                <w:color w:val="000000"/>
                <w:kern w:val="0"/>
                <w:sz w:val="22"/>
              </w:rPr>
              <w:t>年</w:t>
            </w:r>
            <w:r>
              <w:rPr>
                <w:rFonts w:asciiTheme="minorEastAsia" w:hAnsiTheme="minorEastAsia" w:eastAsiaTheme="minorEastAsia"/>
                <w:b/>
                <w:color w:val="0000FF"/>
                <w:sz w:val="21"/>
                <w:szCs w:val="21"/>
              </w:rPr>
              <w:t>XX</w:t>
            </w:r>
            <w:r>
              <w:rPr>
                <w:rFonts w:cs="宋体" w:asciiTheme="minorEastAsia" w:hAnsiTheme="minorEastAsia" w:eastAsiaTheme="minorEastAsia"/>
                <w:color w:val="000000"/>
                <w:kern w:val="0"/>
                <w:sz w:val="22"/>
              </w:rPr>
              <w:t>月</w:t>
            </w:r>
            <w:r>
              <w:rPr>
                <w:rFonts w:asciiTheme="minorEastAsia" w:hAnsiTheme="minorEastAsia" w:eastAsiaTheme="minorEastAsia"/>
                <w:b/>
                <w:color w:val="0000FF"/>
                <w:sz w:val="21"/>
                <w:szCs w:val="21"/>
              </w:rPr>
              <w:t>至  XX</w:t>
            </w:r>
            <w:r>
              <w:rPr>
                <w:rFonts w:cs="宋体" w:asciiTheme="minorEastAsia" w:hAnsiTheme="minorEastAsia" w:eastAsiaTheme="minorEastAsia"/>
                <w:color w:val="000000"/>
                <w:kern w:val="0"/>
                <w:sz w:val="22"/>
              </w:rPr>
              <w:t>年</w:t>
            </w:r>
            <w:r>
              <w:rPr>
                <w:rFonts w:asciiTheme="minorEastAsia" w:hAnsiTheme="minorEastAsia" w:eastAsiaTheme="minorEastAsia"/>
                <w:b/>
                <w:color w:val="0000FF"/>
                <w:sz w:val="21"/>
                <w:szCs w:val="21"/>
              </w:rPr>
              <w:t>XX</w:t>
            </w:r>
            <w:r>
              <w:rPr>
                <w:rFonts w:cs="宋体" w:asciiTheme="minorEastAsia" w:hAnsiTheme="minorEastAsia" w:eastAsiaTheme="minorEastAsia"/>
                <w:color w:val="000000"/>
                <w:kern w:val="0"/>
                <w:sz w:val="22"/>
              </w:rPr>
              <w:t>月</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本期已申报免抵退税应退税额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XX元</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2019年4月至申请退税前一税款所属期已抵扣的增值税专用发票（含税控机动车销售统一发票）注明的增值税额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XX元</w:t>
            </w: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2019年4月至申请退税前一税款所属期已抵扣的海关进口增值税专用缴款书注明的增值税额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XX元</w:t>
            </w: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9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2019年4月至申请退税前一税款所属期已抵扣的解缴税款完税凭证注明的增值税额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XX元</w:t>
            </w: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2019年4月至申请退税前一税款所属期全部已抵扣的进项税额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XX元</w:t>
            </w: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jc w:val="center"/>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本期申请退还的增量留抵税额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color w:val="0000FF"/>
                <w:sz w:val="21"/>
                <w:szCs w:val="21"/>
              </w:rPr>
              <w:t>XX元</w:t>
            </w: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jc w:val="center"/>
        </w:trPr>
        <w:tc>
          <w:tcPr>
            <w:tcW w:w="166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退税申请理由</w:t>
            </w:r>
          </w:p>
        </w:tc>
        <w:tc>
          <w:tcPr>
            <w:tcW w:w="6854" w:type="dxa"/>
            <w:gridSpan w:val="10"/>
            <w:tcBorders>
              <w:top w:val="single" w:color="auto" w:sz="4" w:space="0"/>
              <w:left w:val="nil"/>
              <w:bottom w:val="single" w:color="auto" w:sz="4" w:space="0"/>
              <w:right w:val="single" w:color="auto" w:sz="4" w:space="0"/>
            </w:tcBorders>
            <w:shd w:val="clear" w:color="auto" w:fill="auto"/>
            <w:noWrap/>
            <w:vAlign w:val="center"/>
          </w:tcPr>
          <w:p>
            <w:pPr>
              <w:spacing w:line="400" w:lineRule="exact"/>
              <w:ind w:firstLine="720" w:firstLineChars="300"/>
              <w:rPr>
                <w:rFonts w:hint="default" w:asciiTheme="minorEastAsia" w:hAnsiTheme="minorEastAsia" w:eastAsiaTheme="minorEastAsia"/>
                <w:sz w:val="21"/>
                <w:szCs w:val="21"/>
              </w:rPr>
            </w:pPr>
            <w:r>
              <w:rPr>
                <w:rFonts w:asciiTheme="minorEastAsia" w:hAnsiTheme="minorEastAsia" w:eastAsiaTheme="minorEastAsia"/>
              </w:rPr>
              <w:drawing>
                <wp:anchor distT="0" distB="0" distL="114300" distR="114300" simplePos="0" relativeHeight="251655168" behindDoc="0" locked="0" layoutInCell="1" allowOverlap="1">
                  <wp:simplePos x="0" y="0"/>
                  <wp:positionH relativeFrom="column">
                    <wp:posOffset>2604770</wp:posOffset>
                  </wp:positionH>
                  <wp:positionV relativeFrom="paragraph">
                    <wp:posOffset>605155</wp:posOffset>
                  </wp:positionV>
                  <wp:extent cx="1137920" cy="1066800"/>
                  <wp:effectExtent l="19050" t="0" r="5080" b="0"/>
                  <wp:wrapNone/>
                  <wp:docPr id="9" name="图片 9"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595913661474679823015"/>
                          <pic:cNvPicPr>
                            <a:picLocks noChangeAspect="1"/>
                          </pic:cNvPicPr>
                        </pic:nvPicPr>
                        <pic:blipFill>
                          <a:blip r:embed="rId14"/>
                          <a:stretch>
                            <a:fillRect/>
                          </a:stretch>
                        </pic:blipFill>
                        <pic:spPr>
                          <a:xfrm>
                            <a:off x="0" y="0"/>
                            <a:ext cx="1137920" cy="1066800"/>
                          </a:xfrm>
                          <a:prstGeom prst="rect">
                            <a:avLst/>
                          </a:prstGeom>
                          <a:noFill/>
                          <a:ln>
                            <a:noFill/>
                          </a:ln>
                        </pic:spPr>
                      </pic:pic>
                    </a:graphicData>
                  </a:graphic>
                </wp:anchor>
              </w:drawing>
            </w:r>
            <w:r>
              <w:rPr>
                <w:rFonts w:asciiTheme="minorEastAsia" w:hAnsiTheme="minorEastAsia" w:eastAsiaTheme="minorEastAsia"/>
                <w:b/>
                <w:color w:val="0000FF"/>
                <w:sz w:val="21"/>
                <w:szCs w:val="21"/>
              </w:rPr>
              <w:t>根据《财务部 税务总局 海关总署关于深化增值税改革有关政策的公告》（财政部 税务总局 海关总署公告2019年第39号）规定，现申请退税XX元。</w:t>
            </w:r>
          </w:p>
          <w:p>
            <w:pPr>
              <w:widowControl/>
              <w:ind w:firstLine="0" w:firstLineChars="0"/>
              <w:rPr>
                <w:rFonts w:hint="default" w:cs="宋体" w:asciiTheme="minorEastAsia" w:hAnsiTheme="minorEastAsia" w:eastAsiaTheme="minorEastAsia"/>
                <w:color w:val="000000"/>
                <w:kern w:val="0"/>
                <w:sz w:val="22"/>
              </w:rPr>
            </w:pPr>
          </w:p>
          <w:p>
            <w:pPr>
              <w:widowControl/>
              <w:ind w:right="1100" w:firstLine="0" w:firstLineChars="0"/>
              <w:jc w:val="righ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经办人：</w:t>
            </w:r>
            <w:r>
              <w:rPr>
                <w:rFonts w:asciiTheme="minorEastAsia" w:hAnsiTheme="minorEastAsia" w:eastAsiaTheme="minorEastAsia"/>
                <w:b/>
                <w:color w:val="0000FF"/>
                <w:sz w:val="21"/>
                <w:szCs w:val="21"/>
              </w:rPr>
              <w:t>某某</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年</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月 </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日            </w:t>
            </w:r>
          </w:p>
        </w:tc>
      </w:tr>
      <w:tr>
        <w:tblPrEx>
          <w:tblCellMar>
            <w:top w:w="0" w:type="dxa"/>
            <w:left w:w="108" w:type="dxa"/>
            <w:bottom w:w="0" w:type="dxa"/>
            <w:right w:w="108" w:type="dxa"/>
          </w:tblCellMar>
        </w:tblPrEx>
        <w:trPr>
          <w:trHeight w:val="540" w:hRule="atLeast"/>
          <w:jc w:val="center"/>
        </w:trPr>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授权声明</w:t>
            </w:r>
          </w:p>
        </w:tc>
        <w:tc>
          <w:tcPr>
            <w:tcW w:w="372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如果你已委托代理人申请，请填写下列资料：</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为代理相关税务事宜，现授权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u w:val="single"/>
              </w:rPr>
              <w:t xml:space="preserve">                  </w:t>
            </w:r>
            <w:r>
              <w:rPr>
                <w:rFonts w:cs="宋体" w:asciiTheme="minorEastAsia" w:hAnsiTheme="minorEastAsia" w:eastAsiaTheme="minorEastAsia"/>
                <w:color w:val="000000"/>
                <w:kern w:val="0"/>
                <w:sz w:val="22"/>
              </w:rPr>
              <w:t xml:space="preserve">（地址）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u w:val="single"/>
              </w:rPr>
              <w:t xml:space="preserve">                        </w:t>
            </w:r>
            <w:r>
              <w:rPr>
                <w:rFonts w:cs="宋体" w:asciiTheme="minorEastAsia" w:hAnsiTheme="minorEastAsia" w:eastAsiaTheme="minorEastAsia"/>
                <w:color w:val="000000"/>
                <w:kern w:val="0"/>
                <w:sz w:val="22"/>
              </w:rPr>
              <w:t xml:space="preserve"> 为本纳税人的代理申请人，任何与本申请有关的往来文件，都可寄于此人。</w:t>
            </w: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授权人签章：  </w:t>
            </w:r>
          </w:p>
        </w:tc>
        <w:tc>
          <w:tcPr>
            <w:tcW w:w="52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申申请人声明</w:t>
            </w:r>
          </w:p>
        </w:tc>
        <w:tc>
          <w:tcPr>
            <w:tcW w:w="373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本申请表是根据国家税收法律法规及相关规定填写的，我确定它是真实的、可靠的、完整的。</w:t>
            </w: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申请人签章：</w:t>
            </w:r>
            <w:r>
              <w:rPr>
                <w:rFonts w:cs="宋体" w:asciiTheme="minorEastAsia" w:hAnsiTheme="minorEastAsia" w:eastAsiaTheme="minorEastAsia"/>
                <w:b/>
                <w:bCs/>
                <w:color w:val="0000FF"/>
                <w:kern w:val="0"/>
                <w:sz w:val="22"/>
              </w:rPr>
              <w:t>某某</w:t>
            </w:r>
          </w:p>
        </w:tc>
      </w:tr>
      <w:tr>
        <w:tblPrEx>
          <w:tblCellMar>
            <w:top w:w="0" w:type="dxa"/>
            <w:left w:w="108" w:type="dxa"/>
            <w:bottom w:w="0" w:type="dxa"/>
            <w:right w:w="108" w:type="dxa"/>
          </w:tblCellMar>
        </w:tblPrEx>
        <w:trPr>
          <w:trHeight w:val="540" w:hRule="atLeast"/>
          <w:jc w:val="center"/>
        </w:trPr>
        <w:tc>
          <w:tcPr>
            <w:tcW w:w="8522"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b/>
                <w:color w:val="000000"/>
                <w:kern w:val="0"/>
                <w:sz w:val="22"/>
              </w:rPr>
              <w:t>以下由税务机关填写</w:t>
            </w:r>
          </w:p>
        </w:tc>
      </w:tr>
      <w:tr>
        <w:tblPrEx>
          <w:tblCellMar>
            <w:top w:w="0" w:type="dxa"/>
            <w:left w:w="108" w:type="dxa"/>
            <w:bottom w:w="0" w:type="dxa"/>
            <w:right w:w="108" w:type="dxa"/>
          </w:tblCellMar>
        </w:tblPrEx>
        <w:trPr>
          <w:trHeight w:val="540" w:hRule="atLeast"/>
          <w:jc w:val="center"/>
        </w:trPr>
        <w:tc>
          <w:tcPr>
            <w:tcW w:w="166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color w:val="000000"/>
                <w:kern w:val="0"/>
                <w:sz w:val="22"/>
              </w:rPr>
            </w:pPr>
            <w:r>
              <w:rPr>
                <w:rFonts w:cs="宋体" w:asciiTheme="minorEastAsia" w:hAnsiTheme="minorEastAsia" w:eastAsiaTheme="minorEastAsia"/>
                <w:color w:val="000000"/>
                <w:kern w:val="0"/>
                <w:sz w:val="22"/>
              </w:rPr>
              <w:t>受理情况</w:t>
            </w:r>
          </w:p>
        </w:tc>
        <w:tc>
          <w:tcPr>
            <w:tcW w:w="6854"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受理人：      </w:t>
            </w:r>
          </w:p>
          <w:p>
            <w:pPr>
              <w:widowControl/>
              <w:ind w:firstLine="0" w:firstLineChars="0"/>
              <w:jc w:val="center"/>
              <w:rPr>
                <w:rFonts w:hint="default" w:cs="宋体" w:asciiTheme="minorEastAsia" w:hAnsiTheme="minorEastAsia" w:eastAsiaTheme="minorEastAsia"/>
                <w:b/>
                <w:color w:val="000000"/>
                <w:kern w:val="0"/>
                <w:sz w:val="22"/>
              </w:rPr>
            </w:pPr>
            <w:r>
              <w:rPr>
                <w:rFonts w:cs="宋体" w:asciiTheme="minorEastAsia" w:hAnsiTheme="minorEastAsia" w:eastAsiaTheme="minorEastAsia"/>
                <w:color w:val="000000"/>
                <w:kern w:val="0"/>
                <w:sz w:val="22"/>
              </w:rPr>
              <w:t xml:space="preserve">                           年    月    日</w:t>
            </w:r>
          </w:p>
        </w:tc>
      </w:tr>
      <w:tr>
        <w:tblPrEx>
          <w:tblCellMar>
            <w:top w:w="0" w:type="dxa"/>
            <w:left w:w="108" w:type="dxa"/>
            <w:bottom w:w="0" w:type="dxa"/>
            <w:right w:w="108" w:type="dxa"/>
          </w:tblCellMar>
        </w:tblPrEx>
        <w:trPr>
          <w:trHeight w:val="540" w:hRule="atLeast"/>
          <w:jc w:val="center"/>
        </w:trPr>
        <w:tc>
          <w:tcPr>
            <w:tcW w:w="4503"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核实部门意见：</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退还方式： 退库□    抵扣欠税□</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退税类型： 汇算结算退税□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误收退税□</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留抵退税□</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退税发起方式：纳税人自行申请□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税务机关发现并通知□</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退（抵）税金额：</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经办人：            负责人：</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年     月     日</w:t>
            </w:r>
          </w:p>
        </w:tc>
        <w:tc>
          <w:tcPr>
            <w:tcW w:w="4019" w:type="dxa"/>
            <w:gridSpan w:val="6"/>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税务机关负责人意见：</w:t>
            </w: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签字</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年     月     日（公章）</w:t>
            </w:r>
          </w:p>
        </w:tc>
      </w:tr>
    </w:tbl>
    <w:p>
      <w:pPr>
        <w:ind w:firstLine="482"/>
        <w:rPr>
          <w:rFonts w:hint="default"/>
          <w:b/>
        </w:rPr>
      </w:pPr>
    </w:p>
    <w:p>
      <w:pPr>
        <w:ind w:firstLine="482"/>
        <w:rPr>
          <w:rFonts w:hint="default"/>
        </w:rPr>
      </w:pPr>
      <w:r>
        <w:rPr>
          <w:b/>
        </w:rPr>
        <w:t>【填表说明】</w:t>
      </w:r>
    </w:p>
    <w:p>
      <w:pPr>
        <w:wordWrap w:val="0"/>
        <w:spacing w:line="360" w:lineRule="auto"/>
        <w:ind w:firstLine="320" w:firstLineChars="100"/>
        <w:rPr>
          <w:rFonts w:hint="default" w:cs="Times New Roman"/>
          <w:color w:val="000000" w:themeColor="text1"/>
        </w:rPr>
      </w:pPr>
      <w:r>
        <w:rPr>
          <w:rFonts w:ascii="仿宋_GB2312" w:eastAsia="仿宋_GB2312"/>
          <w:sz w:val="32"/>
          <w:szCs w:val="32"/>
        </w:rPr>
        <w:t xml:space="preserve"> </w:t>
      </w:r>
      <w:r>
        <w:rPr>
          <w:rFonts w:cs="Times New Roman"/>
          <w:color w:val="000000" w:themeColor="text1"/>
        </w:rPr>
        <w:t>一、本表适用于办理汇算结算、误收税款退税、留抵退税。</w:t>
      </w:r>
    </w:p>
    <w:p>
      <w:pPr>
        <w:wordWrap w:val="0"/>
        <w:spacing w:line="360" w:lineRule="auto"/>
        <w:ind w:firstLine="480"/>
        <w:rPr>
          <w:rFonts w:hint="default" w:cs="Times New Roman"/>
          <w:color w:val="000000" w:themeColor="text1"/>
        </w:rPr>
      </w:pPr>
      <w:r>
        <w:rPr>
          <w:rFonts w:cs="Times New Roman"/>
          <w:color w:val="000000" w:themeColor="text1"/>
        </w:rPr>
        <w:t>二、纳税人退税账户与原缴税账户不一致的，须另行提交资料，并经税务机关确认。</w:t>
      </w:r>
    </w:p>
    <w:p>
      <w:pPr>
        <w:wordWrap w:val="0"/>
        <w:spacing w:line="360" w:lineRule="auto"/>
        <w:ind w:firstLine="480"/>
        <w:rPr>
          <w:rFonts w:hint="default" w:cs="Times New Roman"/>
          <w:color w:val="000000" w:themeColor="text1"/>
        </w:rPr>
      </w:pPr>
      <w:r>
        <w:rPr>
          <w:rFonts w:cs="Times New Roman"/>
          <w:color w:val="000000" w:themeColor="text1"/>
        </w:rPr>
        <w:t>三、本表一式四联，纳税人一联、税务机关三联。</w:t>
      </w:r>
    </w:p>
    <w:p>
      <w:pPr>
        <w:wordWrap w:val="0"/>
        <w:spacing w:line="360" w:lineRule="auto"/>
        <w:ind w:firstLine="480"/>
        <w:rPr>
          <w:rFonts w:hint="default" w:cs="Times New Roman"/>
          <w:color w:val="000000" w:themeColor="text1"/>
        </w:rPr>
      </w:pPr>
      <w:r>
        <w:rPr>
          <w:rFonts w:cs="Times New Roman"/>
          <w:color w:val="000000" w:themeColor="text1"/>
        </w:rPr>
        <w:t>四、申请人名称：填写纳税人或扣缴义务人名称。如申请留抵退税，应填写纳税人名称。</w:t>
      </w:r>
    </w:p>
    <w:p>
      <w:pPr>
        <w:wordWrap w:val="0"/>
        <w:spacing w:line="360" w:lineRule="auto"/>
        <w:ind w:firstLine="480"/>
        <w:rPr>
          <w:rFonts w:hint="default" w:cs="Times New Roman"/>
          <w:color w:val="000000" w:themeColor="text1"/>
        </w:rPr>
      </w:pPr>
      <w:r>
        <w:rPr>
          <w:rFonts w:cs="Times New Roman"/>
          <w:color w:val="000000" w:themeColor="text1"/>
        </w:rPr>
        <w:t>五、申请人身份：选择“纳税人”或“扣缴义务人”。如申请留抵退税，应选择“纳税人”。</w:t>
      </w:r>
    </w:p>
    <w:p>
      <w:pPr>
        <w:wordWrap w:val="0"/>
        <w:spacing w:line="360" w:lineRule="auto"/>
        <w:ind w:firstLine="480"/>
        <w:rPr>
          <w:rFonts w:hint="default" w:cs="Times New Roman"/>
          <w:color w:val="000000" w:themeColor="text1"/>
        </w:rPr>
      </w:pPr>
      <w:r>
        <w:rPr>
          <w:rFonts w:cs="Times New Roman"/>
          <w:color w:val="000000" w:themeColor="text1"/>
        </w:rPr>
        <w:t>六、纳税人名称：填写税务登记证所载纳税人的全称。</w:t>
      </w:r>
    </w:p>
    <w:p>
      <w:pPr>
        <w:wordWrap w:val="0"/>
        <w:spacing w:line="360" w:lineRule="auto"/>
        <w:ind w:firstLine="480"/>
        <w:rPr>
          <w:rFonts w:hint="default" w:cs="Times New Roman"/>
          <w:color w:val="000000" w:themeColor="text1"/>
        </w:rPr>
      </w:pPr>
      <w:r>
        <w:rPr>
          <w:rFonts w:cs="Times New Roman"/>
          <w:color w:val="000000" w:themeColor="text1"/>
        </w:rPr>
        <w:t>七、统一社会信用代码（纳税人识别号）：填写纳税人统一社会信用代码或税务机关统一核发的税务登记证号码。</w:t>
      </w:r>
    </w:p>
    <w:p>
      <w:pPr>
        <w:wordWrap w:val="0"/>
        <w:spacing w:line="360" w:lineRule="auto"/>
        <w:ind w:firstLine="480"/>
        <w:rPr>
          <w:rFonts w:hint="default" w:cs="Times New Roman"/>
          <w:color w:val="000000" w:themeColor="text1"/>
        </w:rPr>
      </w:pPr>
      <w:r>
        <w:rPr>
          <w:rFonts w:cs="Times New Roman"/>
          <w:color w:val="000000" w:themeColor="text1"/>
        </w:rPr>
        <w:t>八、联系人名称：填写联系人姓名。</w:t>
      </w:r>
    </w:p>
    <w:p>
      <w:pPr>
        <w:wordWrap w:val="0"/>
        <w:spacing w:line="360" w:lineRule="auto"/>
        <w:ind w:firstLine="480"/>
        <w:rPr>
          <w:rFonts w:hint="default" w:cs="Times New Roman"/>
          <w:color w:val="000000" w:themeColor="text1"/>
        </w:rPr>
      </w:pPr>
      <w:r>
        <w:rPr>
          <w:rFonts w:cs="Times New Roman"/>
          <w:color w:val="000000" w:themeColor="text1"/>
        </w:rPr>
        <w:t>九、联系电话：填写联系人固定电话号码或手机号码。</w:t>
      </w:r>
    </w:p>
    <w:p>
      <w:pPr>
        <w:wordWrap w:val="0"/>
        <w:spacing w:line="360" w:lineRule="auto"/>
        <w:ind w:firstLine="480"/>
        <w:rPr>
          <w:rFonts w:hint="default" w:cs="Times New Roman"/>
          <w:color w:val="000000" w:themeColor="text1"/>
        </w:rPr>
      </w:pPr>
      <w:r>
        <w:rPr>
          <w:rFonts w:cs="Times New Roman"/>
          <w:color w:val="000000" w:themeColor="text1"/>
        </w:rPr>
        <w:t>十、申请退税类型：选择“汇算结算退税”、“误收退税”或“留抵退税”。</w:t>
      </w:r>
    </w:p>
    <w:p>
      <w:pPr>
        <w:wordWrap w:val="0"/>
        <w:spacing w:line="360" w:lineRule="auto"/>
        <w:ind w:firstLine="480"/>
        <w:rPr>
          <w:rFonts w:hint="default" w:cs="Times New Roman"/>
          <w:color w:val="000000" w:themeColor="text1"/>
        </w:rPr>
      </w:pPr>
      <w:r>
        <w:rPr>
          <w:rFonts w:cs="Times New Roman"/>
          <w:color w:val="000000" w:themeColor="text1"/>
        </w:rPr>
        <w:t>十一、原完税情况：填写与汇算结算和误收税款退税相关信息。分税种、品目名称、税款所属时期、税票号码、实缴金额等项目，填写申请办理退税的已入库信息，上述信息应与完税费（缴款）凭证复印件、完税费（缴款）凭证原件或完税电子信息一致。</w:t>
      </w:r>
    </w:p>
    <w:p>
      <w:pPr>
        <w:wordWrap w:val="0"/>
        <w:spacing w:line="360" w:lineRule="auto"/>
        <w:ind w:firstLine="480"/>
        <w:rPr>
          <w:rFonts w:hint="default" w:cs="Times New Roman"/>
          <w:color w:val="000000" w:themeColor="text1"/>
        </w:rPr>
      </w:pPr>
      <w:r>
        <w:rPr>
          <w:rFonts w:cs="Times New Roman"/>
          <w:color w:val="000000" w:themeColor="text1"/>
        </w:rPr>
        <w:t>十二、申请退税金额：填写与汇算结算和误收税款退税相关的申请退（抵）税的金额，应小于等于原完税情况实缴金额合计。</w:t>
      </w:r>
    </w:p>
    <w:p>
      <w:pPr>
        <w:wordWrap w:val="0"/>
        <w:spacing w:line="360" w:lineRule="auto"/>
        <w:ind w:firstLine="480"/>
        <w:rPr>
          <w:rFonts w:hint="default" w:cs="Times New Roman"/>
          <w:color w:val="000000" w:themeColor="text1"/>
        </w:rPr>
      </w:pPr>
      <w:r>
        <w:rPr>
          <w:rFonts w:cs="Times New Roman"/>
          <w:color w:val="000000" w:themeColor="text1"/>
        </w:rPr>
        <w:t>十三、申请退税前36个月未发生骗取留抵退税、出口退税或虚开增值税专用发票情形，申请退税前36个月未因偷税被税务机关处罚两次及以上，自2019年4月1日起未享受即征即退、先征后返（退）政策，出口货物劳务、发生跨境应税行为，适用免抵退税办法：根据实际情况，选择“是”或“否”。</w:t>
      </w:r>
    </w:p>
    <w:p>
      <w:pPr>
        <w:wordWrap w:val="0"/>
        <w:spacing w:line="360" w:lineRule="auto"/>
        <w:ind w:firstLine="480"/>
        <w:rPr>
          <w:rFonts w:hint="default" w:cs="Times New Roman"/>
          <w:color w:val="000000" w:themeColor="text1"/>
        </w:rPr>
      </w:pPr>
      <w:r>
        <w:rPr>
          <w:rFonts w:cs="Times New Roman"/>
          <w:color w:val="000000" w:themeColor="text1"/>
        </w:rPr>
        <w:t>十四、连续六个月（按季纳税的，连续两个季度）增量留抵税额均大于零的起止时间：填写纳税人自2019年4月税款所属期起，连续六个月（按季纳税的，连续两个季度）增量留抵税额均大于零，且第六个月增量留抵税额不低于50万元的起止时间。</w:t>
      </w:r>
    </w:p>
    <w:p>
      <w:pPr>
        <w:wordWrap w:val="0"/>
        <w:spacing w:line="360" w:lineRule="auto"/>
        <w:ind w:firstLine="480"/>
        <w:rPr>
          <w:rFonts w:hint="default" w:cs="Times New Roman"/>
          <w:color w:val="000000" w:themeColor="text1"/>
        </w:rPr>
      </w:pPr>
      <w:r>
        <w:rPr>
          <w:rFonts w:cs="Times New Roman"/>
          <w:color w:val="000000" w:themeColor="text1"/>
        </w:rPr>
        <w:t>十五、本期已申报免抵退税应退税额：填写享受免抵退税政策的纳税人本期申请退还的免抵退税额。</w:t>
      </w:r>
    </w:p>
    <w:p>
      <w:pPr>
        <w:wordWrap w:val="0"/>
        <w:spacing w:line="360" w:lineRule="auto"/>
        <w:ind w:firstLine="480"/>
        <w:rPr>
          <w:rFonts w:hint="default" w:cs="Times New Roman"/>
          <w:color w:val="000000" w:themeColor="text1"/>
        </w:rPr>
      </w:pPr>
      <w:r>
        <w:rPr>
          <w:rFonts w:cs="Times New Roman"/>
          <w:color w:val="000000" w:themeColor="text1"/>
        </w:rPr>
        <w:t>十六、2019年4月至申请退税前一税款所属期已抵扣的增值税专用发票（含税控机动车销售统一发票）注明的增值税额：填写纳税人对应属期抵扣的增值税专用发票（含税控机动车销售统一发票）注明的增值税额；纳税人取得不动产或者不动产在建工程的进项税额不再分2年抵扣后一次性转入的进项税额，视同取得增值税专用发票抵扣的进项税额，也填入本项。</w:t>
      </w:r>
    </w:p>
    <w:p>
      <w:pPr>
        <w:wordWrap w:val="0"/>
        <w:spacing w:line="360" w:lineRule="auto"/>
        <w:ind w:firstLine="480"/>
        <w:rPr>
          <w:rFonts w:hint="default" w:cs="Times New Roman"/>
          <w:color w:val="000000" w:themeColor="text1"/>
        </w:rPr>
      </w:pPr>
      <w:r>
        <w:rPr>
          <w:rFonts w:cs="Times New Roman"/>
          <w:color w:val="000000" w:themeColor="text1"/>
        </w:rPr>
        <w:t>十七、2019年4月至申请退税前一税款所属期已抵扣的海关进口增值税专用缴款书注明的增值税额：填写纳税人对应属期抵扣的海关进口增值税专用缴款书注明的增值税额。</w:t>
      </w:r>
    </w:p>
    <w:p>
      <w:pPr>
        <w:wordWrap w:val="0"/>
        <w:spacing w:line="360" w:lineRule="auto"/>
        <w:ind w:firstLine="480"/>
        <w:rPr>
          <w:rFonts w:hint="default" w:cs="Times New Roman"/>
          <w:color w:val="000000" w:themeColor="text1"/>
        </w:rPr>
      </w:pPr>
      <w:r>
        <w:rPr>
          <w:rFonts w:cs="Times New Roman"/>
          <w:color w:val="000000" w:themeColor="text1"/>
        </w:rPr>
        <w:t>十八、2019年4月至申请退税前一税款所属期已抵扣的解缴税款完税凭证注明的增值税额：填写纳税人对应属期抵扣的解缴税款完税凭证注明的增值税额。</w:t>
      </w:r>
    </w:p>
    <w:p>
      <w:pPr>
        <w:wordWrap w:val="0"/>
        <w:spacing w:line="360" w:lineRule="auto"/>
        <w:ind w:firstLine="480"/>
        <w:rPr>
          <w:rFonts w:hint="default" w:cs="Times New Roman"/>
          <w:color w:val="000000" w:themeColor="text1"/>
        </w:rPr>
      </w:pPr>
      <w:r>
        <w:rPr>
          <w:rFonts w:cs="Times New Roman"/>
          <w:color w:val="000000" w:themeColor="text1"/>
        </w:rPr>
        <w:t>十九、2019年4月至申请退税前一税款所属期全部已抵扣的进项税额：填写纳税人对应属期全部已抵扣进项税额。</w:t>
      </w:r>
    </w:p>
    <w:p>
      <w:pPr>
        <w:wordWrap w:val="0"/>
        <w:spacing w:line="360" w:lineRule="auto"/>
        <w:ind w:firstLine="480"/>
        <w:rPr>
          <w:rFonts w:hint="default" w:cs="Times New Roman"/>
          <w:color w:val="000000" w:themeColor="text1"/>
        </w:rPr>
      </w:pPr>
      <w:r>
        <w:rPr>
          <w:rFonts w:cs="Times New Roman"/>
          <w:color w:val="000000" w:themeColor="text1"/>
        </w:rPr>
        <w:t>二十、本期申请退还的增量留抵税额：填写纳税人按照增量留抵税额×进项构成比例×60%计算后的本期申请退还的增量留抵税额。</w:t>
      </w:r>
    </w:p>
    <w:p>
      <w:pPr>
        <w:wordWrap w:val="0"/>
        <w:spacing w:line="360" w:lineRule="auto"/>
        <w:ind w:firstLine="480"/>
        <w:rPr>
          <w:rFonts w:hint="default" w:cs="Times New Roman"/>
          <w:color w:val="000000" w:themeColor="text1"/>
        </w:rPr>
      </w:pPr>
      <w:r>
        <w:rPr>
          <w:rFonts w:cs="Times New Roman"/>
          <w:color w:val="000000" w:themeColor="text1"/>
        </w:rPr>
        <w:t>进项构成比例=〔2019年4月至申请退税前一税款所属期已抵扣的增值税专用发票（含税控机动车销售统一发票）注明的增值税额+2019年4月至申请退税前一税款所属期已抵扣的海关进口增值税专用缴款书注明的增值税额+2019年4月至申请退税前一税款所属期已抵扣的解缴税款完税凭证注明的增值税额〕÷2019年4月至申请退税前一税款所属期全部已抵扣的进项税额</w:t>
      </w:r>
    </w:p>
    <w:p>
      <w:pPr>
        <w:wordWrap w:val="0"/>
        <w:spacing w:line="360" w:lineRule="auto"/>
        <w:ind w:firstLine="480"/>
        <w:rPr>
          <w:rFonts w:hint="default" w:cs="Times New Roman"/>
          <w:color w:val="000000" w:themeColor="text1"/>
        </w:rPr>
      </w:pPr>
      <w:r>
        <w:rPr>
          <w:rFonts w:cs="Times New Roman"/>
          <w:color w:val="000000" w:themeColor="text1"/>
        </w:rPr>
        <w:t>二十一、退税申请理由：简要概述退税申请理由，如果本次退税账户与原缴税账户不一致，需在此说明，并须另行提交资料，经税务机关登记确认。</w:t>
      </w:r>
    </w:p>
    <w:p>
      <w:pPr>
        <w:wordWrap w:val="0"/>
        <w:spacing w:line="360" w:lineRule="auto"/>
        <w:ind w:firstLine="480"/>
        <w:rPr>
          <w:rFonts w:hint="default" w:cs="Times New Roman"/>
          <w:color w:val="000000" w:themeColor="text1"/>
        </w:rPr>
      </w:pPr>
      <w:r>
        <w:rPr>
          <w:rFonts w:cs="Times New Roman"/>
          <w:color w:val="000000" w:themeColor="text1"/>
        </w:rPr>
        <w:t>二十二、受理情况：填写核对接受纳税人、扣缴义务人资料的情况。</w:t>
      </w:r>
    </w:p>
    <w:p>
      <w:pPr>
        <w:wordWrap w:val="0"/>
        <w:spacing w:line="360" w:lineRule="auto"/>
        <w:ind w:firstLine="480"/>
        <w:rPr>
          <w:rFonts w:hint="default" w:cs="Times New Roman"/>
          <w:color w:val="000000" w:themeColor="text1"/>
        </w:rPr>
      </w:pPr>
      <w:r>
        <w:rPr>
          <w:rFonts w:cs="Times New Roman"/>
          <w:color w:val="000000" w:themeColor="text1"/>
        </w:rPr>
        <w:t>二十三、退还方式：申请汇算结算或误收税款退税的，退还方式可以单选或多选，对于有欠税的纳税人，一般情况应选择“抵扣欠税”，对于选择“抵扣欠税”情况，可以取消该选择，将全部申请退税的金额，以“退库”方式办理。</w:t>
      </w:r>
    </w:p>
    <w:p>
      <w:pPr>
        <w:wordWrap w:val="0"/>
        <w:spacing w:line="360" w:lineRule="auto"/>
        <w:ind w:firstLine="480"/>
        <w:rPr>
          <w:rFonts w:hint="default" w:cs="Times New Roman"/>
          <w:color w:val="000000" w:themeColor="text1"/>
        </w:rPr>
      </w:pPr>
      <w:r>
        <w:rPr>
          <w:rFonts w:cs="Times New Roman"/>
          <w:color w:val="000000" w:themeColor="text1"/>
        </w:rPr>
        <w:t>申请留抵退税的，可同时选择“退库”和“抵扣欠税”。如果纳税人既有增值税欠税，又有期末留抵税额，按照《国家税务总局关于办理增值税期末留抵税额退税有关事项的公告》（国家税务总局公告2019年第20号）第九条第三项规定，以最近一期增值税纳税申报表期末留抵税额，抵减增值税欠税后的余额确定允许退还的增量留抵税额。</w:t>
      </w:r>
    </w:p>
    <w:p>
      <w:pPr>
        <w:wordWrap w:val="0"/>
        <w:spacing w:line="360" w:lineRule="auto"/>
        <w:ind w:firstLine="480"/>
        <w:rPr>
          <w:rFonts w:hint="default" w:cs="Times New Roman"/>
          <w:color w:val="000000" w:themeColor="text1"/>
        </w:rPr>
      </w:pPr>
      <w:r>
        <w:rPr>
          <w:rFonts w:cs="Times New Roman"/>
          <w:color w:val="000000" w:themeColor="text1"/>
        </w:rPr>
        <w:t>二十四、退税类型：税务机关依据纳税人申请事项，选择“汇算结算退税”、“误收退税”或“留抵退税”。</w:t>
      </w:r>
    </w:p>
    <w:p>
      <w:pPr>
        <w:wordWrap w:val="0"/>
        <w:spacing w:line="360" w:lineRule="auto"/>
        <w:ind w:firstLine="480"/>
        <w:rPr>
          <w:rFonts w:hint="default" w:cs="Times New Roman"/>
          <w:color w:val="000000" w:themeColor="text1"/>
        </w:rPr>
      </w:pPr>
      <w:r>
        <w:rPr>
          <w:rFonts w:cs="Times New Roman"/>
          <w:color w:val="000000" w:themeColor="text1"/>
        </w:rPr>
        <w:t>二十五、退税发起方式：纳税人申请汇算结算或误收税款退税的，税务机关选择“纳税人自行申请”或“税务机关发现并通知”；纳税人申请留抵退税的，税务机关选择“纳税人自行申请”。</w:t>
      </w:r>
    </w:p>
    <w:p>
      <w:pPr>
        <w:ind w:firstLine="480"/>
        <w:rPr>
          <w:rFonts w:hint="default"/>
          <w:b/>
        </w:rPr>
      </w:pPr>
      <w:r>
        <w:rPr>
          <w:rFonts w:cs="Times New Roman"/>
          <w:color w:val="000000" w:themeColor="text1"/>
        </w:rPr>
        <w:t>二十六、退（抵）税金额：填写税务机关核准后的退（抵）税额。</w:t>
      </w:r>
    </w:p>
    <w:p>
      <w:pPr>
        <w:ind w:firstLine="482"/>
        <w:rPr>
          <w:rFonts w:hint="default"/>
          <w:b/>
        </w:rPr>
      </w:pPr>
    </w:p>
    <w:p>
      <w:pPr>
        <w:spacing w:line="360" w:lineRule="auto"/>
        <w:ind w:firstLine="480"/>
        <w:rPr>
          <w:rFonts w:hint="default" w:ascii="宋体" w:hAnsi="宋体" w:cs="Times New Roman"/>
        </w:rPr>
      </w:pPr>
      <w:r>
        <w:rPr>
          <w:rFonts w:ascii="宋体" w:hAnsi="宋体" w:cs="Times New Roman"/>
        </w:rPr>
        <w:t>【</w:t>
      </w:r>
      <w:r>
        <w:rPr>
          <w:rFonts w:ascii="宋体" w:hAnsi="宋体" w:cs="Times New Roman"/>
          <w:b/>
          <w:bCs/>
        </w:rPr>
        <w:t>政策依据</w:t>
      </w:r>
      <w:r>
        <w:rPr>
          <w:rFonts w:ascii="宋体" w:hAnsi="宋体" w:cs="Times New Roman"/>
        </w:rPr>
        <w:t>】</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795"/>
        <w:gridCol w:w="1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795" w:type="dxa"/>
            <w:vAlign w:val="center"/>
          </w:tcPr>
          <w:p>
            <w:pPr>
              <w:pStyle w:val="33"/>
              <w:adjustRightInd/>
              <w:snapToGrid/>
              <w:spacing w:line="276" w:lineRule="auto"/>
            </w:pPr>
            <w:r>
              <w:rPr>
                <w:rFonts w:hint="eastAsia"/>
              </w:rPr>
              <w:t>文件名称</w:t>
            </w:r>
          </w:p>
        </w:tc>
        <w:tc>
          <w:tcPr>
            <w:tcW w:w="1542"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795" w:type="dxa"/>
            <w:vAlign w:val="center"/>
          </w:tcPr>
          <w:p>
            <w:pPr>
              <w:pStyle w:val="50"/>
              <w:adjustRightInd/>
              <w:snapToGrid/>
              <w:spacing w:line="276" w:lineRule="auto"/>
            </w:pPr>
            <w:r>
              <w:rPr>
                <w:rFonts w:hint="eastAsia"/>
              </w:rPr>
              <w:t>《中华人民共和国税收征收管理法》</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795" w:type="dxa"/>
            <w:vAlign w:val="center"/>
          </w:tcPr>
          <w:p>
            <w:pPr>
              <w:pStyle w:val="50"/>
              <w:adjustRightInd/>
              <w:snapToGrid/>
              <w:spacing w:line="276" w:lineRule="auto"/>
            </w:pPr>
            <w:r>
              <w:rPr>
                <w:rFonts w:hint="eastAsia"/>
              </w:rPr>
              <w:t>《中华人民共和国税收征收管理法实施细则》</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3</w:t>
            </w:r>
          </w:p>
        </w:tc>
        <w:tc>
          <w:tcPr>
            <w:tcW w:w="5795" w:type="dxa"/>
            <w:vAlign w:val="center"/>
          </w:tcPr>
          <w:p>
            <w:pPr>
              <w:pStyle w:val="50"/>
              <w:adjustRightInd/>
              <w:snapToGrid/>
              <w:spacing w:line="276" w:lineRule="auto"/>
            </w:pPr>
            <w:r>
              <w:rPr>
                <w:rFonts w:hint="eastAsia"/>
              </w:rPr>
              <w:t>《财政部 税务总局 海关总署关于深化增值税改革有关政策的公告》（财政部税务总局海关总署公告2019年第39号）</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4</w:t>
            </w:r>
          </w:p>
        </w:tc>
        <w:tc>
          <w:tcPr>
            <w:tcW w:w="5795" w:type="dxa"/>
            <w:vAlign w:val="center"/>
          </w:tcPr>
          <w:p>
            <w:pPr>
              <w:pStyle w:val="50"/>
            </w:pPr>
            <w:r>
              <w:rPr>
                <w:rFonts w:hint="eastAsia"/>
              </w:rPr>
              <w:t>《财政部 税务总局</w:t>
            </w:r>
            <w:r>
              <w:t>关于明确部分先进制造业增值税期末留抵退税政策的公告</w:t>
            </w:r>
            <w:r>
              <w:rPr>
                <w:rFonts w:hint="eastAsia"/>
              </w:rPr>
              <w:t>》（</w:t>
            </w:r>
            <w:r>
              <w:t>财政部 税务总局公告2019年第84号</w:t>
            </w:r>
            <w:r>
              <w:rPr>
                <w:rFonts w:hint="eastAsia"/>
              </w:rPr>
              <w:t>）</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5</w:t>
            </w:r>
          </w:p>
        </w:tc>
        <w:tc>
          <w:tcPr>
            <w:tcW w:w="5795" w:type="dxa"/>
            <w:vAlign w:val="center"/>
          </w:tcPr>
          <w:p>
            <w:pPr>
              <w:pStyle w:val="50"/>
              <w:adjustRightInd/>
              <w:snapToGrid/>
              <w:spacing w:line="276" w:lineRule="auto"/>
            </w:pPr>
            <w:r>
              <w:rPr>
                <w:rFonts w:hint="eastAsia"/>
              </w:rPr>
              <w:t>《财政部 国家税务总局关于退还集电路企业采购设备增值税期末留抵税额的通知》（财税〔</w:t>
            </w:r>
            <w:r>
              <w:t>2011</w:t>
            </w:r>
            <w:r>
              <w:rPr>
                <w:rFonts w:hint="eastAsia"/>
              </w:rPr>
              <w:t>〕</w:t>
            </w:r>
            <w:r>
              <w:t>107</w:t>
            </w:r>
            <w:r>
              <w:rPr>
                <w:rFonts w:hint="eastAsia"/>
              </w:rPr>
              <w:t>号）</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6</w:t>
            </w:r>
          </w:p>
        </w:tc>
        <w:tc>
          <w:tcPr>
            <w:tcW w:w="5795" w:type="dxa"/>
            <w:vAlign w:val="center"/>
          </w:tcPr>
          <w:p>
            <w:pPr>
              <w:pStyle w:val="50"/>
              <w:adjustRightInd/>
              <w:snapToGrid/>
              <w:spacing w:line="276" w:lineRule="auto"/>
            </w:pPr>
            <w:r>
              <w:rPr>
                <w:rFonts w:hint="eastAsia"/>
              </w:rPr>
              <w:t>《财政部 国家税务总局关于利用石脑油和燃料油生产乙烯芳烃类产品有关增值税政策的通知》（财税〔</w:t>
            </w:r>
            <w:r>
              <w:t>2014</w:t>
            </w:r>
            <w:r>
              <w:rPr>
                <w:rFonts w:hint="eastAsia"/>
              </w:rPr>
              <w:t>〕</w:t>
            </w:r>
            <w:r>
              <w:t>17</w:t>
            </w:r>
            <w:r>
              <w:rPr>
                <w:rFonts w:hint="eastAsia"/>
              </w:rPr>
              <w:t>号）</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7</w:t>
            </w:r>
          </w:p>
        </w:tc>
        <w:tc>
          <w:tcPr>
            <w:tcW w:w="5795" w:type="dxa"/>
            <w:vAlign w:val="center"/>
          </w:tcPr>
          <w:p>
            <w:pPr>
              <w:pStyle w:val="50"/>
              <w:adjustRightInd/>
              <w:snapToGrid/>
              <w:spacing w:line="276" w:lineRule="auto"/>
            </w:pPr>
            <w:r>
              <w:rPr>
                <w:rFonts w:hint="eastAsia"/>
              </w:rPr>
              <w:t>《财政部 税务总局关于集成电路企业增值税期末留抵退税有关城市维护建设税教育费附加和地方教育附加政策的通知》（财税〔</w:t>
            </w:r>
            <w:r>
              <w:t>2017</w:t>
            </w:r>
            <w:r>
              <w:rPr>
                <w:rFonts w:hint="eastAsia"/>
              </w:rPr>
              <w:t>〕</w:t>
            </w:r>
            <w:r>
              <w:t>17</w:t>
            </w:r>
            <w:r>
              <w:rPr>
                <w:rFonts w:hint="eastAsia"/>
              </w:rPr>
              <w:t>号）</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8</w:t>
            </w:r>
          </w:p>
        </w:tc>
        <w:tc>
          <w:tcPr>
            <w:tcW w:w="5795" w:type="dxa"/>
            <w:vAlign w:val="center"/>
          </w:tcPr>
          <w:p>
            <w:pPr>
              <w:pStyle w:val="50"/>
              <w:adjustRightInd/>
              <w:snapToGrid/>
              <w:spacing w:line="276" w:lineRule="auto"/>
            </w:pPr>
            <w:r>
              <w:rPr>
                <w:rFonts w:hint="eastAsia"/>
              </w:rPr>
              <w:t>《财政部 税务总局关于增值税期末留抵退税有关城市维护建设税教育费附加和地方教育附加政策的通知》</w:t>
            </w:r>
          </w:p>
          <w:p>
            <w:pPr>
              <w:pStyle w:val="50"/>
              <w:adjustRightInd/>
              <w:snapToGrid/>
              <w:spacing w:line="276" w:lineRule="auto"/>
            </w:pPr>
            <w:r>
              <w:rPr>
                <w:rFonts w:hint="eastAsia"/>
              </w:rPr>
              <w:t>（财税〔2018〕80号）</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9</w:t>
            </w:r>
          </w:p>
        </w:tc>
        <w:tc>
          <w:tcPr>
            <w:tcW w:w="5795" w:type="dxa"/>
            <w:vAlign w:val="center"/>
          </w:tcPr>
          <w:p>
            <w:pPr>
              <w:pStyle w:val="50"/>
              <w:adjustRightInd/>
              <w:snapToGrid/>
              <w:spacing w:line="276" w:lineRule="auto"/>
            </w:pPr>
            <w:r>
              <w:rPr>
                <w:rFonts w:hint="eastAsia"/>
              </w:rPr>
              <w:t>《国家税务总局关于办理增值税期末留抵税额退税有关事项的公告》（国家税务总局公告2019年第20号）</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10</w:t>
            </w:r>
          </w:p>
        </w:tc>
        <w:tc>
          <w:tcPr>
            <w:tcW w:w="5795"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42"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11</w:t>
            </w:r>
          </w:p>
        </w:tc>
        <w:tc>
          <w:tcPr>
            <w:tcW w:w="5795"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42"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12</w:t>
            </w:r>
          </w:p>
        </w:tc>
        <w:tc>
          <w:tcPr>
            <w:tcW w:w="5795"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42"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r>
              <w:t>3</w:t>
            </w:r>
          </w:p>
        </w:tc>
        <w:tc>
          <w:tcPr>
            <w:tcW w:w="5795" w:type="dxa"/>
            <w:vAlign w:val="center"/>
          </w:tcPr>
          <w:p>
            <w:pPr>
              <w:pStyle w:val="50"/>
              <w:adjustRightInd/>
              <w:snapToGrid/>
              <w:spacing w:line="276" w:lineRule="auto"/>
            </w:pPr>
            <w:r>
              <w:rPr>
                <w:rFonts w:hint="eastAsia"/>
              </w:rPr>
              <w:t>《国家税务总局关于进一步规范增值税、消费税车辆购置税有关涉税事项办理的通知》（税总函〔</w:t>
            </w:r>
            <w:r>
              <w:t>2017〕426号）</w:t>
            </w:r>
          </w:p>
        </w:tc>
        <w:tc>
          <w:tcPr>
            <w:tcW w:w="1542" w:type="dxa"/>
            <w:vAlign w:val="center"/>
          </w:tcPr>
          <w:p>
            <w:pPr>
              <w:pStyle w:val="50"/>
              <w:adjustRightInd/>
              <w:snapToGrid/>
              <w:spacing w:line="276" w:lineRule="auto"/>
            </w:pPr>
            <w:r>
              <w:rPr>
                <w:rFonts w:hint="eastAsia"/>
              </w:rPr>
              <w:t>依申请公开</w:t>
            </w:r>
          </w:p>
        </w:tc>
      </w:tr>
    </w:tbl>
    <w:p>
      <w:pPr>
        <w:pStyle w:val="37"/>
        <w:spacing w:before="336" w:after="336"/>
        <w:ind w:right="1570" w:rightChars="654"/>
      </w:pPr>
      <w:bookmarkStart w:id="280" w:name="_Toc10994"/>
      <w:bookmarkStart w:id="281" w:name="_Toc18096192"/>
      <w:r>
        <w:rPr>
          <w:rFonts w:hint="eastAsia"/>
        </w:rPr>
        <w:t>3.25.5—12</w:t>
      </w:r>
      <w:r>
        <w:t>2</w:t>
      </w:r>
      <w:r>
        <w:rPr>
          <w:rFonts w:hint="eastAsia"/>
        </w:rPr>
        <w:t>　</w:t>
      </w:r>
      <w:r>
        <w:rPr>
          <w:color w:val="000000" w:themeColor="text1"/>
        </w:rPr>
        <w:t>　</w:t>
      </w:r>
      <w:r>
        <w:rPr>
          <w:rFonts w:hint="eastAsia"/>
        </w:rPr>
        <w:t>石脑油、燃料油消费税退税</w:t>
      </w:r>
      <w:bookmarkEnd w:id="280"/>
      <w:bookmarkEnd w:id="281"/>
    </w:p>
    <w:p>
      <w:pPr>
        <w:pStyle w:val="31"/>
        <w:wordWrap w:val="0"/>
        <w:adjustRightInd/>
        <w:snapToGrid/>
        <w:rPr>
          <w:rFonts w:cs="宋体"/>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石脑油、燃料油消费税退税</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我国境内使用石脑油、燃料油生产乙烯、芳烃类化工产品的企业，包括将自产石脑油、燃料油用于连续生产乙烯、芳烃类化工产品的企业，将外购的含税石脑油、燃料油用于生产乙烯、芳烃类化工产品的企业，且生产的乙烯、芳烃类化工产品产量占本企业用石脑油、燃料油生产全部产品总量的</w:t>
      </w:r>
      <w:r>
        <w:rPr>
          <w:rFonts w:cs="Times New Roman"/>
          <w:color w:val="000000" w:themeColor="text1"/>
        </w:rPr>
        <w:t>50</w:t>
      </w:r>
      <w:r>
        <w:rPr>
          <w:rFonts w:ascii="宋体" w:hAnsi="宋体" w:cs="Times New Roman"/>
          <w:color w:val="000000" w:themeColor="text1"/>
        </w:rPr>
        <w:t>%以上（含）的，可按实际耗用量计算退还所含已缴纳的消费税。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《中华人民共和国税收征收管理法》第五十一条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《中华人民共和国消费税暂行条例》第四条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《中华人民共和国税收征收管理法实施细则》第七十八条、第七十九条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039"/>
        <w:gridCol w:w="4046"/>
        <w:gridCol w:w="703"/>
        <w:gridCol w:w="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l2br w:val="nil"/>
              <w:tr2bl w:val="nil"/>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6085" w:type="dxa"/>
            <w:gridSpan w:val="2"/>
            <w:tcBorders>
              <w:tl2br w:val="nil"/>
              <w:tr2bl w:val="nil"/>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703" w:type="dxa"/>
            <w:tcBorders>
              <w:tl2br w:val="nil"/>
              <w:tr2bl w:val="nil"/>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695" w:type="dxa"/>
            <w:tcBorders>
              <w:tl2br w:val="nil"/>
              <w:tr2bl w:val="nil"/>
            </w:tcBorders>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80"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6085" w:type="dxa"/>
            <w:gridSpan w:val="2"/>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《用于生产乙烯、芳烃类化工产品的石脑油、燃料油消费税应退税额计算表》</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163" w:type="dxa"/>
            <w:gridSpan w:val="5"/>
            <w:tcBorders>
              <w:tl2br w:val="nil"/>
              <w:tr2bl w:val="nil"/>
            </w:tcBorders>
            <w:shd w:val="clear" w:color="auto" w:fill="D9D9D9"/>
            <w:vAlign w:val="center"/>
          </w:tcPr>
          <w:p>
            <w:pPr>
              <w:pStyle w:val="32"/>
              <w:wordWrap w:val="0"/>
              <w:adjustRightInd/>
              <w:snapToGrid/>
              <w:spacing w:line="240" w:lineRule="auto"/>
              <w:rPr>
                <w:rFonts w:cs="黑体"/>
                <w:color w:val="000000" w:themeColor="text1"/>
              </w:rPr>
            </w:pPr>
            <w:r>
              <w:rPr>
                <w:rFonts w:hint="eastAsia" w:cs="黑体"/>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tcBorders>
              <w:tl2br w:val="nil"/>
              <w:tr2bl w:val="nil"/>
            </w:tcBorders>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适用情形</w:t>
            </w:r>
          </w:p>
        </w:tc>
        <w:tc>
          <w:tcPr>
            <w:tcW w:w="4046" w:type="dxa"/>
            <w:tcBorders>
              <w:tl2br w:val="nil"/>
              <w:tr2bl w:val="nil"/>
            </w:tcBorders>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材料名称</w:t>
            </w:r>
          </w:p>
        </w:tc>
        <w:tc>
          <w:tcPr>
            <w:tcW w:w="703" w:type="dxa"/>
            <w:tcBorders>
              <w:tl2br w:val="nil"/>
              <w:tr2bl w:val="nil"/>
            </w:tcBorders>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数量</w:t>
            </w:r>
          </w:p>
        </w:tc>
        <w:tc>
          <w:tcPr>
            <w:tcW w:w="695" w:type="dxa"/>
            <w:tcBorders>
              <w:tl2br w:val="nil"/>
              <w:tr2bl w:val="nil"/>
            </w:tcBorders>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使用企业初次向主管税务机关申请进口消费税退税的，如前期已向海关申请办理过退税事项</w:t>
            </w: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上月进口地海关受理的《石脑油、燃料油生产、外购、耗用、库存月度统计表》</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vMerge w:val="restart"/>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首次办理或条件发生变化</w:t>
            </w: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《石脑油、燃料油消费税退税资格备案表》</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4046" w:type="dxa"/>
            <w:tcBorders>
              <w:tl2br w:val="nil"/>
              <w:tr2bl w:val="nil"/>
            </w:tcBorders>
            <w:vAlign w:val="center"/>
          </w:tcPr>
          <w:p>
            <w:pPr>
              <w:pStyle w:val="34"/>
              <w:wordWrap w:val="0"/>
              <w:adjustRightInd/>
              <w:snapToGrid/>
              <w:spacing w:line="240" w:lineRule="auto"/>
              <w:rPr>
                <w:color w:val="000000" w:themeColor="text1"/>
              </w:rPr>
            </w:pPr>
            <w:r>
              <w:rPr>
                <w:color w:val="000000" w:themeColor="text1"/>
              </w:rPr>
              <w:t>加载统一社会信用代码的营业执照（或税务登记证、组织机构代码证等）</w:t>
            </w:r>
            <w:r>
              <w:rPr>
                <w:rFonts w:hint="eastAsia"/>
                <w:color w:val="000000" w:themeColor="text1"/>
              </w:rPr>
              <w:t>复印件、安全生产监督管理部门颁发的相关产品《危险化学品安全生产许可证》复印件</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石脑油、燃料油用于生产乙烯、芳烃类化工产品的工艺设计方案、装置工艺流程以及相关生产设备情况复印件</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石脑油、燃料油用于生产乙烯、芳烃类化工产品的物料平衡图复印件</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原料储罐、产成品储罐和产成品仓库的分布图、用途、储存容量的相关资料复印件</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乙烯、芳烃类化工产品生产装置的全部流量计的安装位置图和计量方法说明，以及原材料密度的测量和计算方法说明复印件</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vMerge w:val="continue"/>
            <w:tcBorders>
              <w:tl2br w:val="nil"/>
              <w:tr2bl w:val="nil"/>
            </w:tcBorders>
            <w:vAlign w:val="center"/>
          </w:tcPr>
          <w:p>
            <w:pPr>
              <w:pStyle w:val="34"/>
              <w:wordWrap w:val="0"/>
              <w:adjustRightInd/>
              <w:snapToGrid/>
              <w:spacing w:line="240" w:lineRule="auto"/>
              <w:rPr>
                <w:color w:val="000000" w:themeColor="text1"/>
              </w:rPr>
            </w:pP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上一年度用石脑油、燃料油生产乙烯、芳烃类化工产品的分品种的销售明细表</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19" w:type="dxa"/>
            <w:gridSpan w:val="2"/>
            <w:tcBorders>
              <w:tl2br w:val="nil"/>
              <w:tr2bl w:val="nil"/>
            </w:tcBorders>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因特殊情况不能退至纳税人、扣缴义务人原缴款账户</w:t>
            </w:r>
          </w:p>
        </w:tc>
        <w:tc>
          <w:tcPr>
            <w:tcW w:w="4046" w:type="dxa"/>
            <w:tcBorders>
              <w:tl2br w:val="nil"/>
              <w:tr2bl w:val="nil"/>
            </w:tcBorders>
            <w:vAlign w:val="center"/>
          </w:tcPr>
          <w:p>
            <w:pPr>
              <w:pStyle w:val="34"/>
              <w:wordWrap w:val="0"/>
              <w:adjustRightInd/>
              <w:snapToGrid/>
              <w:spacing w:line="240" w:lineRule="auto"/>
              <w:rPr>
                <w:color w:val="000000" w:themeColor="text1"/>
              </w:rPr>
            </w:pPr>
            <w:r>
              <w:rPr>
                <w:rFonts w:hint="eastAsia"/>
                <w:color w:val="000000" w:themeColor="text1"/>
              </w:rPr>
              <w:t>由于特殊情况不能退至纳税人、扣缴义务人原缴款账户的书面说明，相关证明资料，和指定接受退税的其他账户及接受退税单位（人）名称的资料</w:t>
            </w:r>
          </w:p>
        </w:tc>
        <w:tc>
          <w:tcPr>
            <w:tcW w:w="703" w:type="dxa"/>
            <w:tcBorders>
              <w:tl2br w:val="nil"/>
              <w:tr2bl w:val="nil"/>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695" w:type="dxa"/>
            <w:tcBorders>
              <w:tl2br w:val="nil"/>
              <w:tr2bl w:val="nil"/>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r>
        <w:rPr>
          <w:rFonts w:ascii="宋体" w:hAnsi="宋体" w:cs="Times New Roman"/>
          <w:color w:val="000000" w:themeColor="text1"/>
        </w:rPr>
        <w:t>。</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cs="Times New Roman"/>
          <w:color w:val="000000" w:themeColor="text1"/>
        </w:rPr>
        <w:t>20</w:t>
      </w:r>
      <w:r>
        <w:rPr>
          <w:rFonts w:ascii="宋体" w:hAnsi="宋体" w:cs="Times New Roman"/>
          <w:color w:val="000000" w:themeColor="text1"/>
        </w:rPr>
        <w:t>日内办结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4944110" cy="1687830"/>
            <wp:effectExtent l="0" t="0" r="8890" b="3810"/>
            <wp:docPr id="75" name="图片 24"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4" descr="C:\Users\baoqianyu\Desktop\流程图\流转\纳税人.png纳税人"/>
                    <pic:cNvPicPr>
                      <a:picLocks noChangeAspect="1"/>
                    </pic:cNvPicPr>
                  </pic:nvPicPr>
                  <pic:blipFill>
                    <a:blip r:embed="rId15"/>
                    <a:srcRect/>
                    <a:stretch>
                      <a:fillRect/>
                    </a:stretch>
                  </pic:blipFill>
                  <pic:spPr>
                    <a:xfrm>
                      <a:off x="0" y="0"/>
                      <a:ext cx="4944110" cy="168783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使用企业申请退税的国内采购的含税石脑油、燃料油，应取得符合规定的成品油值税专用发票，发票应注明石脑油、燃料油及数量。未取得或发票未注明石脑油、燃料油及数量的，不予退税。</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使用企业发生下列行为之一的，主管税务机关应暂停或取消使用企业的退（免）税资格：</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）注销税务登记的，取消退（免）税资格。</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）主管税务机关实地核查结果与使用企业申报的备案资料不一致的，暂停或取消退（免）资格。</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）使用企业不再以石脑油、燃料油生产乙烯、芳烃类化工产品或不再生产乙烯、芳烃类化工产品的，经申请取消退（免）税资格。</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）经税务机关检查发现存在骗取国家退税款的，取消退（免）税资格。</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）办理备案变更登记备案事项，经主管税务机关通知在</w:t>
      </w:r>
      <w:r>
        <w:rPr>
          <w:rFonts w:cs="Times New Roman"/>
          <w:color w:val="000000" w:themeColor="text1"/>
        </w:rPr>
        <w:t>30</w:t>
      </w:r>
      <w:r>
        <w:rPr>
          <w:rFonts w:ascii="宋体" w:hAnsi="宋体" w:cs="Times New Roman"/>
          <w:color w:val="000000" w:themeColor="text1"/>
        </w:rPr>
        <w:t>日内仍未改正的，暂停退（免）税资格。</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6</w:t>
      </w:r>
      <w:r>
        <w:rPr>
          <w:rFonts w:ascii="宋体" w:hAnsi="宋体" w:cs="Times New Roman"/>
          <w:color w:val="000000" w:themeColor="text1"/>
        </w:rPr>
        <w:t>）未按月向主管税务机关报送《石脑油、燃料油生产、外购、耗用、库存月度统计表》和《乙烯、芳烃生产装置投入产出流量计统计表》、《使用企业外购石脑油、燃料油凭证明细表》的，暂停退（免）税资格。</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7</w:t>
      </w:r>
      <w:r>
        <w:rPr>
          <w:rFonts w:ascii="宋体" w:hAnsi="宋体" w:cs="Times New Roman"/>
          <w:color w:val="000000" w:themeColor="text1"/>
        </w:rPr>
        <w:t>）不接受税务机关的产品抽检，不能提供税务机关要求的检测报告的，暂停退（免）税资格。</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除出口退税以外，纳税人既有应退税款又有欠缴税款的，税务机关可以将纳税人的应退税款和利息先抵扣欠缴的税款；抵扣后有余额的，纳税人可以申请办理应退余额的退库。</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ascii="宋体" w:hAnsi="宋体" w:cs="Times New Roman"/>
          <w:color w:val="000000" w:themeColor="text1"/>
        </w:rPr>
        <w:t>个工作日内通知纳税人领取办理结果，制作并发放《税务事项通知书》。</w:t>
      </w:r>
      <w:r>
        <w:rPr>
          <w:rFonts w:hint="default" w:ascii="宋体" w:hAnsi="宋体" w:cs="Times New Roman"/>
          <w:color w:val="000000" w:themeColor="text1"/>
        </w:rPr>
        <w:t>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highlight w:val="cyan"/>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税务机关能够获取相关信息的，可不再报送纸质资料。</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1.受理环节</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进入金三操作系统，通过文书受理岗权限，按照【管理服务】—【文书管理】—【退税类】—【石油脑、燃料油消费税退税】的路径进入相关功能模块。</w:t>
      </w:r>
    </w:p>
    <w:p>
      <w:pPr>
        <w:wordWrap w:val="0"/>
        <w:spacing w:line="360" w:lineRule="auto"/>
        <w:ind w:firstLine="480"/>
        <w:rPr>
          <w:rFonts w:hint="default" w:cs="Times New Roman"/>
          <w:color w:val="000000" w:themeColor="text1"/>
        </w:rPr>
      </w:pPr>
      <w:r>
        <w:rPr>
          <w:rFonts w:cs="Times New Roman"/>
          <w:color w:val="000000" w:themeColor="text1"/>
        </w:rPr>
        <w:t>2.发放环节</w:t>
      </w:r>
    </w:p>
    <w:p>
      <w:pPr>
        <w:wordWrap w:val="0"/>
        <w:spacing w:line="360" w:lineRule="auto"/>
        <w:ind w:firstLine="480"/>
        <w:rPr>
          <w:rFonts w:hint="default"/>
        </w:rPr>
      </w:pPr>
      <w:r>
        <w:rPr>
          <w:rFonts w:cs="Times New Roman"/>
          <w:color w:val="000000" w:themeColor="text1"/>
        </w:rPr>
        <w:t>从待办任务中选择石油脑、燃料油消费税退税发放事项，进入发放界面，打印《税务事项通知书（石脑油、燃料油消费税退税审批通知）》交纳税人。</w:t>
      </w:r>
    </w:p>
    <w:p>
      <w:pPr>
        <w:pStyle w:val="31"/>
        <w:wordWrap w:val="0"/>
        <w:adjustRightInd/>
        <w:snapToGrid/>
        <w:rPr>
          <w:color w:val="000000" w:themeColor="text1"/>
        </w:rPr>
      </w:pPr>
      <w:r>
        <w:rPr>
          <w:rFonts w:hint="eastAsia"/>
          <w:color w:val="000000" w:themeColor="text1"/>
        </w:rPr>
        <w:t>【表证单书填写范本】</w:t>
      </w:r>
    </w:p>
    <w:p>
      <w:pPr>
        <w:spacing w:line="400" w:lineRule="exact"/>
        <w:jc w:val="center"/>
        <w:rPr>
          <w:rFonts w:hint="default" w:asciiTheme="minorEastAsia" w:hAnsiTheme="minorEastAsia" w:eastAsiaTheme="minorEastAsia"/>
          <w:b/>
          <w:bCs/>
          <w:sz w:val="28"/>
          <w:szCs w:val="28"/>
        </w:rPr>
      </w:pPr>
      <w:r>
        <w:rPr>
          <w:rFonts w:asciiTheme="minorEastAsia" w:hAnsiTheme="minorEastAsia" w:eastAsiaTheme="minorEastAsia"/>
          <w:b/>
          <w:bCs/>
          <w:sz w:val="28"/>
          <w:szCs w:val="28"/>
        </w:rPr>
        <w:t>用于生产乙烯、芳烃类化工产品的石脑油、燃料油</w:t>
      </w:r>
    </w:p>
    <w:p>
      <w:pPr>
        <w:spacing w:line="400" w:lineRule="exact"/>
        <w:ind w:firstLine="400"/>
        <w:jc w:val="center"/>
        <w:rPr>
          <w:rFonts w:hint="default" w:asciiTheme="minorEastAsia" w:hAnsiTheme="minorEastAsia" w:eastAsiaTheme="minorEastAsia"/>
          <w:sz w:val="21"/>
          <w:szCs w:val="21"/>
        </w:rPr>
      </w:pPr>
      <w:r>
        <w:rPr>
          <w:rFonts w:ascii="宋体" w:hAnsi="宋体" w:cs="宋体"/>
          <w:color w:val="000000"/>
          <w:kern w:val="0"/>
          <w:sz w:val="20"/>
          <w:szCs w:val="20"/>
        </w:rPr>
        <w:drawing>
          <wp:anchor distT="0" distB="0" distL="114300" distR="114300" simplePos="0" relativeHeight="251671552" behindDoc="0" locked="0" layoutInCell="1" allowOverlap="1">
            <wp:simplePos x="0" y="0"/>
            <wp:positionH relativeFrom="column">
              <wp:posOffset>576580</wp:posOffset>
            </wp:positionH>
            <wp:positionV relativeFrom="paragraph">
              <wp:posOffset>211455</wp:posOffset>
            </wp:positionV>
            <wp:extent cx="1143000" cy="1066800"/>
            <wp:effectExtent l="0" t="0" r="0" b="0"/>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r>
        <w:rPr>
          <w:rFonts w:asciiTheme="minorEastAsia" w:hAnsiTheme="minorEastAsia" w:eastAsiaTheme="minorEastAsia"/>
          <w:b/>
          <w:bCs/>
          <w:sz w:val="28"/>
          <w:szCs w:val="28"/>
        </w:rPr>
        <w:t>消费税应退税额计算表</w:t>
      </w:r>
    </w:p>
    <w:p>
      <w:pPr>
        <w:spacing w:line="400" w:lineRule="exact"/>
        <w:ind w:firstLine="480"/>
        <w:jc w:val="center"/>
        <w:rPr>
          <w:rFonts w:hint="default" w:asciiTheme="minorEastAsia" w:hAnsiTheme="minorEastAsia" w:eastAsiaTheme="minorEastAsia"/>
          <w:b/>
          <w:bCs/>
        </w:rPr>
      </w:pPr>
      <w:r>
        <w:rPr>
          <w:rFonts w:asciiTheme="minorEastAsia" w:hAnsiTheme="minorEastAsia" w:eastAsiaTheme="minorEastAsia"/>
        </w:rPr>
        <w:t>所属期：</w:t>
      </w:r>
      <w:r>
        <w:rPr>
          <w:rFonts w:hint="default" w:asciiTheme="minorEastAsia" w:hAnsiTheme="minorEastAsia" w:eastAsiaTheme="minorEastAsia"/>
          <w:b/>
          <w:bCs/>
          <w:color w:val="0000FF"/>
        </w:rPr>
        <w:t>XXXX</w:t>
      </w:r>
      <w:r>
        <w:rPr>
          <w:rFonts w:asciiTheme="minorEastAsia" w:hAnsiTheme="minorEastAsia" w:eastAsiaTheme="minorEastAsia"/>
        </w:rPr>
        <w:t>年</w:t>
      </w:r>
      <w:r>
        <w:rPr>
          <w:rFonts w:hint="default" w:asciiTheme="minorEastAsia" w:hAnsiTheme="minorEastAsia" w:eastAsiaTheme="minorEastAsia"/>
          <w:b/>
          <w:bCs/>
          <w:color w:val="0000FF"/>
        </w:rPr>
        <w:t>XX</w:t>
      </w:r>
      <w:r>
        <w:rPr>
          <w:rFonts w:asciiTheme="minorEastAsia" w:hAnsiTheme="minorEastAsia" w:eastAsiaTheme="minorEastAsia"/>
          <w:b/>
          <w:bCs/>
        </w:rPr>
        <w:t>月</w:t>
      </w:r>
    </w:p>
    <w:p>
      <w:pPr>
        <w:spacing w:line="400" w:lineRule="exact"/>
        <w:ind w:firstLine="0" w:firstLineChars="0"/>
        <w:rPr>
          <w:rFonts w:hint="default" w:asciiTheme="minorEastAsia" w:hAnsiTheme="minorEastAsia" w:eastAsiaTheme="minorEastAsia"/>
          <w:b/>
          <w:bCs/>
        </w:rPr>
      </w:pPr>
      <w:r>
        <w:rPr>
          <w:rFonts w:asciiTheme="minorEastAsia" w:hAnsiTheme="minorEastAsia" w:eastAsiaTheme="minorEastAsia"/>
          <w:b/>
          <w:bCs/>
        </w:rPr>
        <w:t>纳税人名称（公章）：</w:t>
      </w:r>
      <w:r>
        <w:rPr>
          <w:rFonts w:asciiTheme="minorEastAsia" w:hAnsiTheme="minorEastAsia" w:eastAsiaTheme="minorEastAsia"/>
          <w:b/>
          <w:bCs/>
          <w:color w:val="0000FF"/>
        </w:rPr>
        <w:t>XXXXXXXX</w:t>
      </w:r>
      <w:r>
        <w:rPr>
          <w:rFonts w:hint="default" w:asciiTheme="minorEastAsia" w:hAnsiTheme="minorEastAsia" w:eastAsiaTheme="minorEastAsia"/>
          <w:b/>
          <w:bCs/>
          <w:color w:val="0000FF"/>
        </w:rPr>
        <w:t>XXXXX</w:t>
      </w:r>
    </w:p>
    <w:p>
      <w:pPr>
        <w:spacing w:line="400" w:lineRule="exact"/>
        <w:ind w:firstLine="0" w:firstLineChars="0"/>
        <w:rPr>
          <w:rFonts w:hint="default" w:cs="Arial" w:asciiTheme="minorEastAsia" w:hAnsiTheme="minorEastAsia" w:eastAsiaTheme="minorEastAsia"/>
          <w:b/>
        </w:rPr>
      </w:pPr>
      <w:r>
        <w:rPr>
          <w:rFonts w:asciiTheme="minorEastAsia" w:hAnsiTheme="minorEastAsia" w:eastAsiaTheme="minorEastAsia"/>
        </w:rPr>
        <w:t>纳税人识别号：</w:t>
      </w:r>
      <w:r>
        <w:rPr>
          <w:rFonts w:cs="Arial" w:asciiTheme="minorEastAsia" w:hAnsiTheme="minorEastAsia" w:eastAsiaTheme="minorEastAsia"/>
          <w:b/>
          <w:color w:val="0000FF"/>
        </w:rPr>
        <w:t xml:space="preserve">税务登记证号（统一社会信用代码）        </w:t>
      </w:r>
      <w:r>
        <w:rPr>
          <w:rFonts w:asciiTheme="minorEastAsia" w:hAnsiTheme="minorEastAsia" w:eastAsiaTheme="minorEastAsia"/>
        </w:rPr>
        <w:t>单位：吨、元</w:t>
      </w:r>
    </w:p>
    <w:tbl>
      <w:tblPr>
        <w:tblStyle w:val="18"/>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04"/>
        <w:gridCol w:w="1482"/>
        <w:gridCol w:w="386"/>
        <w:gridCol w:w="768"/>
        <w:gridCol w:w="21"/>
        <w:gridCol w:w="589"/>
        <w:gridCol w:w="1309"/>
        <w:gridCol w:w="1427"/>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9196" w:type="dxa"/>
            <w:gridSpan w:val="9"/>
            <w:shd w:val="clear" w:color="auto" w:fill="FFFFFF"/>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以下由纳税人填写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904" w:type="dxa"/>
            <w:vMerge w:val="restart"/>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项目</w:t>
            </w:r>
          </w:p>
        </w:tc>
        <w:tc>
          <w:tcPr>
            <w:tcW w:w="1868" w:type="dxa"/>
            <w:gridSpan w:val="2"/>
            <w:vMerge w:val="restart"/>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行次</w:t>
            </w:r>
          </w:p>
        </w:tc>
        <w:tc>
          <w:tcPr>
            <w:tcW w:w="2687" w:type="dxa"/>
            <w:gridSpan w:val="4"/>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石脑油</w:t>
            </w:r>
          </w:p>
        </w:tc>
        <w:tc>
          <w:tcPr>
            <w:tcW w:w="2737"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燃料油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904" w:type="dxa"/>
            <w:vMerge w:val="continue"/>
            <w:noWrap/>
            <w:vAlign w:val="center"/>
          </w:tcPr>
          <w:p>
            <w:pPr>
              <w:spacing w:line="400" w:lineRule="exact"/>
              <w:ind w:firstLine="0" w:firstLineChars="0"/>
              <w:rPr>
                <w:rFonts w:hint="default" w:asciiTheme="minorEastAsia" w:hAnsiTheme="minorEastAsia" w:eastAsiaTheme="minorEastAsia"/>
              </w:rPr>
            </w:pPr>
          </w:p>
        </w:tc>
        <w:tc>
          <w:tcPr>
            <w:tcW w:w="1868" w:type="dxa"/>
            <w:gridSpan w:val="2"/>
            <w:vMerge w:val="continue"/>
            <w:noWrap/>
            <w:vAlign w:val="center"/>
          </w:tcPr>
          <w:p>
            <w:pPr>
              <w:spacing w:line="400" w:lineRule="exact"/>
              <w:ind w:firstLine="0" w:firstLineChars="0"/>
              <w:jc w:val="center"/>
              <w:rPr>
                <w:rFonts w:hint="default" w:asciiTheme="minorEastAsia" w:hAnsiTheme="minorEastAsia" w:eastAsiaTheme="minorEastAsia"/>
              </w:rPr>
            </w:pPr>
          </w:p>
        </w:tc>
        <w:tc>
          <w:tcPr>
            <w:tcW w:w="1378" w:type="dxa"/>
            <w:gridSpan w:val="3"/>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国产</w:t>
            </w:r>
          </w:p>
        </w:tc>
        <w:tc>
          <w:tcPr>
            <w:tcW w:w="1309"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进口</w:t>
            </w:r>
          </w:p>
        </w:tc>
        <w:tc>
          <w:tcPr>
            <w:tcW w:w="1427"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国产</w:t>
            </w:r>
          </w:p>
        </w:tc>
        <w:tc>
          <w:tcPr>
            <w:tcW w:w="1310"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904" w:type="dxa"/>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累计应退税数量</w:t>
            </w:r>
          </w:p>
        </w:tc>
        <w:tc>
          <w:tcPr>
            <w:tcW w:w="1868"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1</w:t>
            </w:r>
          </w:p>
        </w:tc>
        <w:tc>
          <w:tcPr>
            <w:tcW w:w="1378" w:type="dxa"/>
            <w:gridSpan w:val="3"/>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309"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427"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310"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904" w:type="dxa"/>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累计应退税额</w:t>
            </w:r>
          </w:p>
        </w:tc>
        <w:tc>
          <w:tcPr>
            <w:tcW w:w="1868"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2</w:t>
            </w:r>
          </w:p>
        </w:tc>
        <w:tc>
          <w:tcPr>
            <w:tcW w:w="1378" w:type="dxa"/>
            <w:gridSpan w:val="3"/>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309"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427"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310"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904" w:type="dxa"/>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累计已退税额</w:t>
            </w:r>
          </w:p>
        </w:tc>
        <w:tc>
          <w:tcPr>
            <w:tcW w:w="1868"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3</w:t>
            </w:r>
          </w:p>
        </w:tc>
        <w:tc>
          <w:tcPr>
            <w:tcW w:w="1378" w:type="dxa"/>
            <w:gridSpan w:val="3"/>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309"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427"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310"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904" w:type="dxa"/>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本期应退税额</w:t>
            </w:r>
          </w:p>
        </w:tc>
        <w:tc>
          <w:tcPr>
            <w:tcW w:w="1868"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4=2—3（且4&gt;=0）</w:t>
            </w:r>
          </w:p>
        </w:tc>
        <w:tc>
          <w:tcPr>
            <w:tcW w:w="1378" w:type="dxa"/>
            <w:gridSpan w:val="3"/>
            <w:noWrap/>
            <w:tcMar>
              <w:top w:w="0" w:type="dxa"/>
              <w:left w:w="108" w:type="dxa"/>
              <w:bottom w:w="0" w:type="dxa"/>
              <w:right w:w="108" w:type="dxa"/>
            </w:tcMar>
            <w:vAlign w:val="bottom"/>
          </w:tcPr>
          <w:p>
            <w:pPr>
              <w:spacing w:line="400" w:lineRule="exact"/>
              <w:ind w:right="440" w:firstLine="0" w:firstLineChars="0"/>
              <w:jc w:val="center"/>
              <w:rPr>
                <w:rFonts w:hint="default" w:asciiTheme="minorEastAsia" w:hAnsiTheme="minorEastAsia" w:eastAsiaTheme="minorEastAsia"/>
                <w:color w:val="0000FF"/>
              </w:rPr>
            </w:pPr>
            <w:r>
              <w:rPr>
                <w:rFonts w:hint="default" w:asciiTheme="minorEastAsia" w:hAnsiTheme="minorEastAsia" w:eastAsiaTheme="minorEastAsia"/>
                <w:b/>
                <w:bCs/>
                <w:color w:val="0000FF"/>
              </w:rPr>
              <w:t xml:space="preserve">   </w:t>
            </w:r>
            <w:r>
              <w:rPr>
                <w:rFonts w:asciiTheme="minorEastAsia" w:hAnsiTheme="minorEastAsia" w:eastAsiaTheme="minorEastAsia"/>
                <w:b/>
                <w:bCs/>
                <w:color w:val="0000FF"/>
              </w:rPr>
              <w:t>XX</w:t>
            </w:r>
          </w:p>
        </w:tc>
        <w:tc>
          <w:tcPr>
            <w:tcW w:w="1309" w:type="dxa"/>
            <w:noWrap/>
            <w:tcMar>
              <w:top w:w="0" w:type="dxa"/>
              <w:left w:w="108" w:type="dxa"/>
              <w:bottom w:w="0" w:type="dxa"/>
              <w:right w:w="108" w:type="dxa"/>
            </w:tcMar>
            <w:vAlign w:val="center"/>
          </w:tcPr>
          <w:p>
            <w:pPr>
              <w:spacing w:line="400" w:lineRule="exact"/>
              <w:ind w:right="54"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427" w:type="dxa"/>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c>
          <w:tcPr>
            <w:tcW w:w="1310" w:type="dxa"/>
            <w:noWrap/>
            <w:tcMar>
              <w:top w:w="0" w:type="dxa"/>
              <w:left w:w="108" w:type="dxa"/>
              <w:bottom w:w="0" w:type="dxa"/>
              <w:right w:w="108" w:type="dxa"/>
            </w:tcMar>
            <w:vAlign w:val="bottom"/>
          </w:tcPr>
          <w:p>
            <w:pPr>
              <w:spacing w:line="400" w:lineRule="exact"/>
              <w:ind w:right="97" w:firstLine="0" w:firstLineChars="0"/>
              <w:jc w:val="center"/>
              <w:rPr>
                <w:rFonts w:hint="default" w:asciiTheme="minorEastAsia" w:hAnsiTheme="minorEastAsia" w:eastAsiaTheme="minorEastAsia"/>
                <w:color w:val="0000FF"/>
              </w:rPr>
            </w:pPr>
            <w:r>
              <w:rPr>
                <w:rFonts w:asciiTheme="minorEastAsia" w:hAnsiTheme="minorEastAsia" w:eastAsiaTheme="minorEastAsia"/>
                <w:b/>
                <w:bCs/>
                <w:color w:val="0000FF"/>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8" w:hRule="atLeast"/>
          <w:jc w:val="center"/>
        </w:trPr>
        <w:tc>
          <w:tcPr>
            <w:tcW w:w="9196" w:type="dxa"/>
            <w:gridSpan w:val="9"/>
            <w:noWrap/>
            <w:tcMar>
              <w:top w:w="0" w:type="dxa"/>
              <w:left w:w="108" w:type="dxa"/>
              <w:bottom w:w="0" w:type="dxa"/>
              <w:right w:w="108" w:type="dxa"/>
            </w:tcMar>
            <w:vAlign w:val="center"/>
          </w:tcPr>
          <w:p>
            <w:pPr>
              <w:spacing w:after="240" w:line="400" w:lineRule="exact"/>
              <w:ind w:firstLine="480"/>
              <w:rPr>
                <w:rFonts w:hint="default" w:asciiTheme="minorEastAsia" w:hAnsiTheme="minorEastAsia" w:eastAsiaTheme="minorEastAsia"/>
              </w:rPr>
            </w:pPr>
            <w:r>
              <w:rPr>
                <w:rFonts w:asciiTheme="minorEastAsia" w:hAnsiTheme="minorEastAsia" w:eastAsiaTheme="minorEastAsia"/>
              </w:rPr>
              <w:t>纳税人声明：申报的内容真实、可靠、完整。如有虚假，本纳税人愿意承担相关法律责任。</w:t>
            </w:r>
          </w:p>
          <w:p>
            <w:pPr>
              <w:spacing w:line="400" w:lineRule="exact"/>
              <w:ind w:firstLine="0" w:firstLineChars="0"/>
              <w:rPr>
                <w:rFonts w:hint="default" w:asciiTheme="minorEastAsia" w:hAnsiTheme="minorEastAsia" w:eastAsiaTheme="minorEastAsia"/>
                <w:b/>
                <w:bCs/>
                <w:color w:val="0000FF"/>
              </w:rPr>
            </w:pPr>
            <w:r>
              <w:rPr>
                <w:rFonts w:asciiTheme="minorEastAsia" w:hAnsiTheme="minorEastAsia" w:eastAsiaTheme="minorEastAsia"/>
              </w:rPr>
              <w:t>经办人签字：</w:t>
            </w:r>
            <w:r>
              <w:rPr>
                <w:rFonts w:asciiTheme="minorEastAsia" w:hAnsiTheme="minorEastAsia" w:eastAsiaTheme="minorEastAsia"/>
                <w:b/>
                <w:bCs/>
                <w:color w:val="0000FF"/>
              </w:rPr>
              <w:t xml:space="preserve">某某     </w:t>
            </w:r>
            <w:r>
              <w:rPr>
                <w:rFonts w:asciiTheme="minorEastAsia" w:hAnsiTheme="minorEastAsia" w:eastAsiaTheme="minorEastAsia"/>
              </w:rPr>
              <w:t>财务负责人签字：</w:t>
            </w:r>
            <w:r>
              <w:rPr>
                <w:rFonts w:asciiTheme="minorEastAsia" w:hAnsiTheme="minorEastAsia" w:eastAsiaTheme="minorEastAsia"/>
                <w:b/>
                <w:bCs/>
                <w:color w:val="0000FF"/>
              </w:rPr>
              <w:t>某某</w:t>
            </w:r>
          </w:p>
          <w:p>
            <w:pPr>
              <w:spacing w:line="400" w:lineRule="exact"/>
              <w:ind w:firstLine="482"/>
              <w:jc w:val="left"/>
              <w:rPr>
                <w:rFonts w:hint="default" w:asciiTheme="minorEastAsia" w:hAnsiTheme="minorEastAsia" w:eastAsiaTheme="minorEastAsia"/>
              </w:rPr>
            </w:pPr>
            <w:r>
              <w:rPr>
                <w:rFonts w:asciiTheme="minorEastAsia" w:hAnsiTheme="minorEastAsia" w:eastAsiaTheme="minorEastAsia"/>
                <w:b/>
                <w:bCs/>
                <w:color w:val="0000FF"/>
              </w:rPr>
              <w:t>XXXX</w:t>
            </w:r>
            <w:r>
              <w:rPr>
                <w:rFonts w:asciiTheme="minorEastAsia" w:hAnsiTheme="minorEastAsia" w:eastAsiaTheme="minorEastAsia"/>
              </w:rPr>
              <w:t>年</w:t>
            </w:r>
            <w:r>
              <w:rPr>
                <w:rFonts w:asciiTheme="minorEastAsia" w:hAnsiTheme="minorEastAsia" w:eastAsiaTheme="minorEastAsia"/>
                <w:b/>
                <w:bCs/>
                <w:color w:val="0000FF"/>
              </w:rPr>
              <w:t>XX</w:t>
            </w:r>
            <w:r>
              <w:rPr>
                <w:rFonts w:asciiTheme="minorEastAsia" w:hAnsiTheme="minorEastAsia" w:eastAsiaTheme="minorEastAsia"/>
              </w:rPr>
              <w:t>月</w:t>
            </w:r>
            <w:r>
              <w:rPr>
                <w:rFonts w:asciiTheme="minorEastAsia" w:hAnsiTheme="minorEastAsia" w:eastAsiaTheme="minorEastAsia"/>
                <w:b/>
                <w:bCs/>
                <w:color w:val="0000FF"/>
              </w:rPr>
              <w:t>XX</w:t>
            </w:r>
            <w:r>
              <w:rPr>
                <w:rFonts w:asciiTheme="minorEastAsia" w:hAnsiTheme="minorEastAsia" w:eastAsiaTheme="minor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9196" w:type="dxa"/>
            <w:gridSpan w:val="9"/>
            <w:shd w:val="clear" w:color="auto" w:fill="FFFFFF"/>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以下由税务机关填写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9196" w:type="dxa"/>
            <w:gridSpan w:val="9"/>
            <w:shd w:val="clear" w:color="auto" w:fill="FFFFFF"/>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国产油退税审批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品目</w:t>
            </w:r>
          </w:p>
        </w:tc>
        <w:tc>
          <w:tcPr>
            <w:tcW w:w="3073" w:type="dxa"/>
            <w:gridSpan w:val="5"/>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本期应退税数量</w:t>
            </w:r>
          </w:p>
        </w:tc>
        <w:tc>
          <w:tcPr>
            <w:tcW w:w="2737"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本期应退税额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石脑油</w:t>
            </w:r>
          </w:p>
        </w:tc>
        <w:tc>
          <w:tcPr>
            <w:tcW w:w="3073" w:type="dxa"/>
            <w:gridSpan w:val="5"/>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p>
        </w:tc>
        <w:tc>
          <w:tcPr>
            <w:tcW w:w="2737"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燃料油</w:t>
            </w:r>
          </w:p>
        </w:tc>
        <w:tc>
          <w:tcPr>
            <w:tcW w:w="3073" w:type="dxa"/>
            <w:gridSpan w:val="5"/>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p>
        </w:tc>
        <w:tc>
          <w:tcPr>
            <w:tcW w:w="2737"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合计</w:t>
            </w:r>
          </w:p>
        </w:tc>
        <w:tc>
          <w:tcPr>
            <w:tcW w:w="3073" w:type="dxa"/>
            <w:gridSpan w:val="5"/>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p>
        </w:tc>
        <w:tc>
          <w:tcPr>
            <w:tcW w:w="2737"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2" w:hRule="atLeast"/>
          <w:jc w:val="center"/>
        </w:trPr>
        <w:tc>
          <w:tcPr>
            <w:tcW w:w="4561" w:type="dxa"/>
            <w:gridSpan w:val="5"/>
            <w:noWrap/>
            <w:tcMar>
              <w:top w:w="0" w:type="dxa"/>
              <w:left w:w="108" w:type="dxa"/>
              <w:bottom w:w="0" w:type="dxa"/>
              <w:right w:w="108" w:type="dxa"/>
            </w:tcMar>
            <w:vAlign w:val="center"/>
          </w:tcPr>
          <w:p>
            <w:pPr>
              <w:spacing w:after="240" w:line="400" w:lineRule="exact"/>
              <w:ind w:firstLine="0" w:firstLineChars="0"/>
              <w:rPr>
                <w:rFonts w:hint="default" w:asciiTheme="minorEastAsia" w:hAnsiTheme="minorEastAsia" w:eastAsiaTheme="minorEastAsia"/>
              </w:rPr>
            </w:pPr>
            <w:r>
              <w:rPr>
                <w:rFonts w:asciiTheme="minorEastAsia" w:hAnsiTheme="minorEastAsia" w:eastAsiaTheme="minorEastAsia"/>
              </w:rPr>
              <w:t>货物劳务税管理部门意见：</w:t>
            </w:r>
          </w:p>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负责人：</w:t>
            </w:r>
          </w:p>
          <w:p>
            <w:pPr>
              <w:spacing w:line="400" w:lineRule="exact"/>
              <w:ind w:left="480" w:leftChars="200" w:firstLine="0" w:firstLineChars="0"/>
              <w:rPr>
                <w:rFonts w:hint="default" w:asciiTheme="minorEastAsia" w:hAnsiTheme="minorEastAsia" w:eastAsiaTheme="minorEastAsia"/>
              </w:rPr>
            </w:pPr>
            <w:r>
              <w:rPr>
                <w:rFonts w:asciiTheme="minorEastAsia" w:hAnsiTheme="minorEastAsia" w:eastAsiaTheme="minorEastAsia"/>
              </w:rPr>
              <w:t>（公章）</w:t>
            </w:r>
            <w:r>
              <w:rPr>
                <w:rFonts w:asciiTheme="minorEastAsia" w:hAnsiTheme="minorEastAsia" w:eastAsiaTheme="minorEastAsia"/>
              </w:rPr>
              <w:br w:type="textWrapping"/>
            </w:r>
            <w:r>
              <w:rPr>
                <w:rFonts w:asciiTheme="minorEastAsia" w:hAnsiTheme="minorEastAsia" w:eastAsiaTheme="minorEastAsia"/>
              </w:rPr>
              <w:t>年  月  日</w:t>
            </w:r>
          </w:p>
        </w:tc>
        <w:tc>
          <w:tcPr>
            <w:tcW w:w="4635" w:type="dxa"/>
            <w:gridSpan w:val="4"/>
            <w:noWrap/>
            <w:tcMar>
              <w:top w:w="0" w:type="dxa"/>
              <w:left w:w="108" w:type="dxa"/>
              <w:bottom w:w="0" w:type="dxa"/>
              <w:right w:w="108" w:type="dxa"/>
            </w:tcMar>
            <w:vAlign w:val="center"/>
          </w:tcPr>
          <w:p>
            <w:pPr>
              <w:spacing w:after="240" w:line="400" w:lineRule="exact"/>
              <w:ind w:firstLine="0" w:firstLineChars="0"/>
              <w:rPr>
                <w:rFonts w:hint="default" w:asciiTheme="minorEastAsia" w:hAnsiTheme="minorEastAsia" w:eastAsiaTheme="minorEastAsia"/>
              </w:rPr>
            </w:pPr>
            <w:r>
              <w:rPr>
                <w:rFonts w:asciiTheme="minorEastAsia" w:hAnsiTheme="minorEastAsia" w:eastAsiaTheme="minorEastAsia"/>
              </w:rPr>
              <w:t>主管税务机关意见：</w:t>
            </w:r>
          </w:p>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负责人：</w:t>
            </w:r>
          </w:p>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（公章）</w:t>
            </w:r>
          </w:p>
          <w:p>
            <w:pPr>
              <w:spacing w:line="400" w:lineRule="exact"/>
              <w:ind w:left="945" w:firstLine="0" w:firstLineChars="0"/>
              <w:rPr>
                <w:rFonts w:hint="default" w:asciiTheme="minorEastAsia" w:hAnsiTheme="minorEastAsia" w:eastAsiaTheme="minorEastAsia"/>
              </w:rPr>
            </w:pPr>
            <w:r>
              <w:rPr>
                <w:rFonts w:asciiTheme="minorEastAsia" w:hAnsiTheme="minorEastAsia" w:eastAsiaTheme="minorEastAsi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9196" w:type="dxa"/>
            <w:gridSpan w:val="9"/>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进口油退税初审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品目</w:t>
            </w:r>
          </w:p>
        </w:tc>
        <w:tc>
          <w:tcPr>
            <w:tcW w:w="3073" w:type="dxa"/>
            <w:gridSpan w:val="5"/>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本期应退税数量</w:t>
            </w:r>
          </w:p>
        </w:tc>
        <w:tc>
          <w:tcPr>
            <w:tcW w:w="2737"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本期应退税额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石脑油</w:t>
            </w:r>
          </w:p>
        </w:tc>
        <w:tc>
          <w:tcPr>
            <w:tcW w:w="3073" w:type="dxa"/>
            <w:gridSpan w:val="5"/>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p>
        </w:tc>
        <w:tc>
          <w:tcPr>
            <w:tcW w:w="2737" w:type="dxa"/>
            <w:gridSpan w:val="2"/>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燃料油</w:t>
            </w:r>
          </w:p>
        </w:tc>
        <w:tc>
          <w:tcPr>
            <w:tcW w:w="3073" w:type="dxa"/>
            <w:gridSpan w:val="5"/>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p>
        </w:tc>
        <w:tc>
          <w:tcPr>
            <w:tcW w:w="2737" w:type="dxa"/>
            <w:gridSpan w:val="2"/>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3386" w:type="dxa"/>
            <w:gridSpan w:val="2"/>
            <w:noWrap/>
            <w:tcMar>
              <w:top w:w="0" w:type="dxa"/>
              <w:left w:w="108" w:type="dxa"/>
              <w:bottom w:w="0" w:type="dxa"/>
              <w:right w:w="108" w:type="dxa"/>
            </w:tcMar>
            <w:vAlign w:val="bottom"/>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合计</w:t>
            </w:r>
          </w:p>
        </w:tc>
        <w:tc>
          <w:tcPr>
            <w:tcW w:w="3073" w:type="dxa"/>
            <w:gridSpan w:val="5"/>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p>
        </w:tc>
        <w:tc>
          <w:tcPr>
            <w:tcW w:w="2737" w:type="dxa"/>
            <w:gridSpan w:val="2"/>
            <w:noWrap/>
            <w:tcMar>
              <w:top w:w="0" w:type="dxa"/>
              <w:left w:w="108" w:type="dxa"/>
              <w:bottom w:w="0" w:type="dxa"/>
              <w:right w:w="108" w:type="dxa"/>
            </w:tcMar>
            <w:vAlign w:val="bottom"/>
          </w:tcPr>
          <w:p>
            <w:pPr>
              <w:spacing w:line="400" w:lineRule="exact"/>
              <w:ind w:firstLine="0" w:firstLineChars="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4540" w:type="dxa"/>
            <w:gridSpan w:val="4"/>
            <w:noWrap/>
            <w:tcMar>
              <w:top w:w="0" w:type="dxa"/>
              <w:left w:w="108" w:type="dxa"/>
              <w:bottom w:w="0" w:type="dxa"/>
              <w:right w:w="108" w:type="dxa"/>
            </w:tcMar>
            <w:vAlign w:val="bottom"/>
          </w:tcPr>
          <w:p>
            <w:pPr>
              <w:spacing w:after="240" w:line="400" w:lineRule="exact"/>
              <w:ind w:firstLine="0" w:firstLineChars="0"/>
              <w:rPr>
                <w:rFonts w:hint="default" w:asciiTheme="minorEastAsia" w:hAnsiTheme="minorEastAsia" w:eastAsiaTheme="minorEastAsia"/>
              </w:rPr>
            </w:pPr>
            <w:r>
              <w:rPr>
                <w:rFonts w:asciiTheme="minorEastAsia" w:hAnsiTheme="minorEastAsia" w:eastAsiaTheme="minorEastAsia"/>
              </w:rPr>
              <w:t>货物劳务税管理部门意见：</w:t>
            </w:r>
          </w:p>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负责人：</w:t>
            </w:r>
          </w:p>
          <w:p>
            <w:pPr>
              <w:spacing w:line="400" w:lineRule="exact"/>
              <w:ind w:left="720" w:leftChars="300" w:firstLine="0" w:firstLineChars="0"/>
              <w:rPr>
                <w:rFonts w:hint="default" w:asciiTheme="minorEastAsia" w:hAnsiTheme="minorEastAsia" w:eastAsiaTheme="minorEastAsia"/>
              </w:rPr>
            </w:pPr>
            <w:r>
              <w:rPr>
                <w:rFonts w:asciiTheme="minorEastAsia" w:hAnsiTheme="minorEastAsia" w:eastAsiaTheme="minorEastAsia"/>
              </w:rPr>
              <w:t>（公章）</w:t>
            </w:r>
            <w:r>
              <w:rPr>
                <w:rFonts w:asciiTheme="minorEastAsia" w:hAnsiTheme="minorEastAsia" w:eastAsiaTheme="minorEastAsia"/>
              </w:rPr>
              <w:br w:type="textWrapping"/>
            </w:r>
            <w:r>
              <w:rPr>
                <w:rFonts w:asciiTheme="minorEastAsia" w:hAnsiTheme="minorEastAsia" w:eastAsiaTheme="minorEastAsia"/>
              </w:rPr>
              <w:t>年  月  日</w:t>
            </w:r>
          </w:p>
        </w:tc>
        <w:tc>
          <w:tcPr>
            <w:tcW w:w="4656" w:type="dxa"/>
            <w:gridSpan w:val="5"/>
            <w:noWrap/>
            <w:tcMar>
              <w:top w:w="0" w:type="dxa"/>
              <w:left w:w="108" w:type="dxa"/>
              <w:bottom w:w="0" w:type="dxa"/>
              <w:right w:w="108" w:type="dxa"/>
            </w:tcMar>
            <w:vAlign w:val="bottom"/>
          </w:tcPr>
          <w:p>
            <w:pPr>
              <w:spacing w:after="240" w:line="400" w:lineRule="exact"/>
              <w:ind w:firstLine="0" w:firstLineChars="0"/>
              <w:rPr>
                <w:rFonts w:hint="default" w:asciiTheme="minorEastAsia" w:hAnsiTheme="minorEastAsia" w:eastAsiaTheme="minorEastAsia"/>
              </w:rPr>
            </w:pPr>
            <w:r>
              <w:rPr>
                <w:rFonts w:asciiTheme="minorEastAsia" w:hAnsiTheme="minorEastAsia" w:eastAsiaTheme="minorEastAsia"/>
              </w:rPr>
              <w:t>主管税务机关意见：</w:t>
            </w:r>
          </w:p>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负责人：</w:t>
            </w:r>
          </w:p>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（公章）</w:t>
            </w:r>
          </w:p>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年  月  日</w:t>
            </w:r>
          </w:p>
        </w:tc>
      </w:tr>
    </w:tbl>
    <w:p>
      <w:pPr>
        <w:spacing w:line="400" w:lineRule="exact"/>
        <w:ind w:firstLine="480"/>
        <w:rPr>
          <w:rFonts w:hint="default" w:ascii="黑体" w:hAnsi="仿宋" w:eastAsia="黑体"/>
        </w:rPr>
      </w:pPr>
      <w:r>
        <w:rPr>
          <w:rFonts w:ascii="黑体" w:hAnsi="仿宋" w:eastAsia="黑体"/>
        </w:rPr>
        <w:t>【填表说明】</w:t>
      </w:r>
    </w:p>
    <w:p>
      <w:pPr>
        <w:spacing w:line="400" w:lineRule="exact"/>
        <w:ind w:firstLine="480"/>
        <w:rPr>
          <w:rFonts w:hint="default"/>
          <w:sz w:val="21"/>
          <w:szCs w:val="21"/>
        </w:rPr>
      </w:pPr>
      <w:r>
        <w:t>1.本表为A4纸。</w:t>
      </w:r>
    </w:p>
    <w:p>
      <w:pPr>
        <w:spacing w:line="400" w:lineRule="exact"/>
        <w:ind w:firstLine="480"/>
        <w:rPr>
          <w:rFonts w:hint="default"/>
          <w:sz w:val="21"/>
          <w:szCs w:val="21"/>
        </w:rPr>
      </w:pPr>
      <w:r>
        <w:t>2.此表企业留存一份；主管税务机关审核退税留存一份；主管税务机关对进口油品提出初审意见后转交海关退税一份。</w:t>
      </w:r>
    </w:p>
    <w:p>
      <w:pPr>
        <w:spacing w:line="400" w:lineRule="exact"/>
        <w:ind w:firstLine="480"/>
        <w:rPr>
          <w:rFonts w:hint="default"/>
        </w:rPr>
      </w:pPr>
      <w:r>
        <w:t>3.本表第1行“累计应退税数量”项的“石脑油国产”数据应等于《石脑油、燃料油生产、外购、耗用、库存月度统计表》第33行“申请退税的含税油品数量”项的“石脑油”累计数的国产数量；“累计应退税数量”项的“石脑油进口”数据应等于《石脑油、燃料油生产、外购、耗用、库存月度统计表》第33行“申请退税的含税油品数量”项的“石脑油”累计数的进口数量；本表第1行“累计应退税数量”项的“燃料油国产”数据应等于《石脑油、燃料油生产、外购、耗用、库存月度统计表》第33行“申请退税的含税油品数量”项的“燃料油”累计数的国产数量；“累计应退税数量”项的“燃料油进口”数据应等于《石脑油、燃料油生产、外购、耗用、库存月度统计表》第33行“申请退税的含税油品数量”项的“燃料油”累计数的进口数量。</w:t>
      </w:r>
    </w:p>
    <w:p>
      <w:pPr>
        <w:ind w:firstLine="420"/>
        <w:rPr>
          <w:rFonts w:hint="default"/>
          <w:sz w:val="21"/>
        </w:rPr>
      </w:pPr>
    </w:p>
    <w:p>
      <w:pPr>
        <w:ind w:firstLine="420"/>
        <w:rPr>
          <w:rFonts w:hint="default"/>
          <w:sz w:val="21"/>
        </w:rPr>
      </w:pPr>
    </w:p>
    <w:tbl>
      <w:tblPr>
        <w:tblStyle w:val="18"/>
        <w:tblW w:w="8797" w:type="dxa"/>
        <w:jc w:val="center"/>
        <w:tblLayout w:type="fixed"/>
        <w:tblCellMar>
          <w:top w:w="0" w:type="dxa"/>
          <w:left w:w="0" w:type="dxa"/>
          <w:bottom w:w="0" w:type="dxa"/>
          <w:right w:w="0" w:type="dxa"/>
        </w:tblCellMar>
      </w:tblPr>
      <w:tblGrid>
        <w:gridCol w:w="755"/>
        <w:gridCol w:w="758"/>
        <w:gridCol w:w="105"/>
        <w:gridCol w:w="721"/>
        <w:gridCol w:w="803"/>
        <w:gridCol w:w="683"/>
        <w:gridCol w:w="409"/>
        <w:gridCol w:w="493"/>
        <w:gridCol w:w="420"/>
        <w:gridCol w:w="153"/>
        <w:gridCol w:w="544"/>
        <w:gridCol w:w="139"/>
        <w:gridCol w:w="560"/>
        <w:gridCol w:w="654"/>
        <w:gridCol w:w="237"/>
        <w:gridCol w:w="1363"/>
      </w:tblGrid>
      <w:tr>
        <w:tblPrEx>
          <w:tblCellMar>
            <w:top w:w="0" w:type="dxa"/>
            <w:left w:w="0" w:type="dxa"/>
            <w:bottom w:w="0" w:type="dxa"/>
            <w:right w:w="0" w:type="dxa"/>
          </w:tblCellMar>
        </w:tblPrEx>
        <w:trPr>
          <w:trHeight w:val="329" w:hRule="atLeast"/>
          <w:jc w:val="center"/>
        </w:trPr>
        <w:tc>
          <w:tcPr>
            <w:tcW w:w="8797" w:type="dxa"/>
            <w:gridSpan w:val="16"/>
            <w:tcBorders>
              <w:top w:val="nil"/>
              <w:left w:val="nil"/>
              <w:bottom w:val="nil"/>
              <w:right w:val="nil"/>
            </w:tcBorders>
            <w:noWrap/>
            <w:tcMar>
              <w:top w:w="0" w:type="dxa"/>
              <w:left w:w="108" w:type="dxa"/>
              <w:bottom w:w="0" w:type="dxa"/>
              <w:right w:w="108" w:type="dxa"/>
            </w:tcMar>
            <w:vAlign w:val="center"/>
          </w:tcPr>
          <w:p>
            <w:pPr>
              <w:tabs>
                <w:tab w:val="left" w:pos="177"/>
              </w:tabs>
              <w:spacing w:line="400" w:lineRule="exact"/>
              <w:ind w:firstLine="0" w:firstLineChars="0"/>
              <w:jc w:val="center"/>
              <w:rPr>
                <w:rFonts w:hint="default"/>
                <w:b/>
                <w:bCs/>
                <w:sz w:val="36"/>
                <w:szCs w:val="36"/>
              </w:rPr>
            </w:pPr>
            <w:r>
              <w:rPr>
                <w:b/>
                <w:bCs/>
                <w:sz w:val="36"/>
                <w:szCs w:val="36"/>
              </w:rPr>
              <w:t>石脑油、燃料油消费税退税资格备案表</w:t>
            </w:r>
          </w:p>
          <w:p>
            <w:pPr>
              <w:spacing w:line="400" w:lineRule="exact"/>
              <w:ind w:firstLine="400"/>
              <w:jc w:val="center"/>
              <w:rPr>
                <w:rFonts w:hint="default"/>
                <w:sz w:val="2"/>
                <w:szCs w:val="2"/>
              </w:rPr>
            </w:pPr>
            <w:r>
              <w:rPr>
                <w:rFonts w:ascii="宋体" w:hAnsi="宋体" w:cs="宋体"/>
                <w:color w:val="000000"/>
                <w:kern w:val="0"/>
                <w:sz w:val="20"/>
                <w:szCs w:val="20"/>
              </w:rPr>
              <w:drawing>
                <wp:anchor distT="0" distB="0" distL="114300" distR="114300" simplePos="0" relativeHeight="251673600" behindDoc="0" locked="0" layoutInCell="1" allowOverlap="1">
                  <wp:simplePos x="0" y="0"/>
                  <wp:positionH relativeFrom="column">
                    <wp:posOffset>1012825</wp:posOffset>
                  </wp:positionH>
                  <wp:positionV relativeFrom="paragraph">
                    <wp:posOffset>3175</wp:posOffset>
                  </wp:positionV>
                  <wp:extent cx="1143000" cy="1066800"/>
                  <wp:effectExtent l="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329" w:hRule="atLeast"/>
          <w:jc w:val="center"/>
        </w:trPr>
        <w:tc>
          <w:tcPr>
            <w:tcW w:w="8797" w:type="dxa"/>
            <w:gridSpan w:val="16"/>
            <w:tcBorders>
              <w:top w:val="nil"/>
              <w:left w:val="nil"/>
              <w:bottom w:val="single" w:color="auto" w:sz="4" w:space="0"/>
              <w:right w:val="nil"/>
            </w:tcBorders>
            <w:noWrap/>
            <w:tcMar>
              <w:top w:w="0" w:type="dxa"/>
              <w:left w:w="108" w:type="dxa"/>
              <w:bottom w:w="0" w:type="dxa"/>
              <w:right w:w="108" w:type="dxa"/>
            </w:tcMar>
            <w:vAlign w:val="center"/>
          </w:tcPr>
          <w:p>
            <w:pPr>
              <w:spacing w:line="400" w:lineRule="exact"/>
              <w:ind w:firstLine="480"/>
              <w:rPr>
                <w:rFonts w:hint="default" w:asciiTheme="minorEastAsia" w:hAnsiTheme="minorEastAsia" w:eastAsiaTheme="minorEastAsia"/>
              </w:rPr>
            </w:pPr>
            <w:r>
              <w:rPr>
                <w:rFonts w:asciiTheme="minorEastAsia" w:hAnsiTheme="minorEastAsia" w:eastAsiaTheme="minorEastAsia"/>
              </w:rPr>
              <w:t>纳税人名称（公章）：</w:t>
            </w:r>
            <w:r>
              <w:rPr>
                <w:rFonts w:cs="Arial" w:asciiTheme="minorEastAsia" w:hAnsiTheme="minorEastAsia" w:eastAsiaTheme="minorEastAsia"/>
                <w:b/>
                <w:color w:val="0000FF"/>
              </w:rPr>
              <w:t>XX</w:t>
            </w:r>
            <w:r>
              <w:rPr>
                <w:rFonts w:hint="default" w:cs="Arial" w:asciiTheme="minorEastAsia" w:hAnsiTheme="minorEastAsia" w:eastAsiaTheme="minorEastAsia"/>
                <w:b/>
                <w:color w:val="0000FF"/>
              </w:rPr>
              <w:t>XXXXXXXX</w:t>
            </w:r>
          </w:p>
          <w:p>
            <w:pPr>
              <w:spacing w:line="400" w:lineRule="exact"/>
              <w:ind w:firstLine="480"/>
              <w:rPr>
                <w:rFonts w:hint="default" w:asciiTheme="minorEastAsia" w:hAnsiTheme="minorEastAsia" w:eastAsiaTheme="minorEastAsia"/>
              </w:rPr>
            </w:pPr>
            <w:r>
              <w:rPr>
                <w:rFonts w:asciiTheme="minorEastAsia" w:hAnsiTheme="minorEastAsia" w:eastAsiaTheme="minorEastAsia"/>
              </w:rPr>
              <w:t>纳税人识别号：</w:t>
            </w:r>
            <w:r>
              <w:rPr>
                <w:rFonts w:cs="Arial" w:asciiTheme="minorEastAsia" w:hAnsiTheme="minorEastAsia" w:eastAsiaTheme="minorEastAsia"/>
                <w:b/>
                <w:color w:val="0000FF"/>
              </w:rPr>
              <w:t>税务登记证号（统一社会信用代码）</w:t>
            </w:r>
            <w:r>
              <w:rPr>
                <w:rFonts w:asciiTheme="minorEastAsia" w:hAnsiTheme="minorEastAsia" w:eastAsiaTheme="minorEastAsia"/>
              </w:rPr>
              <w:t>单位：吨</w:t>
            </w:r>
          </w:p>
        </w:tc>
      </w:tr>
      <w:tr>
        <w:tblPrEx>
          <w:tblCellMar>
            <w:top w:w="0" w:type="dxa"/>
            <w:left w:w="0" w:type="dxa"/>
            <w:bottom w:w="0" w:type="dxa"/>
            <w:right w:w="0" w:type="dxa"/>
          </w:tblCellMar>
        </w:tblPrEx>
        <w:trPr>
          <w:trHeight w:val="339" w:hRule="atLeast"/>
          <w:jc w:val="center"/>
        </w:trPr>
        <w:tc>
          <w:tcPr>
            <w:tcW w:w="1618"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成立日期</w:t>
            </w:r>
          </w:p>
        </w:tc>
        <w:tc>
          <w:tcPr>
            <w:tcW w:w="2207"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cs="Arial" w:asciiTheme="minorEastAsia" w:hAnsiTheme="minorEastAsia" w:eastAsiaTheme="minorEastAsia"/>
                <w:b/>
                <w:color w:val="0000FF"/>
              </w:rPr>
              <w:t>XX年XX月XX日</w:t>
            </w:r>
          </w:p>
        </w:tc>
        <w:tc>
          <w:tcPr>
            <w:tcW w:w="1322"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经济性质</w:t>
            </w:r>
          </w:p>
        </w:tc>
        <w:tc>
          <w:tcPr>
            <w:tcW w:w="3650" w:type="dxa"/>
            <w:gridSpan w:val="7"/>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cs="Arial" w:asciiTheme="minorEastAsia" w:hAnsiTheme="minorEastAsia" w:eastAsiaTheme="minorEastAsia"/>
                <w:b/>
                <w:color w:val="0000FF"/>
              </w:rPr>
              <w:t>根据营业执照据实填写</w:t>
            </w:r>
          </w:p>
        </w:tc>
      </w:tr>
      <w:tr>
        <w:tblPrEx>
          <w:tblCellMar>
            <w:top w:w="0" w:type="dxa"/>
            <w:left w:w="0" w:type="dxa"/>
            <w:bottom w:w="0" w:type="dxa"/>
            <w:right w:w="0" w:type="dxa"/>
          </w:tblCellMar>
        </w:tblPrEx>
        <w:trPr>
          <w:trHeight w:val="339" w:hRule="atLeast"/>
          <w:jc w:val="center"/>
        </w:trPr>
        <w:tc>
          <w:tcPr>
            <w:tcW w:w="1618"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产品类型</w:t>
            </w:r>
          </w:p>
        </w:tc>
        <w:tc>
          <w:tcPr>
            <w:tcW w:w="7179" w:type="dxa"/>
            <w:gridSpan w:val="1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rPr>
                <w:rFonts w:hint="default" w:asciiTheme="minorEastAsia" w:hAnsiTheme="minorEastAsia" w:eastAsiaTheme="minorEastAsia"/>
              </w:rPr>
            </w:pPr>
            <w:r>
              <w:rPr>
                <w:rFonts w:asciiTheme="minorEastAsia" w:hAnsiTheme="minorEastAsia" w:eastAsiaTheme="minorEastAsia"/>
              </w:rPr>
              <w:t>生产乙烯类产品□     生产芳烃类产品□</w:t>
            </w:r>
            <w:r>
              <w:rPr>
                <w:rFonts w:asciiTheme="minorEastAsia" w:hAnsiTheme="minorEastAsia" w:eastAsiaTheme="minorEastAsia"/>
                <w:color w:val="0000FF"/>
              </w:rPr>
              <w:t>（</w:t>
            </w:r>
            <w:r>
              <w:rPr>
                <w:rFonts w:cs="Arial" w:asciiTheme="minorEastAsia" w:hAnsiTheme="minorEastAsia" w:eastAsiaTheme="minorEastAsia"/>
                <w:b/>
                <w:color w:val="0000FF"/>
              </w:rPr>
              <w:t>必填项</w:t>
            </w:r>
            <w:r>
              <w:rPr>
                <w:rFonts w:asciiTheme="minorEastAsia" w:hAnsiTheme="minorEastAsia" w:eastAsiaTheme="minorEastAsia"/>
                <w:color w:val="0000FF"/>
              </w:rPr>
              <w:t>）</w:t>
            </w:r>
          </w:p>
        </w:tc>
      </w:tr>
      <w:tr>
        <w:tblPrEx>
          <w:tblCellMar>
            <w:top w:w="0" w:type="dxa"/>
            <w:left w:w="0" w:type="dxa"/>
            <w:bottom w:w="0" w:type="dxa"/>
            <w:right w:w="0" w:type="dxa"/>
          </w:tblCellMar>
        </w:tblPrEx>
        <w:trPr>
          <w:trHeight w:val="339" w:hRule="atLeast"/>
          <w:jc w:val="center"/>
        </w:trPr>
        <w:tc>
          <w:tcPr>
            <w:tcW w:w="1618"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原材料类型</w:t>
            </w:r>
          </w:p>
        </w:tc>
        <w:tc>
          <w:tcPr>
            <w:tcW w:w="7179" w:type="dxa"/>
            <w:gridSpan w:val="1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hint="default"/>
              </w:rPr>
              <w:pict>
                <v:shape id="对话气泡: 椭圆形 62" o:spid="_x0000_s1039" o:spt="63" type="#_x0000_t63" style="position:absolute;left:0pt;margin-left:212.7pt;margin-top:8.25pt;height:65.45pt;width:92.2pt;z-index:2516664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" adj="-1827,16732">
                  <v:path arrowok="t"/>
                  <v:fill focussize="0,0"/>
                  <v:stroke joinstyle="miter"/>
                  <v:imagedata o:title=""/>
                  <o:lock v:ext="edit"/>
                  <v:textbox>
                    <w:txbxContent>
                      <w:p>
                        <w:pPr>
                          <w:ind w:firstLine="0" w:firstLineChars="0"/>
                          <w:rPr>
                            <w:rFonts w:hint="default" w:ascii="黑体" w:hAnsi="黑体" w:eastAsia="黑体"/>
                            <w:b/>
                            <w:color w:val="0000FF"/>
                          </w:rPr>
                        </w:pPr>
                        <w:r>
                          <w:rPr>
                            <w:rFonts w:ascii="黑体" w:hAnsi="黑体" w:eastAsia="黑体"/>
                            <w:b/>
                            <w:color w:val="0000FF"/>
                          </w:rPr>
                          <w:t>根据实际</w:t>
                        </w:r>
                      </w:p>
                      <w:p>
                        <w:pPr>
                          <w:ind w:firstLine="0" w:firstLineChars="0"/>
                          <w:rPr>
                            <w:rFonts w:hint="default" w:ascii="黑体" w:hAnsi="黑体" w:eastAsia="黑体"/>
                            <w:b/>
                            <w:color w:val="0000FF"/>
                          </w:rPr>
                        </w:pPr>
                        <w:r>
                          <w:rPr>
                            <w:rFonts w:ascii="黑体" w:hAnsi="黑体" w:eastAsia="黑体"/>
                            <w:b/>
                            <w:color w:val="0000FF"/>
                          </w:rPr>
                          <w:t>情况勾选</w:t>
                        </w:r>
                      </w:p>
                    </w:txbxContent>
                  </v:textbox>
                </v:shape>
              </w:pict>
            </w:r>
            <w:r>
              <w:rPr>
                <w:rFonts w:asciiTheme="minorEastAsia" w:hAnsiTheme="minorEastAsia" w:eastAsiaTheme="minorEastAsia"/>
              </w:rPr>
              <w:t>以石脑油为原料□以燃料油为原料□以石脑油、燃料油为原料□</w:t>
            </w:r>
            <w:r>
              <w:rPr>
                <w:rFonts w:asciiTheme="minorEastAsia" w:hAnsiTheme="minorEastAsia" w:eastAsiaTheme="minorEastAsia"/>
                <w:color w:val="0000FF"/>
              </w:rPr>
              <w:t>（</w:t>
            </w:r>
            <w:r>
              <w:rPr>
                <w:rFonts w:cs="Arial" w:asciiTheme="minorEastAsia" w:hAnsiTheme="minorEastAsia" w:eastAsiaTheme="minorEastAsia"/>
                <w:b/>
                <w:color w:val="0000FF"/>
              </w:rPr>
              <w:t>必填项</w:t>
            </w:r>
            <w:r>
              <w:rPr>
                <w:rFonts w:asciiTheme="minorEastAsia" w:hAnsiTheme="minorEastAsia" w:eastAsiaTheme="minorEastAsia"/>
                <w:color w:val="0000FF"/>
              </w:rPr>
              <w:t>）</w:t>
            </w:r>
          </w:p>
        </w:tc>
      </w:tr>
      <w:tr>
        <w:tblPrEx>
          <w:tblCellMar>
            <w:top w:w="0" w:type="dxa"/>
            <w:left w:w="0" w:type="dxa"/>
            <w:bottom w:w="0" w:type="dxa"/>
            <w:right w:w="0" w:type="dxa"/>
          </w:tblCellMar>
        </w:tblPrEx>
        <w:trPr>
          <w:trHeight w:val="339" w:hRule="atLeast"/>
          <w:jc w:val="center"/>
        </w:trPr>
        <w:tc>
          <w:tcPr>
            <w:tcW w:w="8797" w:type="dxa"/>
            <w:gridSpan w:val="1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2"/>
              <w:jc w:val="center"/>
              <w:rPr>
                <w:rFonts w:hint="default" w:asciiTheme="minorEastAsia" w:hAnsiTheme="minorEastAsia" w:eastAsiaTheme="minorEastAsia"/>
              </w:rPr>
            </w:pPr>
            <w:r>
              <w:rPr>
                <w:rFonts w:asciiTheme="minorEastAsia" w:hAnsiTheme="minorEastAsia" w:eastAsiaTheme="minorEastAsia"/>
                <w:b/>
                <w:bCs/>
              </w:rPr>
              <w:t>企业基本情况</w:t>
            </w:r>
          </w:p>
        </w:tc>
      </w:tr>
      <w:tr>
        <w:tblPrEx>
          <w:tblCellMar>
            <w:top w:w="0" w:type="dxa"/>
            <w:left w:w="0" w:type="dxa"/>
            <w:bottom w:w="0" w:type="dxa"/>
            <w:right w:w="0" w:type="dxa"/>
          </w:tblCellMar>
        </w:tblPrEx>
        <w:trPr>
          <w:trHeight w:val="1202" w:hRule="atLeast"/>
          <w:jc w:val="center"/>
        </w:trPr>
        <w:tc>
          <w:tcPr>
            <w:tcW w:w="1513"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乙烯、芳烃类产品设计生产能力</w:t>
            </w:r>
          </w:p>
        </w:tc>
        <w:tc>
          <w:tcPr>
            <w:tcW w:w="2312"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right="451" w:firstLine="482"/>
              <w:jc w:val="right"/>
              <w:rPr>
                <w:rFonts w:hint="default" w:asciiTheme="minorEastAsia" w:hAnsiTheme="minorEastAsia" w:eastAsiaTheme="minorEastAsia"/>
              </w:rPr>
            </w:pPr>
            <w:r>
              <w:rPr>
                <w:rFonts w:cs="Arial" w:asciiTheme="minorEastAsia" w:hAnsiTheme="minorEastAsia" w:eastAsiaTheme="minorEastAsia"/>
                <w:b/>
                <w:color w:val="0000FF"/>
              </w:rPr>
              <w:t>XX</w:t>
            </w:r>
            <w:r>
              <w:rPr>
                <w:rFonts w:asciiTheme="minorEastAsia" w:hAnsiTheme="minorEastAsia" w:eastAsiaTheme="minorEastAsia"/>
              </w:rPr>
              <w:t>吨/年</w:t>
            </w:r>
          </w:p>
        </w:tc>
        <w:tc>
          <w:tcPr>
            <w:tcW w:w="215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rPr>
                <w:rFonts w:hint="default" w:asciiTheme="minorEastAsia" w:hAnsiTheme="minorEastAsia" w:eastAsiaTheme="minorEastAsia"/>
              </w:rPr>
            </w:pPr>
            <w:r>
              <w:rPr>
                <w:rFonts w:asciiTheme="minorEastAsia" w:hAnsiTheme="minorEastAsia" w:eastAsiaTheme="minorEastAsia"/>
              </w:rPr>
              <w:t>产成品</w:t>
            </w:r>
          </w:p>
        </w:tc>
        <w:tc>
          <w:tcPr>
            <w:tcW w:w="1451"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年度产量</w:t>
            </w:r>
          </w:p>
        </w:tc>
        <w:tc>
          <w:tcPr>
            <w:tcW w:w="136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占全部产品比例（%）</w:t>
            </w:r>
          </w:p>
        </w:tc>
      </w:tr>
      <w:tr>
        <w:tblPrEx>
          <w:tblCellMar>
            <w:top w:w="0" w:type="dxa"/>
            <w:left w:w="0" w:type="dxa"/>
            <w:bottom w:w="0" w:type="dxa"/>
            <w:right w:w="0" w:type="dxa"/>
          </w:tblCellMar>
        </w:tblPrEx>
        <w:trPr>
          <w:trHeight w:val="668" w:hRule="atLeast"/>
          <w:jc w:val="center"/>
        </w:trPr>
        <w:tc>
          <w:tcPr>
            <w:tcW w:w="1513" w:type="dxa"/>
            <w:gridSpan w:val="2"/>
            <w:vMerge w:val="restart"/>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石脑油产品原料来源</w:t>
            </w:r>
          </w:p>
        </w:tc>
        <w:tc>
          <w:tcPr>
            <w:tcW w:w="826" w:type="dxa"/>
            <w:gridSpan w:val="2"/>
            <w:vMerge w:val="restart"/>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外购</w:t>
            </w:r>
          </w:p>
        </w:tc>
        <w:tc>
          <w:tcPr>
            <w:tcW w:w="1486" w:type="dxa"/>
            <w:gridSpan w:val="2"/>
            <w:vMerge w:val="restart"/>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right="241" w:firstLine="0" w:firstLineChars="0"/>
              <w:jc w:val="center"/>
              <w:rPr>
                <w:rFonts w:hint="default" w:asciiTheme="minorEastAsia" w:hAnsiTheme="minorEastAsia" w:eastAsiaTheme="minorEastAsia"/>
              </w:rPr>
            </w:pPr>
            <w:r>
              <w:rPr>
                <w:rFonts w:cs="Arial" w:asciiTheme="minorEastAsia" w:hAnsiTheme="minorEastAsia" w:eastAsiaTheme="minorEastAsia"/>
                <w:b/>
                <w:color w:val="0000FF"/>
              </w:rPr>
              <w:t>XX</w:t>
            </w:r>
            <w:r>
              <w:rPr>
                <w:rFonts w:asciiTheme="minorEastAsia" w:hAnsiTheme="minorEastAsia" w:eastAsiaTheme="minorEastAsia"/>
              </w:rPr>
              <w:t>吨/年</w:t>
            </w:r>
          </w:p>
        </w:tc>
        <w:tc>
          <w:tcPr>
            <w:tcW w:w="902" w:type="dxa"/>
            <w:gridSpan w:val="2"/>
            <w:vMerge w:val="restart"/>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乙烯类</w:t>
            </w:r>
          </w:p>
        </w:tc>
        <w:tc>
          <w:tcPr>
            <w:tcW w:w="1256"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乙烯、丙烯、丁二烯产品</w:t>
            </w:r>
          </w:p>
        </w:tc>
        <w:tc>
          <w:tcPr>
            <w:tcW w:w="1451"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2"/>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136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r>
      <w:tr>
        <w:tblPrEx>
          <w:tblCellMar>
            <w:top w:w="0" w:type="dxa"/>
            <w:left w:w="0" w:type="dxa"/>
            <w:bottom w:w="0" w:type="dxa"/>
            <w:right w:w="0" w:type="dxa"/>
          </w:tblCellMar>
        </w:tblPrEx>
        <w:trPr>
          <w:trHeight w:val="478" w:hRule="atLeast"/>
          <w:jc w:val="center"/>
        </w:trPr>
        <w:tc>
          <w:tcPr>
            <w:tcW w:w="1513" w:type="dxa"/>
            <w:gridSpan w:val="2"/>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jc w:val="center"/>
              <w:rPr>
                <w:rFonts w:hint="default" w:asciiTheme="minorEastAsia" w:hAnsiTheme="minorEastAsia" w:eastAsiaTheme="minorEastAsia"/>
              </w:rPr>
            </w:pPr>
          </w:p>
        </w:tc>
        <w:tc>
          <w:tcPr>
            <w:tcW w:w="826" w:type="dxa"/>
            <w:gridSpan w:val="2"/>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1486" w:type="dxa"/>
            <w:gridSpan w:val="2"/>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jc w:val="center"/>
              <w:rPr>
                <w:rFonts w:hint="default" w:asciiTheme="minorEastAsia" w:hAnsiTheme="minorEastAsia" w:eastAsiaTheme="minorEastAsia"/>
              </w:rPr>
            </w:pPr>
          </w:p>
        </w:tc>
        <w:tc>
          <w:tcPr>
            <w:tcW w:w="902" w:type="dxa"/>
            <w:gridSpan w:val="2"/>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1256"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其他产品</w:t>
            </w:r>
          </w:p>
        </w:tc>
        <w:tc>
          <w:tcPr>
            <w:tcW w:w="1451"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jc w:val="center"/>
              <w:rPr>
                <w:rFonts w:hint="default" w:asciiTheme="minorEastAsia" w:hAnsiTheme="minorEastAsia" w:eastAsiaTheme="minorEastAsia"/>
              </w:rPr>
            </w:pPr>
          </w:p>
        </w:tc>
        <w:tc>
          <w:tcPr>
            <w:tcW w:w="136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jc w:val="center"/>
              <w:rPr>
                <w:rFonts w:hint="default" w:asciiTheme="minorEastAsia" w:hAnsiTheme="minorEastAsia" w:eastAsiaTheme="minorEastAsia"/>
              </w:rPr>
            </w:pPr>
          </w:p>
        </w:tc>
      </w:tr>
      <w:tr>
        <w:tblPrEx>
          <w:tblCellMar>
            <w:top w:w="0" w:type="dxa"/>
            <w:left w:w="0" w:type="dxa"/>
            <w:bottom w:w="0" w:type="dxa"/>
            <w:right w:w="0" w:type="dxa"/>
          </w:tblCellMar>
        </w:tblPrEx>
        <w:trPr>
          <w:trHeight w:val="668" w:hRule="atLeast"/>
          <w:jc w:val="center"/>
        </w:trPr>
        <w:tc>
          <w:tcPr>
            <w:tcW w:w="1513" w:type="dxa"/>
            <w:gridSpan w:val="2"/>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jc w:val="center"/>
              <w:rPr>
                <w:rFonts w:hint="default" w:asciiTheme="minorEastAsia" w:hAnsiTheme="minorEastAsia" w:eastAsiaTheme="minorEastAsia"/>
              </w:rPr>
            </w:pPr>
          </w:p>
        </w:tc>
        <w:tc>
          <w:tcPr>
            <w:tcW w:w="826"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自产</w:t>
            </w:r>
          </w:p>
        </w:tc>
        <w:tc>
          <w:tcPr>
            <w:tcW w:w="1486"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right="241" w:firstLine="0" w:firstLineChars="0"/>
              <w:jc w:val="center"/>
              <w:rPr>
                <w:rFonts w:hint="default" w:asciiTheme="minorEastAsia" w:hAnsiTheme="minorEastAsia" w:eastAsiaTheme="minorEastAsia"/>
              </w:rPr>
            </w:pPr>
            <w:r>
              <w:rPr>
                <w:rFonts w:cs="Arial" w:asciiTheme="minorEastAsia" w:hAnsiTheme="minorEastAsia" w:eastAsiaTheme="minorEastAsia"/>
                <w:b/>
                <w:color w:val="0000FF"/>
              </w:rPr>
              <w:t>XX</w:t>
            </w:r>
            <w:r>
              <w:rPr>
                <w:rFonts w:asciiTheme="minorEastAsia" w:hAnsiTheme="minorEastAsia" w:eastAsiaTheme="minorEastAsia"/>
              </w:rPr>
              <w:t>吨/年</w:t>
            </w:r>
          </w:p>
        </w:tc>
        <w:tc>
          <w:tcPr>
            <w:tcW w:w="902" w:type="dxa"/>
            <w:gridSpan w:val="2"/>
            <w:vMerge w:val="restart"/>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芳烃类</w:t>
            </w:r>
          </w:p>
        </w:tc>
        <w:tc>
          <w:tcPr>
            <w:tcW w:w="1256"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苯、甲苯、二甲苯</w:t>
            </w:r>
          </w:p>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产品</w:t>
            </w:r>
          </w:p>
        </w:tc>
        <w:tc>
          <w:tcPr>
            <w:tcW w:w="1451"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2"/>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136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r>
      <w:tr>
        <w:tblPrEx>
          <w:tblCellMar>
            <w:top w:w="0" w:type="dxa"/>
            <w:left w:w="0" w:type="dxa"/>
            <w:bottom w:w="0" w:type="dxa"/>
            <w:right w:w="0" w:type="dxa"/>
          </w:tblCellMar>
        </w:tblPrEx>
        <w:trPr>
          <w:trHeight w:val="434" w:hRule="atLeast"/>
          <w:jc w:val="center"/>
        </w:trPr>
        <w:tc>
          <w:tcPr>
            <w:tcW w:w="1513" w:type="dxa"/>
            <w:gridSpan w:val="2"/>
            <w:vMerge w:val="restart"/>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燃料油产品原料来源</w:t>
            </w:r>
          </w:p>
        </w:tc>
        <w:tc>
          <w:tcPr>
            <w:tcW w:w="826" w:type="dxa"/>
            <w:gridSpan w:val="2"/>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外购</w:t>
            </w:r>
          </w:p>
        </w:tc>
        <w:tc>
          <w:tcPr>
            <w:tcW w:w="1486" w:type="dxa"/>
            <w:gridSpan w:val="2"/>
            <w:tcBorders>
              <w:top w:val="single" w:color="auto" w:sz="4" w:space="0"/>
              <w:left w:val="single" w:color="auto" w:sz="4" w:space="0"/>
              <w:bottom w:val="single" w:color="auto" w:sz="4" w:space="0"/>
              <w:right w:val="single" w:color="auto" w:sz="4" w:space="0"/>
            </w:tcBorders>
            <w:noWrap/>
            <w:vAlign w:val="center"/>
          </w:tcPr>
          <w:p>
            <w:pPr>
              <w:spacing w:line="400" w:lineRule="exact"/>
              <w:ind w:right="241" w:firstLine="0" w:firstLineChars="0"/>
              <w:jc w:val="center"/>
              <w:rPr>
                <w:rFonts w:hint="default" w:asciiTheme="minorEastAsia" w:hAnsiTheme="minorEastAsia" w:eastAsiaTheme="minorEastAsia"/>
              </w:rPr>
            </w:pPr>
            <w:r>
              <w:rPr>
                <w:rFonts w:cs="Arial" w:asciiTheme="minorEastAsia" w:hAnsiTheme="minorEastAsia" w:eastAsiaTheme="minorEastAsia"/>
                <w:b/>
                <w:color w:val="0000FF"/>
              </w:rPr>
              <w:t>XX</w:t>
            </w:r>
            <w:r>
              <w:rPr>
                <w:rFonts w:asciiTheme="minorEastAsia" w:hAnsiTheme="minorEastAsia" w:eastAsiaTheme="minorEastAsia"/>
              </w:rPr>
              <w:t>吨/年</w:t>
            </w:r>
          </w:p>
        </w:tc>
        <w:tc>
          <w:tcPr>
            <w:tcW w:w="902" w:type="dxa"/>
            <w:gridSpan w:val="2"/>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1256"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其他产品</w:t>
            </w:r>
          </w:p>
        </w:tc>
        <w:tc>
          <w:tcPr>
            <w:tcW w:w="1451"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jc w:val="center"/>
              <w:rPr>
                <w:rFonts w:hint="default" w:asciiTheme="minorEastAsia" w:hAnsiTheme="minorEastAsia" w:eastAsiaTheme="minorEastAsia"/>
              </w:rPr>
            </w:pPr>
          </w:p>
        </w:tc>
        <w:tc>
          <w:tcPr>
            <w:tcW w:w="136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rPr>
                <w:rFonts w:hint="default" w:asciiTheme="minorEastAsia" w:hAnsiTheme="minorEastAsia" w:eastAsiaTheme="minorEastAsia"/>
              </w:rPr>
            </w:pPr>
          </w:p>
        </w:tc>
      </w:tr>
      <w:tr>
        <w:tblPrEx>
          <w:tblCellMar>
            <w:top w:w="0" w:type="dxa"/>
            <w:left w:w="0" w:type="dxa"/>
            <w:bottom w:w="0" w:type="dxa"/>
            <w:right w:w="0" w:type="dxa"/>
          </w:tblCellMar>
        </w:tblPrEx>
        <w:trPr>
          <w:trHeight w:val="339" w:hRule="atLeast"/>
          <w:jc w:val="center"/>
        </w:trPr>
        <w:tc>
          <w:tcPr>
            <w:tcW w:w="1513" w:type="dxa"/>
            <w:gridSpan w:val="2"/>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jc w:val="center"/>
              <w:rPr>
                <w:rFonts w:hint="default" w:asciiTheme="minorEastAsia" w:hAnsiTheme="minorEastAsia" w:eastAsiaTheme="minorEastAsia"/>
              </w:rPr>
            </w:pPr>
          </w:p>
        </w:tc>
        <w:tc>
          <w:tcPr>
            <w:tcW w:w="826"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自产</w:t>
            </w:r>
          </w:p>
        </w:tc>
        <w:tc>
          <w:tcPr>
            <w:tcW w:w="1486"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right="241" w:firstLine="0" w:firstLineChars="0"/>
              <w:jc w:val="center"/>
              <w:rPr>
                <w:rFonts w:hint="default" w:asciiTheme="minorEastAsia" w:hAnsiTheme="minorEastAsia" w:eastAsiaTheme="minorEastAsia"/>
              </w:rPr>
            </w:pPr>
            <w:r>
              <w:rPr>
                <w:rFonts w:cs="Arial" w:asciiTheme="minorEastAsia" w:hAnsiTheme="minorEastAsia" w:eastAsiaTheme="minorEastAsia"/>
                <w:b/>
                <w:color w:val="0000FF"/>
              </w:rPr>
              <w:t>XX</w:t>
            </w:r>
            <w:r>
              <w:rPr>
                <w:rFonts w:asciiTheme="minorEastAsia" w:hAnsiTheme="minorEastAsia" w:eastAsiaTheme="minorEastAsia"/>
              </w:rPr>
              <w:t>吨/年</w:t>
            </w:r>
          </w:p>
        </w:tc>
        <w:tc>
          <w:tcPr>
            <w:tcW w:w="2158"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jc w:val="center"/>
              <w:rPr>
                <w:rFonts w:hint="default" w:asciiTheme="minorEastAsia" w:hAnsiTheme="minorEastAsia" w:eastAsiaTheme="minorEastAsia"/>
              </w:rPr>
            </w:pPr>
            <w:r>
              <w:rPr>
                <w:rFonts w:asciiTheme="minorEastAsia" w:hAnsiTheme="minorEastAsia" w:eastAsiaTheme="minorEastAsia"/>
              </w:rPr>
              <w:t>其它</w:t>
            </w:r>
          </w:p>
        </w:tc>
        <w:tc>
          <w:tcPr>
            <w:tcW w:w="1451"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jc w:val="center"/>
              <w:rPr>
                <w:rFonts w:hint="default" w:asciiTheme="minorEastAsia" w:hAnsiTheme="minorEastAsia" w:eastAsiaTheme="minorEastAsia"/>
              </w:rPr>
            </w:pPr>
          </w:p>
        </w:tc>
        <w:tc>
          <w:tcPr>
            <w:tcW w:w="136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rPr>
                <w:rFonts w:hint="default" w:asciiTheme="minorEastAsia" w:hAnsiTheme="minorEastAsia" w:eastAsiaTheme="minorEastAsia"/>
              </w:rPr>
            </w:pPr>
          </w:p>
        </w:tc>
      </w:tr>
      <w:tr>
        <w:tblPrEx>
          <w:tblCellMar>
            <w:top w:w="0" w:type="dxa"/>
            <w:left w:w="0" w:type="dxa"/>
            <w:bottom w:w="0" w:type="dxa"/>
            <w:right w:w="0" w:type="dxa"/>
          </w:tblCellMar>
        </w:tblPrEx>
        <w:trPr>
          <w:trHeight w:val="342" w:hRule="atLeast"/>
          <w:jc w:val="center"/>
        </w:trPr>
        <w:tc>
          <w:tcPr>
            <w:tcW w:w="1513"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石脑油设计库容</w:t>
            </w:r>
          </w:p>
        </w:tc>
        <w:tc>
          <w:tcPr>
            <w:tcW w:w="2721"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cs="Arial" w:asciiTheme="minorEastAsia" w:hAnsiTheme="minorEastAsia" w:eastAsiaTheme="minorEastAsia"/>
                <w:b/>
                <w:color w:val="0000FF"/>
              </w:rPr>
              <w:t>XX</w:t>
            </w:r>
            <w:r>
              <w:rPr>
                <w:rFonts w:asciiTheme="minorEastAsia" w:hAnsiTheme="minorEastAsia" w:eastAsiaTheme="minorEastAsia"/>
              </w:rPr>
              <w:t>吨</w:t>
            </w:r>
          </w:p>
        </w:tc>
        <w:tc>
          <w:tcPr>
            <w:tcW w:w="1749"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燃料油设计</w:t>
            </w:r>
          </w:p>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库容</w:t>
            </w:r>
          </w:p>
        </w:tc>
        <w:tc>
          <w:tcPr>
            <w:tcW w:w="2814"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cs="Arial" w:asciiTheme="minorEastAsia" w:hAnsiTheme="minorEastAsia" w:eastAsiaTheme="minorEastAsia"/>
                <w:b/>
                <w:color w:val="0000FF"/>
              </w:rPr>
              <w:t>XX</w:t>
            </w:r>
            <w:r>
              <w:rPr>
                <w:rFonts w:asciiTheme="minorEastAsia" w:hAnsiTheme="minorEastAsia" w:eastAsiaTheme="minorEastAsia"/>
              </w:rPr>
              <w:t>吨</w:t>
            </w:r>
          </w:p>
        </w:tc>
      </w:tr>
      <w:tr>
        <w:tblPrEx>
          <w:tblCellMar>
            <w:top w:w="0" w:type="dxa"/>
            <w:left w:w="0" w:type="dxa"/>
            <w:bottom w:w="0" w:type="dxa"/>
            <w:right w:w="0" w:type="dxa"/>
          </w:tblCellMar>
        </w:tblPrEx>
        <w:trPr>
          <w:trHeight w:val="339" w:hRule="atLeast"/>
          <w:jc w:val="center"/>
        </w:trPr>
        <w:tc>
          <w:tcPr>
            <w:tcW w:w="755" w:type="dxa"/>
            <w:vMerge w:val="restart"/>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设备</w:t>
            </w:r>
          </w:p>
        </w:tc>
        <w:tc>
          <w:tcPr>
            <w:tcW w:w="2387"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名称</w:t>
            </w:r>
          </w:p>
        </w:tc>
        <w:tc>
          <w:tcPr>
            <w:tcW w:w="1092"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数量</w:t>
            </w:r>
          </w:p>
        </w:tc>
        <w:tc>
          <w:tcPr>
            <w:tcW w:w="2309"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原料投入口流量计个数</w:t>
            </w:r>
          </w:p>
        </w:tc>
        <w:tc>
          <w:tcPr>
            <w:tcW w:w="2254"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产品产出口流量计个数</w:t>
            </w:r>
          </w:p>
        </w:tc>
      </w:tr>
      <w:tr>
        <w:tblPrEx>
          <w:tblCellMar>
            <w:top w:w="0" w:type="dxa"/>
            <w:left w:w="0" w:type="dxa"/>
            <w:bottom w:w="0" w:type="dxa"/>
            <w:right w:w="0" w:type="dxa"/>
          </w:tblCellMar>
        </w:tblPrEx>
        <w:trPr>
          <w:trHeight w:val="339" w:hRule="atLeast"/>
          <w:jc w:val="center"/>
        </w:trPr>
        <w:tc>
          <w:tcPr>
            <w:tcW w:w="755"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2387"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（高温）裂解装置</w:t>
            </w:r>
          </w:p>
        </w:tc>
        <w:tc>
          <w:tcPr>
            <w:tcW w:w="215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1243"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2254"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r>
      <w:tr>
        <w:tblPrEx>
          <w:tblCellMar>
            <w:top w:w="0" w:type="dxa"/>
            <w:left w:w="0" w:type="dxa"/>
            <w:bottom w:w="0" w:type="dxa"/>
            <w:right w:w="0" w:type="dxa"/>
          </w:tblCellMar>
        </w:tblPrEx>
        <w:trPr>
          <w:trHeight w:val="40" w:hRule="atLeast"/>
          <w:jc w:val="center"/>
        </w:trPr>
        <w:tc>
          <w:tcPr>
            <w:tcW w:w="755"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2387"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连续重整装置</w:t>
            </w:r>
          </w:p>
        </w:tc>
        <w:tc>
          <w:tcPr>
            <w:tcW w:w="215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1243"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2254"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r>
      <w:tr>
        <w:tblPrEx>
          <w:tblCellMar>
            <w:top w:w="0" w:type="dxa"/>
            <w:left w:w="0" w:type="dxa"/>
            <w:bottom w:w="0" w:type="dxa"/>
            <w:right w:w="0" w:type="dxa"/>
          </w:tblCellMar>
        </w:tblPrEx>
        <w:trPr>
          <w:trHeight w:val="339" w:hRule="atLeast"/>
          <w:jc w:val="center"/>
        </w:trPr>
        <w:tc>
          <w:tcPr>
            <w:tcW w:w="755"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2387"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芳烃抽提装置</w:t>
            </w:r>
          </w:p>
        </w:tc>
        <w:tc>
          <w:tcPr>
            <w:tcW w:w="2158" w:type="dxa"/>
            <w:gridSpan w:val="5"/>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1243"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c>
          <w:tcPr>
            <w:tcW w:w="2254"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w:t>
            </w:r>
          </w:p>
        </w:tc>
      </w:tr>
      <w:tr>
        <w:tblPrEx>
          <w:tblCellMar>
            <w:top w:w="0" w:type="dxa"/>
            <w:left w:w="0" w:type="dxa"/>
            <w:bottom w:w="0" w:type="dxa"/>
            <w:right w:w="0" w:type="dxa"/>
          </w:tblCellMar>
        </w:tblPrEx>
        <w:trPr>
          <w:trHeight w:val="339" w:hRule="atLeast"/>
          <w:jc w:val="center"/>
        </w:trPr>
        <w:tc>
          <w:tcPr>
            <w:tcW w:w="755" w:type="dxa"/>
            <w:vMerge w:val="restart"/>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rPr>
                <w:rFonts w:hint="default" w:asciiTheme="minorEastAsia" w:hAnsiTheme="minorEastAsia" w:eastAsiaTheme="minorEastAsia"/>
              </w:rPr>
            </w:pPr>
            <w:r>
              <w:rPr>
                <w:rFonts w:asciiTheme="minorEastAsia" w:hAnsiTheme="minorEastAsia" w:eastAsiaTheme="minorEastAsia"/>
              </w:rPr>
              <w:t>附列资料目录</w:t>
            </w:r>
          </w:p>
        </w:tc>
        <w:tc>
          <w:tcPr>
            <w:tcW w:w="2387"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证件名称</w:t>
            </w:r>
          </w:p>
        </w:tc>
        <w:tc>
          <w:tcPr>
            <w:tcW w:w="2702"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发证单位名称</w:t>
            </w:r>
          </w:p>
        </w:tc>
        <w:tc>
          <w:tcPr>
            <w:tcW w:w="1353"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证件号</w:t>
            </w:r>
          </w:p>
        </w:tc>
        <w:tc>
          <w:tcPr>
            <w:tcW w:w="1600"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有效期限</w:t>
            </w:r>
          </w:p>
        </w:tc>
      </w:tr>
      <w:tr>
        <w:tblPrEx>
          <w:tblCellMar>
            <w:top w:w="0" w:type="dxa"/>
            <w:left w:w="0" w:type="dxa"/>
            <w:bottom w:w="0" w:type="dxa"/>
            <w:right w:w="0" w:type="dxa"/>
          </w:tblCellMar>
        </w:tblPrEx>
        <w:trPr>
          <w:trHeight w:val="339" w:hRule="atLeast"/>
          <w:jc w:val="center"/>
        </w:trPr>
        <w:tc>
          <w:tcPr>
            <w:tcW w:w="755"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2387"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营业执照</w:t>
            </w:r>
          </w:p>
        </w:tc>
        <w:tc>
          <w:tcPr>
            <w:tcW w:w="2702"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根据营业执照据实填写</w:t>
            </w:r>
          </w:p>
        </w:tc>
        <w:tc>
          <w:tcPr>
            <w:tcW w:w="1353"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XXXX</w:t>
            </w:r>
          </w:p>
        </w:tc>
        <w:tc>
          <w:tcPr>
            <w:tcW w:w="1600"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根据营业执照据实填写</w:t>
            </w:r>
          </w:p>
        </w:tc>
      </w:tr>
      <w:tr>
        <w:tblPrEx>
          <w:tblCellMar>
            <w:top w:w="0" w:type="dxa"/>
            <w:left w:w="0" w:type="dxa"/>
            <w:bottom w:w="0" w:type="dxa"/>
            <w:right w:w="0" w:type="dxa"/>
          </w:tblCellMar>
        </w:tblPrEx>
        <w:trPr>
          <w:trHeight w:val="339" w:hRule="atLeast"/>
          <w:jc w:val="center"/>
        </w:trPr>
        <w:tc>
          <w:tcPr>
            <w:tcW w:w="755" w:type="dxa"/>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480"/>
              <w:rPr>
                <w:rFonts w:hint="default" w:asciiTheme="minorEastAsia" w:hAnsiTheme="minorEastAsia" w:eastAsiaTheme="minorEastAsia"/>
              </w:rPr>
            </w:pPr>
          </w:p>
        </w:tc>
        <w:tc>
          <w:tcPr>
            <w:tcW w:w="2387" w:type="dxa"/>
            <w:gridSpan w:val="4"/>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rPr>
            </w:pPr>
            <w:r>
              <w:rPr>
                <w:rFonts w:asciiTheme="minorEastAsia" w:hAnsiTheme="minorEastAsia" w:eastAsiaTheme="minorEastAsia"/>
              </w:rPr>
              <w:t>危险化学产品安全生产许可证</w:t>
            </w:r>
          </w:p>
        </w:tc>
        <w:tc>
          <w:tcPr>
            <w:tcW w:w="2702"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根据许可证据实填写</w:t>
            </w:r>
          </w:p>
        </w:tc>
        <w:tc>
          <w:tcPr>
            <w:tcW w:w="1353" w:type="dxa"/>
            <w:gridSpan w:val="3"/>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XXXX</w:t>
            </w:r>
          </w:p>
        </w:tc>
        <w:tc>
          <w:tcPr>
            <w:tcW w:w="1600" w:type="dxa"/>
            <w:gridSpan w:val="2"/>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0" w:firstLineChars="0"/>
              <w:jc w:val="center"/>
              <w:rPr>
                <w:rFonts w:hint="default" w:asciiTheme="minorEastAsia" w:hAnsiTheme="minorEastAsia" w:eastAsiaTheme="minorEastAsia"/>
                <w:color w:val="0000FF"/>
              </w:rPr>
            </w:pPr>
            <w:r>
              <w:rPr>
                <w:rFonts w:cs="Arial" w:asciiTheme="minorEastAsia" w:hAnsiTheme="minorEastAsia" w:eastAsiaTheme="minorEastAsia"/>
                <w:b/>
                <w:color w:val="0000FF"/>
              </w:rPr>
              <w:t>根据许可证据实填写</w:t>
            </w:r>
          </w:p>
        </w:tc>
      </w:tr>
      <w:tr>
        <w:tblPrEx>
          <w:tblCellMar>
            <w:top w:w="0" w:type="dxa"/>
            <w:left w:w="0" w:type="dxa"/>
            <w:bottom w:w="0" w:type="dxa"/>
            <w:right w:w="0" w:type="dxa"/>
          </w:tblCellMar>
        </w:tblPrEx>
        <w:trPr>
          <w:trHeight w:val="1995" w:hRule="atLeast"/>
          <w:jc w:val="center"/>
        </w:trPr>
        <w:tc>
          <w:tcPr>
            <w:tcW w:w="8797" w:type="dxa"/>
            <w:gridSpan w:val="1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center"/>
          </w:tcPr>
          <w:p>
            <w:pPr>
              <w:spacing w:line="400" w:lineRule="exact"/>
              <w:ind w:firstLine="480"/>
              <w:rPr>
                <w:rFonts w:hint="default" w:asciiTheme="minorEastAsia" w:hAnsiTheme="minorEastAsia" w:eastAsiaTheme="minorEastAsia"/>
              </w:rPr>
            </w:pPr>
            <w:r>
              <w:rPr>
                <w:rFonts w:asciiTheme="minorEastAsia" w:hAnsiTheme="minorEastAsia" w:eastAsiaTheme="minorEastAsia"/>
              </w:rPr>
              <w:t>纳税人声明：</w:t>
            </w:r>
          </w:p>
          <w:p>
            <w:pPr>
              <w:spacing w:line="400" w:lineRule="exact"/>
              <w:ind w:firstLine="480"/>
              <w:rPr>
                <w:rFonts w:hint="default" w:asciiTheme="minorEastAsia" w:hAnsiTheme="minorEastAsia" w:eastAsiaTheme="minorEastAsia"/>
              </w:rPr>
            </w:pPr>
            <w:r>
              <w:rPr>
                <w:rFonts w:asciiTheme="minorEastAsia" w:hAnsiTheme="minorEastAsia" w:eastAsiaTheme="minorEastAsia"/>
              </w:rPr>
              <w:t>申报的内容真实、可靠、完整。同时承诺按时申报相关资料，接受主管税务机关和进口地海关对本单位产品的抽检。如有虚假，本纳税人愿意承担相关法律责任。</w:t>
            </w:r>
          </w:p>
          <w:p>
            <w:pPr>
              <w:spacing w:line="400" w:lineRule="exact"/>
              <w:ind w:firstLine="480"/>
              <w:rPr>
                <w:rFonts w:hint="default" w:asciiTheme="minorEastAsia" w:hAnsiTheme="minorEastAsia" w:eastAsiaTheme="minorEastAsia"/>
              </w:rPr>
            </w:pPr>
          </w:p>
          <w:p>
            <w:pPr>
              <w:spacing w:line="400" w:lineRule="exact"/>
              <w:ind w:firstLine="480"/>
              <w:rPr>
                <w:rFonts w:hint="default" w:asciiTheme="minorEastAsia" w:hAnsiTheme="minorEastAsia" w:eastAsiaTheme="minorEastAsia"/>
              </w:rPr>
            </w:pPr>
            <w:r>
              <w:rPr>
                <w:rFonts w:asciiTheme="minorEastAsia" w:hAnsiTheme="minorEastAsia" w:eastAsiaTheme="minorEastAsia"/>
              </w:rPr>
              <w:t>经办人签字：</w:t>
            </w:r>
            <w:r>
              <w:rPr>
                <w:rFonts w:cs="Arial" w:asciiTheme="minorEastAsia" w:hAnsiTheme="minorEastAsia" w:eastAsiaTheme="minorEastAsia"/>
                <w:b/>
                <w:color w:val="0000FF"/>
              </w:rPr>
              <w:t xml:space="preserve">某某               </w:t>
            </w:r>
            <w:r>
              <w:rPr>
                <w:rFonts w:asciiTheme="minorEastAsia" w:hAnsiTheme="minorEastAsia" w:eastAsiaTheme="minorEastAsia"/>
              </w:rPr>
              <w:t>法人签字：</w:t>
            </w:r>
            <w:r>
              <w:rPr>
                <w:rFonts w:cs="Arial" w:asciiTheme="minorEastAsia" w:hAnsiTheme="minorEastAsia" w:eastAsiaTheme="minorEastAsia"/>
                <w:b/>
                <w:color w:val="0000FF"/>
              </w:rPr>
              <w:t xml:space="preserve">某某          </w:t>
            </w:r>
            <w:r>
              <w:rPr>
                <w:rFonts w:asciiTheme="minorEastAsia" w:hAnsiTheme="minorEastAsia" w:eastAsiaTheme="minorEastAsia"/>
              </w:rPr>
              <w:t>（</w:t>
            </w:r>
            <w:r>
              <w:rPr>
                <w:rFonts w:asciiTheme="minorEastAsia" w:hAnsiTheme="minorEastAsia" w:eastAsiaTheme="minorEastAsia"/>
              </w:rPr>
              <w:drawing>
                <wp:anchor distT="0" distB="0" distL="114300" distR="114300" simplePos="0" relativeHeight="251657216" behindDoc="0" locked="0" layoutInCell="1" allowOverlap="1">
                  <wp:simplePos x="0" y="0"/>
                  <wp:positionH relativeFrom="column">
                    <wp:posOffset>4115435</wp:posOffset>
                  </wp:positionH>
                  <wp:positionV relativeFrom="paragraph">
                    <wp:posOffset>-730885</wp:posOffset>
                  </wp:positionV>
                  <wp:extent cx="1143000" cy="1066800"/>
                  <wp:effectExtent l="0" t="0" r="0" b="0"/>
                  <wp:wrapNone/>
                  <wp:docPr id="14" name="图片 36"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6" descr="3595913661474679823015"/>
                          <pic:cNvPicPr>
                            <a:picLocks noChangeAspect="1"/>
                          </pic:cNvPicPr>
                        </pic:nvPicPr>
                        <pic:blipFill>
                          <a:blip r:embed="rId14"/>
                          <a:stretch>
                            <a:fillRect/>
                          </a:stretch>
                        </pic:blipFill>
                        <pic:spPr>
                          <a:xfrm>
                            <a:off x="0" y="0"/>
                            <a:ext cx="1143000" cy="1066800"/>
                          </a:xfrm>
                          <a:prstGeom prst="rect">
                            <a:avLst/>
                          </a:prstGeom>
                          <a:noFill/>
                          <a:ln>
                            <a:noFill/>
                          </a:ln>
                        </pic:spPr>
                      </pic:pic>
                    </a:graphicData>
                  </a:graphic>
                </wp:anchor>
              </w:drawing>
            </w:r>
            <w:r>
              <w:rPr>
                <w:rFonts w:asciiTheme="minorEastAsia" w:hAnsiTheme="minorEastAsia" w:eastAsiaTheme="minorEastAsia"/>
              </w:rPr>
              <w:t>公章）</w:t>
            </w:r>
          </w:p>
          <w:p>
            <w:pPr>
              <w:spacing w:line="400" w:lineRule="exact"/>
              <w:ind w:firstLine="4337" w:firstLineChars="1800"/>
              <w:rPr>
                <w:rFonts w:hint="default" w:asciiTheme="minorEastAsia" w:hAnsiTheme="minorEastAsia" w:eastAsiaTheme="minorEastAsia"/>
              </w:rPr>
            </w:pPr>
            <w:r>
              <w:rPr>
                <w:rFonts w:asciiTheme="minorEastAsia" w:hAnsiTheme="minorEastAsia" w:eastAsiaTheme="minorEastAsia"/>
                <w:b/>
                <w:color w:val="0000FF"/>
              </w:rPr>
              <w:t>XXXX</w:t>
            </w:r>
            <w:r>
              <w:rPr>
                <w:rFonts w:asciiTheme="minorEastAsia" w:hAnsiTheme="minorEastAsia" w:eastAsiaTheme="minorEastAsia"/>
              </w:rPr>
              <w:t>年</w:t>
            </w:r>
            <w:r>
              <w:rPr>
                <w:rFonts w:asciiTheme="minorEastAsia" w:hAnsiTheme="minorEastAsia" w:eastAsiaTheme="minorEastAsia"/>
                <w:b/>
                <w:color w:val="0000FF"/>
              </w:rPr>
              <w:t>XX</w:t>
            </w:r>
            <w:r>
              <w:rPr>
                <w:rFonts w:asciiTheme="minorEastAsia" w:hAnsiTheme="minorEastAsia" w:eastAsiaTheme="minorEastAsia"/>
              </w:rPr>
              <w:t>月</w:t>
            </w:r>
            <w:r>
              <w:rPr>
                <w:rFonts w:asciiTheme="minorEastAsia" w:hAnsiTheme="minorEastAsia" w:eastAsiaTheme="minorEastAsia"/>
                <w:b/>
                <w:color w:val="0000FF"/>
              </w:rPr>
              <w:t>XX</w:t>
            </w:r>
            <w:r>
              <w:rPr>
                <w:rFonts w:asciiTheme="minorEastAsia" w:hAnsiTheme="minorEastAsia" w:eastAsiaTheme="minorEastAsia"/>
              </w:rPr>
              <w:t>日</w:t>
            </w:r>
          </w:p>
        </w:tc>
      </w:tr>
    </w:tbl>
    <w:p>
      <w:pPr>
        <w:spacing w:line="400" w:lineRule="exact"/>
        <w:ind w:firstLine="480"/>
        <w:rPr>
          <w:rFonts w:hint="default" w:ascii="黑体" w:hAnsi="仿宋" w:eastAsia="黑体"/>
        </w:rPr>
      </w:pPr>
      <w:r>
        <w:rPr>
          <w:rFonts w:ascii="黑体" w:hAnsi="仿宋" w:eastAsia="黑体"/>
        </w:rPr>
        <w:t>【填表说明】</w:t>
      </w:r>
    </w:p>
    <w:p>
      <w:pPr>
        <w:spacing w:line="400" w:lineRule="exact"/>
        <w:ind w:firstLine="480"/>
        <w:rPr>
          <w:rFonts w:hint="default"/>
          <w:sz w:val="21"/>
          <w:szCs w:val="21"/>
        </w:rPr>
      </w:pPr>
      <w:r>
        <w:t>1.此表企业留存一份，主管税务机关或进口地海关留存一份。</w:t>
      </w:r>
    </w:p>
    <w:p>
      <w:pPr>
        <w:spacing w:line="400" w:lineRule="exact"/>
        <w:ind w:firstLine="480"/>
        <w:rPr>
          <w:rFonts w:hint="default"/>
          <w:sz w:val="21"/>
          <w:szCs w:val="21"/>
        </w:rPr>
      </w:pPr>
      <w:r>
        <w:t>2.新投产企业产成品年度产量及比例按投产当年预计数填写，其他企业年度产量及比例数据按上年度实际数填写数据。</w:t>
      </w:r>
    </w:p>
    <w:p>
      <w:pPr>
        <w:spacing w:line="400" w:lineRule="exact"/>
        <w:ind w:firstLine="480"/>
        <w:rPr>
          <w:rFonts w:hint="default"/>
          <w:sz w:val="21"/>
          <w:szCs w:val="21"/>
        </w:rPr>
      </w:pPr>
      <w:r>
        <w:t>3.产成品产量占全部产品比例是指乙烯、芳烃类化工产品占本企业用石脑油、燃料油生产全部产品总量的比例。</w:t>
      </w:r>
    </w:p>
    <w:p>
      <w:pPr>
        <w:spacing w:line="400" w:lineRule="exact"/>
        <w:ind w:firstLine="480"/>
        <w:rPr>
          <w:rFonts w:hint="default" w:ascii="宋体" w:hAnsi="宋体" w:cs="Times New Roman"/>
          <w:color w:val="000000" w:themeColor="text1"/>
        </w:rPr>
      </w:pPr>
      <w:r>
        <w:t>4.数据保留小数点后两位。</w:t>
      </w:r>
    </w:p>
    <w:p>
      <w:pPr>
        <w:spacing w:line="360" w:lineRule="auto"/>
        <w:ind w:firstLine="480"/>
        <w:rPr>
          <w:rFonts w:hint="default" w:ascii="宋体" w:hAnsi="宋体" w:cs="Times New Roman"/>
        </w:rPr>
      </w:pPr>
      <w:r>
        <w:rPr>
          <w:rFonts w:ascii="黑体" w:hAnsi="仿宋" w:eastAsia="黑体"/>
        </w:rPr>
        <w:t>【政策依据】</w:t>
      </w:r>
    </w:p>
    <w:tbl>
      <w:tblPr>
        <w:tblStyle w:val="18"/>
        <w:tblW w:w="8221"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567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33"/>
              <w:adjustRightInd/>
              <w:snapToGrid/>
              <w:spacing w:line="276" w:lineRule="auto"/>
            </w:pPr>
            <w:r>
              <w:rPr>
                <w:rFonts w:hint="eastAsia"/>
              </w:rPr>
              <w:t>序号</w:t>
            </w:r>
          </w:p>
        </w:tc>
        <w:tc>
          <w:tcPr>
            <w:tcW w:w="5670" w:type="dxa"/>
            <w:tcBorders>
              <w:top w:val="single" w:color="auto" w:sz="4" w:space="0"/>
              <w:left w:val="nil"/>
              <w:bottom w:val="single" w:color="auto" w:sz="4" w:space="0"/>
              <w:right w:val="single" w:color="auto" w:sz="4" w:space="0"/>
            </w:tcBorders>
            <w:vAlign w:val="center"/>
          </w:tcPr>
          <w:p>
            <w:pPr>
              <w:pStyle w:val="33"/>
              <w:adjustRightInd/>
              <w:snapToGrid/>
              <w:spacing w:line="276" w:lineRule="auto"/>
            </w:pPr>
            <w:r>
              <w:rPr>
                <w:rFonts w:hint="eastAsia"/>
              </w:rPr>
              <w:t>文件名称</w:t>
            </w:r>
          </w:p>
        </w:tc>
        <w:tc>
          <w:tcPr>
            <w:tcW w:w="1701" w:type="dxa"/>
            <w:tcBorders>
              <w:top w:val="single" w:color="auto" w:sz="4" w:space="0"/>
              <w:left w:val="nil"/>
              <w:bottom w:val="single" w:color="auto" w:sz="4" w:space="0"/>
              <w:right w:val="single" w:color="auto" w:sz="4" w:space="0"/>
            </w:tcBorders>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rPr>
                <w:rFonts w:ascii="黑体" w:hAnsi="黑体" w:eastAsia="黑体"/>
              </w:rPr>
            </w:pPr>
            <w:r>
              <w:rPr>
                <w:rFonts w:hint="eastAsia"/>
              </w:rPr>
              <w:t>1</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《中华人民共和国税收征收管理法》</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rFonts w:ascii="黑体" w:hAnsi="黑体" w:eastAsia="黑体"/>
              </w:rPr>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2</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《中华人民共和国税收征收管理法实施细则》</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rPr>
                <w:rFonts w:ascii="黑体" w:hAnsi="黑体" w:eastAsia="黑体"/>
              </w:rPr>
            </w:pPr>
            <w:r>
              <w:rPr>
                <w:rFonts w:hint="eastAsia" w:eastAsia="黑体"/>
              </w:rPr>
              <w:t>3</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《中华人民共和国消费税暂行条例》（国务院令2008年第539号）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rFonts w:ascii="黑体" w:hAnsi="黑体" w:eastAsia="黑体"/>
              </w:rPr>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rPr>
                <w:rFonts w:ascii="黑体" w:hAnsi="黑体" w:eastAsia="黑体"/>
              </w:rPr>
            </w:pPr>
            <w:r>
              <w:rPr>
                <w:rFonts w:hint="eastAsia" w:eastAsia="黑体"/>
              </w:rPr>
              <w:t>4</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《税款缴库退库工作规程》（国家税务总局令2014年第31号）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5</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《财政部 中国人民银行 国家税务总局关于延续执行部分石脑油燃料油消费税政策的通知》（财税〔2011〕87号）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6</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《国家税务总局 海关总署关于石脑油燃料油生产乙烯、芳烃类化工产品消费税退税问题的公告》（国家税务总局海关总署公告2013年第29号）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7</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《国家税务总局关于发布〈用于生产乙烯、芳烃类化工产品的石脑油、燃料油退（免）消费税暂行办法〉的公告》（国家税务总局公告2012年第36号）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8</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《国家税务总局关于取消乙烯、芳烃生产企业退税资格认定审批事项有关管理问题的公告》（国家税务总局公告2015年第54号）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9</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color w:val="000000"/>
              </w:rPr>
            </w:pPr>
            <w:r>
              <w:rPr>
                <w:rFonts w:hint="eastAsia"/>
              </w:rPr>
              <w:t>《国家税务总局关于印发&lt;办税服务厅管理办法&gt;的通知》（税总发〔2018〕189号）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10</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color w:val="000000"/>
              </w:rPr>
            </w:pPr>
            <w:r>
              <w:rPr>
                <w:rFonts w:hint="eastAsia"/>
              </w:rPr>
              <w:t>《国家税务总局关于印发&lt;全国税务系统进一步优化税收营商环境行动方案（2018年—2022年）&gt;的通知》（税总发〔2018〕145号）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11</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color w:val="000000"/>
              </w:rPr>
            </w:pPr>
            <w:r>
              <w:rPr>
                <w:rFonts w:hint="eastAsia"/>
              </w:rPr>
              <w:t>《国家税务总局关于印发&lt;全国税务系统深化“放管服”改革五年工作方案（2018年—2022年）&gt;的通知》（税总发〔2018〕199号）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rPr>
                <w:color w:val="000000"/>
              </w:rPr>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pPr>
              <w:pStyle w:val="50"/>
              <w:adjustRightInd/>
              <w:snapToGrid/>
              <w:spacing w:line="276" w:lineRule="auto"/>
            </w:pPr>
            <w:r>
              <w:rPr>
                <w:rFonts w:hint="eastAsia"/>
              </w:rPr>
              <w:t>12</w:t>
            </w:r>
          </w:p>
        </w:tc>
        <w:tc>
          <w:tcPr>
            <w:tcW w:w="5670"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《国家税务总局关于印发&lt;石脑油、燃料油退（免）消费税管理操作规程（试行）&gt;的通知》（税总函〔2014〕412号）</w:t>
            </w:r>
          </w:p>
        </w:tc>
        <w:tc>
          <w:tcPr>
            <w:tcW w:w="1701" w:type="dxa"/>
            <w:tcBorders>
              <w:top w:val="single" w:color="auto" w:sz="4" w:space="0"/>
              <w:left w:val="nil"/>
              <w:bottom w:val="single" w:color="auto" w:sz="4" w:space="0"/>
              <w:right w:val="single" w:color="auto" w:sz="4" w:space="0"/>
            </w:tcBorders>
            <w:vAlign w:val="center"/>
          </w:tcPr>
          <w:p>
            <w:pPr>
              <w:pStyle w:val="50"/>
              <w:adjustRightInd/>
              <w:snapToGrid/>
              <w:spacing w:line="276" w:lineRule="auto"/>
            </w:pPr>
            <w:r>
              <w:rPr>
                <w:rFonts w:hint="eastAsia"/>
              </w:rPr>
              <w:t>主动公开</w:t>
            </w:r>
          </w:p>
        </w:tc>
      </w:tr>
    </w:tbl>
    <w:p>
      <w:pPr>
        <w:pStyle w:val="37"/>
        <w:wordWrap w:val="0"/>
        <w:topLinePunct w:val="0"/>
        <w:spacing w:before="336" w:after="336"/>
        <w:rPr>
          <w:color w:val="000000" w:themeColor="text1"/>
        </w:rPr>
      </w:pPr>
      <w:bookmarkStart w:id="282" w:name="_Toc20664"/>
      <w:bookmarkStart w:id="283" w:name="_Toc18096193"/>
      <w:r>
        <w:rPr>
          <w:rFonts w:hint="eastAsia"/>
          <w:color w:val="000000" w:themeColor="text1"/>
        </w:rPr>
        <w:t>3.25</w:t>
      </w:r>
      <w:bookmarkStart w:id="284" w:name="_Hlk12994627"/>
      <w:r>
        <w:rPr>
          <w:rFonts w:hint="eastAsia"/>
          <w:color w:val="000000" w:themeColor="text1"/>
        </w:rPr>
        <w:t>.6—12</w:t>
      </w:r>
      <w:r>
        <w:rPr>
          <w:color w:val="000000" w:themeColor="text1"/>
        </w:rPr>
        <w:t>3</w:t>
      </w:r>
      <w:r>
        <w:rPr>
          <w:rFonts w:hint="eastAsia"/>
          <w:color w:val="000000" w:themeColor="text1"/>
        </w:rPr>
        <w:t>　</w:t>
      </w:r>
      <w:r>
        <w:rPr>
          <w:color w:val="000000" w:themeColor="text1"/>
        </w:rPr>
        <w:t>　</w:t>
      </w:r>
      <w:r>
        <w:rPr>
          <w:rFonts w:hint="eastAsia"/>
          <w:color w:val="000000" w:themeColor="text1"/>
        </w:rPr>
        <w:t>车辆购置税退税</w:t>
      </w:r>
      <w:bookmarkEnd w:id="282"/>
      <w:bookmarkEnd w:id="283"/>
      <w:bookmarkEnd w:id="284"/>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车辆购置税退税</w:t>
      </w:r>
    </w:p>
    <w:p>
      <w:pPr>
        <w:wordWrap w:val="0"/>
        <w:spacing w:line="360" w:lineRule="auto"/>
        <w:ind w:firstLine="480"/>
        <w:rPr>
          <w:rFonts w:hint="default" w:ascii="宋体" w:hAnsi="宋体" w:cs="Times New Roman"/>
          <w:color w:val="000000" w:themeColor="text1"/>
        </w:rPr>
      </w:pPr>
      <w:r>
        <w:rPr>
          <w:rFonts w:ascii="宋体" w:hAnsi="宋体" w:eastAsia="黑体" w:cs="Times New Roman"/>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已缴纳车辆购置税的车辆，发生车辆退回生产企业或者经销商的，符合免税条件但已征税的设有固定装置的非运输车辆，以及其他依据法律法规规定应予退税情形的，纳税人向税务机关申请退还已缴纳的车辆购置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《中华人民共和国税收征收管理法》第五十一条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《中华人民共和国车辆购置税法》第十五条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《中华人民共和国税收征收管理法实施细则》第七十八条、第七十九条</w:t>
      </w:r>
    </w:p>
    <w:p>
      <w:pPr>
        <w:pStyle w:val="31"/>
        <w:wordWrap w:val="0"/>
        <w:adjustRightInd/>
        <w:snapToGrid/>
        <w:rPr>
          <w:color w:val="000000" w:themeColor="text1"/>
        </w:rPr>
      </w:pPr>
      <w:r>
        <w:rPr>
          <w:rFonts w:hint="eastAsia"/>
          <w:color w:val="000000" w:themeColor="text1"/>
        </w:rPr>
        <w:t>【办理材料】</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382"/>
        <w:gridCol w:w="3153"/>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gridSpan w:val="2"/>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gridSpan w:val="2"/>
            <w:vAlign w:val="center"/>
          </w:tcPr>
          <w:p>
            <w:pPr>
              <w:pStyle w:val="34"/>
              <w:wordWrap w:val="0"/>
              <w:adjustRightInd/>
              <w:snapToGrid/>
              <w:spacing w:line="240" w:lineRule="auto"/>
              <w:rPr>
                <w:color w:val="000000" w:themeColor="text1"/>
              </w:rPr>
            </w:pPr>
            <w:r>
              <w:rPr>
                <w:rFonts w:hint="eastAsia"/>
                <w:color w:val="000000" w:themeColor="text1"/>
              </w:rPr>
              <w:t>《车辆购置税退税申请表》</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3</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5" w:type="dxa"/>
            <w:gridSpan w:val="2"/>
            <w:vAlign w:val="center"/>
          </w:tcPr>
          <w:p>
            <w:pPr>
              <w:pStyle w:val="34"/>
              <w:wordWrap w:val="0"/>
              <w:adjustRightInd/>
              <w:snapToGrid/>
              <w:spacing w:line="240" w:lineRule="auto"/>
              <w:rPr>
                <w:color w:val="000000" w:themeColor="text1"/>
              </w:rPr>
            </w:pPr>
            <w:r>
              <w:rPr>
                <w:rFonts w:hint="eastAsia"/>
                <w:color w:val="000000" w:themeColor="text1"/>
              </w:rPr>
              <w:t>纳税人身份证件原件及复印件</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r>
              <w:rPr>
                <w:color w:val="000000" w:themeColor="text1"/>
              </w:rPr>
              <w:t>原件查验</w:t>
            </w:r>
            <w:r>
              <w:rPr>
                <w:rFonts w:hint="eastAsia"/>
                <w:color w:val="000000" w:themeColor="text1"/>
              </w:rPr>
              <w:t>后</w:t>
            </w:r>
            <w:r>
              <w:rPr>
                <w:color w:val="000000" w:themeColor="text1"/>
              </w:rPr>
              <w:t>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3" w:type="dxa"/>
            <w:gridSpan w:val="5"/>
            <w:shd w:val="clear" w:color="auto" w:fill="D9D9D9"/>
            <w:vAlign w:val="center"/>
          </w:tcPr>
          <w:p>
            <w:pPr>
              <w:pStyle w:val="32"/>
              <w:wordWrap w:val="0"/>
              <w:adjustRightInd/>
              <w:snapToGrid/>
              <w:spacing w:line="240" w:lineRule="auto"/>
              <w:rPr>
                <w:rFonts w:cs="黑体"/>
                <w:color w:val="000000" w:themeColor="text1"/>
              </w:rPr>
            </w:pPr>
            <w:r>
              <w:rPr>
                <w:rFonts w:hint="eastAsia" w:cs="黑体"/>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62" w:type="dxa"/>
            <w:gridSpan w:val="2"/>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适用情形</w:t>
            </w:r>
          </w:p>
        </w:tc>
        <w:tc>
          <w:tcPr>
            <w:tcW w:w="3153" w:type="dxa"/>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材料名称</w:t>
            </w:r>
          </w:p>
        </w:tc>
        <w:tc>
          <w:tcPr>
            <w:tcW w:w="680" w:type="dxa"/>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数量</w:t>
            </w:r>
          </w:p>
        </w:tc>
        <w:tc>
          <w:tcPr>
            <w:tcW w:w="2268" w:type="dxa"/>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62" w:type="dxa"/>
            <w:gridSpan w:val="2"/>
            <w:vAlign w:val="center"/>
          </w:tcPr>
          <w:p>
            <w:pPr>
              <w:pStyle w:val="34"/>
              <w:wordWrap w:val="0"/>
              <w:adjustRightInd/>
              <w:snapToGrid/>
              <w:spacing w:line="240" w:lineRule="auto"/>
              <w:rPr>
                <w:color w:val="000000" w:themeColor="text1"/>
              </w:rPr>
            </w:pPr>
            <w:r>
              <w:rPr>
                <w:rFonts w:hint="eastAsia"/>
                <w:color w:val="000000" w:themeColor="text1"/>
              </w:rPr>
              <w:t>车辆退回生产企业或者经销商</w:t>
            </w:r>
          </w:p>
        </w:tc>
        <w:tc>
          <w:tcPr>
            <w:tcW w:w="3153" w:type="dxa"/>
            <w:vAlign w:val="center"/>
          </w:tcPr>
          <w:p>
            <w:pPr>
              <w:pStyle w:val="34"/>
              <w:wordWrap w:val="0"/>
              <w:adjustRightInd/>
              <w:snapToGrid/>
              <w:spacing w:line="240" w:lineRule="auto"/>
              <w:rPr>
                <w:color w:val="000000" w:themeColor="text1"/>
              </w:rPr>
            </w:pPr>
            <w:r>
              <w:rPr>
                <w:rFonts w:hint="eastAsia"/>
                <w:color w:val="000000" w:themeColor="text1"/>
              </w:rPr>
              <w:t>生产企业或经销商开具的退车证明和退车发票</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exact"/>
          <w:jc w:val="center"/>
        </w:trPr>
        <w:tc>
          <w:tcPr>
            <w:tcW w:w="2062" w:type="dxa"/>
            <w:gridSpan w:val="2"/>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因特殊情况不能退至纳税人、扣缴义务人原缴款账户</w:t>
            </w:r>
          </w:p>
        </w:tc>
        <w:tc>
          <w:tcPr>
            <w:tcW w:w="3153" w:type="dxa"/>
            <w:vAlign w:val="center"/>
          </w:tcPr>
          <w:p>
            <w:pPr>
              <w:pStyle w:val="34"/>
              <w:wordWrap w:val="0"/>
              <w:adjustRightInd/>
              <w:snapToGrid/>
              <w:spacing w:line="240" w:lineRule="auto"/>
              <w:rPr>
                <w:color w:val="000000" w:themeColor="text1"/>
              </w:rPr>
            </w:pPr>
            <w:r>
              <w:rPr>
                <w:rFonts w:hint="eastAsia"/>
                <w:color w:val="000000" w:themeColor="text1"/>
              </w:rPr>
              <w:t>由于特殊情况不能退至纳税人、扣缴义务人原缴款账户的书面说明，相关证明资料，和指定接受退税的其他账户及接受退税单位（人）名称的资料</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cs="Times New Roman"/>
          <w:color w:val="000000" w:themeColor="text1"/>
        </w:rPr>
        <w:t>10</w:t>
      </w:r>
      <w:r>
        <w:rPr>
          <w:rFonts w:ascii="宋体" w:hAnsi="宋体" w:cs="Times New Roman"/>
          <w:color w:val="000000" w:themeColor="text1"/>
        </w:rPr>
        <w:t>个工作日内办结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4944110" cy="1687830"/>
            <wp:effectExtent l="0" t="0" r="8890" b="3810"/>
            <wp:docPr id="76" name="图片 24"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4" descr="C:\Users\baoqianyu\Desktop\流程图\流转\纳税人.png纳税人"/>
                    <pic:cNvPicPr>
                      <a:picLocks noChangeAspect="1"/>
                    </pic:cNvPicPr>
                  </pic:nvPicPr>
                  <pic:blipFill>
                    <a:blip r:embed="rId15"/>
                    <a:srcRect/>
                    <a:stretch>
                      <a:fillRect/>
                    </a:stretch>
                  </pic:blipFill>
                  <pic:spPr>
                    <a:xfrm>
                      <a:off x="0" y="0"/>
                      <a:ext cx="4944110" cy="1687830"/>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纳税人身份证件具体是指：单位纳税人为《统一社会信用代码证书》，或者营业执照或者其他有效机构证明；个人纳税人为居民身份证，或者居民户口簿或者入境的身份证件。</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车主）为内地居民的报送居民身份证件及其复印件；发证机关非车辆登记注册地的内地居民报送车辆登记注册地的居住证或者暂住证原件及其复印件；纳税人（车主）为香港、澳门特别行政区、台湾地区居民或外国人的报送入境的身份证明（护照）和居住证明及其复印件。</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已征车辆购置税的车辆退回车辆生产或销售企业，纳税人申请退还车辆购置税的，应退税额计算公式如下：</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应退税额=已纳税额×（</w:t>
      </w:r>
      <w:r>
        <w:rPr>
          <w:rFonts w:cs="Times New Roman"/>
          <w:color w:val="000000" w:themeColor="text1"/>
        </w:rPr>
        <w:t>1—</w:t>
      </w:r>
      <w:r>
        <w:rPr>
          <w:rFonts w:ascii="宋体" w:hAnsi="宋体" w:cs="Times New Roman"/>
          <w:color w:val="000000" w:themeColor="text1"/>
        </w:rPr>
        <w:t>使用年限×</w:t>
      </w:r>
      <w:r>
        <w:rPr>
          <w:rFonts w:cs="Times New Roman"/>
          <w:color w:val="000000" w:themeColor="text1"/>
        </w:rPr>
        <w:t>10</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应退税额不得为负数。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使用年限的计算方法是，自纳税人缴纳税款之日起，至申请退税之日止。未满</w:t>
      </w:r>
      <w:r>
        <w:rPr>
          <w:rFonts w:cs="Times New Roman"/>
          <w:color w:val="000000" w:themeColor="text1"/>
        </w:rPr>
        <w:t>1</w:t>
      </w:r>
      <w:r>
        <w:rPr>
          <w:rFonts w:ascii="宋体" w:hAnsi="宋体" w:cs="Times New Roman"/>
          <w:color w:val="000000" w:themeColor="text1"/>
        </w:rPr>
        <w:t>年的，按已缴纳税款全额退税。</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其他退税情形，纳税人申请退税时，主管税务机关依据有关规定计算退税额。</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除出口退税以外，纳税人既有应退税款又有欠缴税款的，税务机关可以将纳税人的应退税款和利息先抵扣欠缴的税款；抵扣后有余额的，纳税人可以申请办理应退余额的退库。</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hint="default" w:ascii="宋体" w:hAnsi="宋体" w:cs="Times New Roman"/>
          <w:color w:val="000000" w:themeColor="text1"/>
        </w:rPr>
        <w:t>个工作日内通知纳税人领取办理结果，制作</w:t>
      </w:r>
      <w:r>
        <w:rPr>
          <w:rFonts w:ascii="宋体" w:hAnsi="宋体" w:cs="Times New Roman"/>
          <w:color w:val="000000" w:themeColor="text1"/>
        </w:rPr>
        <w:t>并</w:t>
      </w:r>
      <w:r>
        <w:rPr>
          <w:rFonts w:hint="default" w:ascii="宋体" w:hAnsi="宋体" w:cs="Times New Roman"/>
          <w:color w:val="000000" w:themeColor="text1"/>
        </w:rPr>
        <w:t>发放《税务事项通知书》。电子税务局办理的，将办理结果通过电子税务局反馈给纳税人。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利用数字证书申报成功的纳税人，取消纸质资料报送。</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进入金三操作系统，通过车购税申报征收岗权限，按照【管理服务】—【文书管理】—【退税类】—【车辆购置税退税申请】的路径进入功能模块。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2.发放环节</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通过个人待办任务打开车辆购置税退税发放事项，进入发放界面，打印《税务事项通知书》交纳税人。</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3.提示事项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车辆购置税办理退税前，必须申报缴税。且等税款入库后才能退税。</w:t>
      </w:r>
    </w:p>
    <w:p>
      <w:pPr>
        <w:pStyle w:val="31"/>
        <w:wordWrap w:val="0"/>
        <w:adjustRightInd/>
        <w:snapToGrid/>
        <w:rPr>
          <w:color w:val="000000" w:themeColor="text1"/>
        </w:rPr>
      </w:pPr>
      <w:r>
        <w:rPr>
          <w:rFonts w:hint="eastAsia"/>
          <w:color w:val="000000" w:themeColor="text1"/>
        </w:rPr>
        <w:t>【表证单书填写范本】</w:t>
      </w:r>
    </w:p>
    <w:p>
      <w:pPr>
        <w:spacing w:line="623" w:lineRule="exact"/>
        <w:ind w:right="733" w:firstLine="723"/>
        <w:jc w:val="center"/>
        <w:rPr>
          <w:rFonts w:hint="default" w:ascii="Arial Unicode MS" w:eastAsia="Arial Unicode MS"/>
          <w:sz w:val="36"/>
        </w:rPr>
      </w:pPr>
      <w:r>
        <w:rPr>
          <w:rFonts w:ascii="宋体" w:hAnsi="宋体" w:cs="宋体"/>
          <w:b/>
          <w:bCs/>
          <w:sz w:val="36"/>
        </w:rPr>
        <w:t>车辆购置税退税申请表</w:t>
      </w:r>
    </w:p>
    <w:p>
      <w:pPr>
        <w:pStyle w:val="8"/>
        <w:tabs>
          <w:tab w:val="left" w:pos="1471"/>
          <w:tab w:val="left" w:pos="1891"/>
          <w:tab w:val="left" w:pos="2311"/>
          <w:tab w:val="left" w:pos="6197"/>
        </w:tabs>
        <w:spacing w:before="29" w:after="20"/>
        <w:ind w:right="733" w:firstLine="480"/>
        <w:jc w:val="center"/>
        <w:rPr>
          <w:rFonts w:hint="default"/>
        </w:rPr>
      </w:pPr>
      <w:r>
        <w:t>填表</w:t>
      </w:r>
      <w:r>
        <w:rPr>
          <w:spacing w:val="-3"/>
        </w:rPr>
        <w:t>日</w:t>
      </w:r>
      <w:r>
        <w:t>期：</w:t>
      </w:r>
      <w:r>
        <w:rPr>
          <w:rFonts w:ascii="仿宋_GB2312" w:eastAsia="仿宋_GB2312"/>
          <w:b/>
          <w:bCs/>
          <w:color w:val="0000FF"/>
        </w:rPr>
        <w:t>X</w:t>
      </w:r>
      <w:r>
        <w:rPr>
          <w:rFonts w:hint="default" w:ascii="仿宋_GB2312" w:eastAsia="仿宋_GB2312"/>
          <w:b/>
          <w:bCs/>
          <w:color w:val="0000FF"/>
        </w:rPr>
        <w:t>XXX</w:t>
      </w:r>
      <w:r>
        <w:t>年</w:t>
      </w:r>
      <w:r>
        <w:rPr>
          <w:rFonts w:ascii="仿宋_GB2312" w:eastAsia="仿宋_GB2312"/>
          <w:b/>
          <w:bCs/>
          <w:color w:val="0000FF"/>
        </w:rPr>
        <w:t>X</w:t>
      </w:r>
      <w:r>
        <w:rPr>
          <w:rFonts w:hint="default" w:ascii="仿宋_GB2312" w:eastAsia="仿宋_GB2312"/>
          <w:b/>
          <w:bCs/>
          <w:color w:val="0000FF"/>
        </w:rPr>
        <w:t>X</w:t>
      </w:r>
      <w:r>
        <w:t>月</w:t>
      </w:r>
      <w:r>
        <w:rPr>
          <w:rFonts w:ascii="仿宋_GB2312" w:eastAsia="仿宋_GB2312"/>
          <w:b/>
          <w:bCs/>
          <w:color w:val="0000FF"/>
        </w:rPr>
        <w:t>X</w:t>
      </w:r>
      <w:r>
        <w:rPr>
          <w:rFonts w:hint="default" w:ascii="仿宋_GB2312" w:eastAsia="仿宋_GB2312"/>
          <w:b/>
          <w:bCs/>
          <w:color w:val="0000FF"/>
        </w:rPr>
        <w:t>X</w:t>
      </w:r>
      <w:r>
        <w:t>日</w:t>
      </w:r>
      <w:r>
        <w:tab/>
      </w:r>
      <w:r>
        <w:t>金</w:t>
      </w:r>
      <w:r>
        <w:rPr>
          <w:spacing w:val="-3"/>
        </w:rPr>
        <w:t>额</w:t>
      </w:r>
      <w:r>
        <w:t>单</w:t>
      </w:r>
      <w:r>
        <w:rPr>
          <w:spacing w:val="-3"/>
        </w:rPr>
        <w:t>位</w:t>
      </w:r>
      <w:r>
        <w:t>：元</w:t>
      </w:r>
    </w:p>
    <w:tbl>
      <w:tblPr>
        <w:tblStyle w:val="18"/>
        <w:tblW w:w="8652" w:type="dxa"/>
        <w:tblInd w:w="4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701"/>
        <w:gridCol w:w="255"/>
        <w:gridCol w:w="1487"/>
        <w:gridCol w:w="232"/>
        <w:gridCol w:w="1034"/>
        <w:gridCol w:w="1652"/>
        <w:gridCol w:w="303"/>
        <w:gridCol w:w="115"/>
        <w:gridCol w:w="131"/>
        <w:gridCol w:w="699"/>
        <w:gridCol w:w="1344"/>
        <w:gridCol w:w="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23" w:hRule="atLeast"/>
        </w:trPr>
        <w:tc>
          <w:tcPr>
            <w:tcW w:w="1645" w:type="dxa"/>
            <w:gridSpan w:val="3"/>
            <w:vAlign w:val="center"/>
          </w:tcPr>
          <w:p>
            <w:pPr>
              <w:pStyle w:val="53"/>
              <w:spacing w:before="22"/>
              <w:ind w:right="60"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纳税人名称</w:t>
            </w:r>
          </w:p>
          <w:p>
            <w:pPr>
              <w:pStyle w:val="53"/>
              <w:spacing w:before="22"/>
              <w:ind w:right="60" w:firstLine="0" w:firstLineChars="0"/>
              <w:jc w:val="center"/>
              <w:rPr>
                <w:rFonts w:hint="default" w:asciiTheme="minorEastAsia" w:hAnsiTheme="minorEastAsia" w:eastAsiaTheme="minorEastAsia"/>
                <w:sz w:val="21"/>
                <w:szCs w:val="21"/>
              </w:rPr>
            </w:pPr>
            <w:r>
              <w:rPr>
                <w:rFonts w:asciiTheme="minorEastAsia" w:hAnsiTheme="minorEastAsia" w:eastAsiaTheme="minorEastAsia"/>
                <w:sz w:val="21"/>
                <w:szCs w:val="21"/>
              </w:rPr>
              <w:t>（签名或盖章）</w:t>
            </w:r>
          </w:p>
        </w:tc>
        <w:tc>
          <w:tcPr>
            <w:tcW w:w="2753" w:type="dxa"/>
            <w:gridSpan w:val="3"/>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rPr>
              <w:t>某某</w:t>
            </w:r>
          </w:p>
        </w:tc>
        <w:tc>
          <w:tcPr>
            <w:tcW w:w="1955" w:type="dxa"/>
            <w:gridSpan w:val="2"/>
            <w:vAlign w:val="center"/>
          </w:tcPr>
          <w:p>
            <w:pPr>
              <w:pStyle w:val="53"/>
              <w:spacing w:before="178"/>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地址</w:t>
            </w:r>
          </w:p>
        </w:tc>
        <w:tc>
          <w:tcPr>
            <w:tcW w:w="2289" w:type="dxa"/>
            <w:gridSpan w:val="4"/>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rPr>
              <w:t>湖南省X</w:t>
            </w:r>
            <w:r>
              <w:rPr>
                <w:rFonts w:hint="default" w:asciiTheme="minorEastAsia" w:hAnsiTheme="minorEastAsia" w:eastAsiaTheme="minorEastAsia"/>
                <w:b/>
                <w:bCs/>
                <w:color w:val="0000FF"/>
              </w:rPr>
              <w:t>X</w:t>
            </w:r>
            <w:r>
              <w:rPr>
                <w:rFonts w:asciiTheme="minorEastAsia" w:hAnsiTheme="minorEastAsia" w:eastAsiaTheme="minorEastAsia"/>
                <w:b/>
                <w:bCs/>
                <w:color w:val="0000FF"/>
              </w:rPr>
              <w:t>市X</w:t>
            </w:r>
            <w:r>
              <w:rPr>
                <w:rFonts w:hint="default" w:asciiTheme="minorEastAsia" w:hAnsiTheme="minorEastAsia" w:eastAsiaTheme="minorEastAsia"/>
                <w:b/>
                <w:bCs/>
                <w:color w:val="0000FF"/>
              </w:rPr>
              <w:t>X</w:t>
            </w:r>
            <w:r>
              <w:rPr>
                <w:rFonts w:asciiTheme="minorEastAsia" w:hAnsiTheme="minorEastAsia" w:eastAsiaTheme="minorEastAsia"/>
                <w:b/>
                <w:bCs/>
                <w:color w:val="0000FF"/>
              </w:rPr>
              <w:t>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311" w:hRule="atLeast"/>
        </w:trPr>
        <w:tc>
          <w:tcPr>
            <w:tcW w:w="1645" w:type="dxa"/>
            <w:gridSpan w:val="3"/>
            <w:vAlign w:val="center"/>
          </w:tcPr>
          <w:p>
            <w:pPr>
              <w:pStyle w:val="53"/>
              <w:spacing w:before="22"/>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证件名称</w:t>
            </w:r>
          </w:p>
        </w:tc>
        <w:tc>
          <w:tcPr>
            <w:tcW w:w="1719" w:type="dxa"/>
            <w:gridSpan w:val="2"/>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color w:val="0000FF"/>
                <w:sz w:val="21"/>
                <w:szCs w:val="21"/>
              </w:rPr>
              <w:t>身份证、《组织机构代码证》或《税务登记证</w:t>
            </w:r>
            <w:r>
              <w:rPr>
                <w:rFonts w:cs="Arial" w:asciiTheme="minorEastAsia" w:hAnsiTheme="minorEastAsia" w:eastAsiaTheme="minorEastAsia"/>
                <w:b/>
                <w:color w:val="0000FF"/>
                <w:sz w:val="21"/>
                <w:szCs w:val="21"/>
              </w:rPr>
              <w:t>（统一社会信用代码）</w:t>
            </w:r>
            <w:r>
              <w:rPr>
                <w:rFonts w:asciiTheme="minorEastAsia" w:hAnsiTheme="minorEastAsia" w:eastAsiaTheme="minorEastAsia"/>
                <w:b/>
                <w:color w:val="0000FF"/>
                <w:sz w:val="21"/>
                <w:szCs w:val="21"/>
              </w:rPr>
              <w:t>》</w:t>
            </w:r>
          </w:p>
        </w:tc>
        <w:tc>
          <w:tcPr>
            <w:tcW w:w="1034" w:type="dxa"/>
            <w:vAlign w:val="center"/>
          </w:tcPr>
          <w:p>
            <w:pPr>
              <w:pStyle w:val="53"/>
              <w:spacing w:before="22"/>
              <w:ind w:right="159" w:firstLine="0" w:firstLineChars="0"/>
              <w:rPr>
                <w:rFonts w:hint="default" w:asciiTheme="minorEastAsia" w:hAnsiTheme="minorEastAsia" w:eastAsiaTheme="minorEastAsia"/>
                <w:sz w:val="21"/>
              </w:rPr>
            </w:pPr>
            <w:r>
              <w:rPr>
                <w:rFonts w:asciiTheme="minorEastAsia" w:hAnsiTheme="minorEastAsia" w:eastAsiaTheme="minorEastAsia"/>
                <w:sz w:val="21"/>
              </w:rPr>
              <w:t>证件号码</w:t>
            </w:r>
          </w:p>
        </w:tc>
        <w:tc>
          <w:tcPr>
            <w:tcW w:w="1955" w:type="dxa"/>
            <w:gridSpan w:val="2"/>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color w:val="0000FF"/>
                <w:sz w:val="21"/>
                <w:szCs w:val="21"/>
                <w:lang w:val="en-US"/>
              </w:rPr>
              <w:t>身份证号码、</w:t>
            </w:r>
            <w:r>
              <w:rPr>
                <w:rFonts w:asciiTheme="minorEastAsia" w:hAnsiTheme="minorEastAsia" w:eastAsiaTheme="minorEastAsia"/>
                <w:b/>
                <w:color w:val="0000FF"/>
                <w:sz w:val="21"/>
                <w:szCs w:val="21"/>
              </w:rPr>
              <w:t>《组织机构代码证》或《税务登记证</w:t>
            </w:r>
            <w:r>
              <w:rPr>
                <w:rFonts w:cs="Arial" w:asciiTheme="minorEastAsia" w:hAnsiTheme="minorEastAsia" w:eastAsiaTheme="minorEastAsia"/>
                <w:b/>
                <w:color w:val="0000FF"/>
                <w:sz w:val="21"/>
                <w:szCs w:val="21"/>
              </w:rPr>
              <w:t>（统一社会信用代码）</w:t>
            </w:r>
            <w:r>
              <w:rPr>
                <w:rFonts w:asciiTheme="minorEastAsia" w:hAnsiTheme="minorEastAsia" w:eastAsiaTheme="minorEastAsia"/>
                <w:b/>
                <w:color w:val="0000FF"/>
                <w:sz w:val="21"/>
                <w:szCs w:val="21"/>
              </w:rPr>
              <w:t>》号码</w:t>
            </w:r>
          </w:p>
        </w:tc>
        <w:tc>
          <w:tcPr>
            <w:tcW w:w="945" w:type="dxa"/>
            <w:gridSpan w:val="3"/>
            <w:vAlign w:val="center"/>
          </w:tcPr>
          <w:p>
            <w:pPr>
              <w:pStyle w:val="53"/>
              <w:spacing w:before="22"/>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联系电话</w:t>
            </w:r>
          </w:p>
        </w:tc>
        <w:tc>
          <w:tcPr>
            <w:tcW w:w="1344" w:type="dxa"/>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311" w:hRule="atLeast"/>
        </w:trPr>
        <w:tc>
          <w:tcPr>
            <w:tcW w:w="1645" w:type="dxa"/>
            <w:gridSpan w:val="3"/>
            <w:vAlign w:val="center"/>
          </w:tcPr>
          <w:p>
            <w:pPr>
              <w:pStyle w:val="53"/>
              <w:spacing w:before="22"/>
              <w:ind w:firstLine="0" w:firstLineChars="0"/>
              <w:rPr>
                <w:rFonts w:hint="default" w:asciiTheme="minorEastAsia" w:hAnsiTheme="minorEastAsia" w:eastAsiaTheme="minorEastAsia"/>
                <w:sz w:val="21"/>
                <w:szCs w:val="21"/>
              </w:rPr>
            </w:pPr>
            <w:r>
              <w:rPr>
                <w:rFonts w:asciiTheme="minorEastAsia" w:hAnsiTheme="minorEastAsia" w:eastAsiaTheme="minorEastAsia"/>
                <w:sz w:val="21"/>
                <w:szCs w:val="21"/>
              </w:rPr>
              <w:t>开户银行</w:t>
            </w:r>
          </w:p>
        </w:tc>
        <w:tc>
          <w:tcPr>
            <w:tcW w:w="1719" w:type="dxa"/>
            <w:gridSpan w:val="2"/>
            <w:vAlign w:val="center"/>
          </w:tcPr>
          <w:p>
            <w:pPr>
              <w:spacing w:line="400" w:lineRule="exact"/>
              <w:ind w:firstLine="0" w:firstLineChars="0"/>
              <w:rPr>
                <w:rFonts w:hint="default" w:asciiTheme="minorEastAsia" w:hAnsiTheme="minorEastAsia" w:eastAsiaTheme="minorEastAsia"/>
                <w:b/>
                <w:color w:val="0000FF"/>
              </w:rPr>
            </w:pPr>
            <w:r>
              <w:rPr>
                <w:rFonts w:asciiTheme="minorEastAsia" w:hAnsiTheme="minorEastAsia" w:eastAsiaTheme="minorEastAsia"/>
                <w:b/>
                <w:color w:val="0000FF"/>
              </w:rPr>
              <w:t>接收国库退税税款的开户银行</w:t>
            </w:r>
          </w:p>
        </w:tc>
        <w:tc>
          <w:tcPr>
            <w:tcW w:w="1034" w:type="dxa"/>
            <w:vAlign w:val="center"/>
          </w:tcPr>
          <w:p>
            <w:pPr>
              <w:pStyle w:val="53"/>
              <w:spacing w:before="22"/>
              <w:ind w:right="159" w:firstLine="0" w:firstLineChars="0"/>
              <w:rPr>
                <w:rFonts w:hint="default" w:asciiTheme="minorEastAsia" w:hAnsiTheme="minorEastAsia" w:eastAsiaTheme="minorEastAsia"/>
                <w:sz w:val="21"/>
              </w:rPr>
            </w:pPr>
            <w:r>
              <w:rPr>
                <w:rFonts w:asciiTheme="minorEastAsia" w:hAnsiTheme="minorEastAsia" w:eastAsiaTheme="minorEastAsia"/>
                <w:sz w:val="21"/>
              </w:rPr>
              <w:t>开户账号</w:t>
            </w:r>
          </w:p>
        </w:tc>
        <w:tc>
          <w:tcPr>
            <w:tcW w:w="1955" w:type="dxa"/>
            <w:gridSpan w:val="2"/>
            <w:vAlign w:val="center"/>
          </w:tcPr>
          <w:p>
            <w:pPr>
              <w:spacing w:line="400" w:lineRule="exact"/>
              <w:ind w:firstLine="0" w:firstLineChars="0"/>
              <w:rPr>
                <w:rFonts w:hint="default" w:asciiTheme="minorEastAsia" w:hAnsiTheme="minorEastAsia" w:eastAsiaTheme="minorEastAsia"/>
                <w:sz w:val="22"/>
              </w:rPr>
            </w:pPr>
            <w:r>
              <w:rPr>
                <w:rFonts w:asciiTheme="minorEastAsia" w:hAnsiTheme="minorEastAsia" w:eastAsiaTheme="minorEastAsia"/>
                <w:b/>
                <w:color w:val="0000FF"/>
              </w:rPr>
              <w:t>接收国库退税税款的开户银行账号</w:t>
            </w:r>
          </w:p>
        </w:tc>
        <w:tc>
          <w:tcPr>
            <w:tcW w:w="945" w:type="dxa"/>
            <w:gridSpan w:val="3"/>
            <w:vAlign w:val="center"/>
          </w:tcPr>
          <w:p>
            <w:pPr>
              <w:pStyle w:val="53"/>
              <w:tabs>
                <w:tab w:val="left" w:pos="974"/>
              </w:tabs>
              <w:spacing w:before="22"/>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lang w:val="en-US"/>
              </w:rPr>
              <w:t>户</w:t>
            </w:r>
            <w:r>
              <w:rPr>
                <w:rFonts w:asciiTheme="minorEastAsia" w:hAnsiTheme="minorEastAsia" w:eastAsiaTheme="minorEastAsia"/>
                <w:sz w:val="21"/>
              </w:rPr>
              <w:t>名</w:t>
            </w:r>
          </w:p>
        </w:tc>
        <w:tc>
          <w:tcPr>
            <w:tcW w:w="1344" w:type="dxa"/>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rPr>
              <w:t>某某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23" w:hRule="atLeast"/>
        </w:trPr>
        <w:tc>
          <w:tcPr>
            <w:tcW w:w="3364" w:type="dxa"/>
            <w:gridSpan w:val="5"/>
            <w:vAlign w:val="center"/>
          </w:tcPr>
          <w:p>
            <w:pPr>
              <w:pStyle w:val="53"/>
              <w:spacing w:before="22"/>
              <w:ind w:left="492" w:right="488"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合格证编号</w:t>
            </w:r>
          </w:p>
          <w:p>
            <w:pPr>
              <w:pStyle w:val="53"/>
              <w:spacing w:before="44"/>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（或货物进口证明书号）</w:t>
            </w:r>
          </w:p>
        </w:tc>
        <w:tc>
          <w:tcPr>
            <w:tcW w:w="1034" w:type="dxa"/>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XXXXXX</w:t>
            </w:r>
          </w:p>
        </w:tc>
        <w:tc>
          <w:tcPr>
            <w:tcW w:w="1955" w:type="dxa"/>
            <w:gridSpan w:val="2"/>
            <w:vAlign w:val="center"/>
          </w:tcPr>
          <w:p>
            <w:pPr>
              <w:pStyle w:val="53"/>
              <w:spacing w:before="178"/>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厂牌型号</w:t>
            </w:r>
          </w:p>
        </w:tc>
        <w:tc>
          <w:tcPr>
            <w:tcW w:w="2289" w:type="dxa"/>
            <w:gridSpan w:val="4"/>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23" w:hRule="atLeast"/>
        </w:trPr>
        <w:tc>
          <w:tcPr>
            <w:tcW w:w="1645" w:type="dxa"/>
            <w:gridSpan w:val="3"/>
            <w:vAlign w:val="center"/>
          </w:tcPr>
          <w:p>
            <w:pPr>
              <w:pStyle w:val="53"/>
              <w:spacing w:before="22"/>
              <w:ind w:right="60"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车辆识别代号</w:t>
            </w:r>
          </w:p>
          <w:p>
            <w:pPr>
              <w:pStyle w:val="53"/>
              <w:spacing w:before="22"/>
              <w:ind w:right="60"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（车架号）</w:t>
            </w:r>
          </w:p>
        </w:tc>
        <w:tc>
          <w:tcPr>
            <w:tcW w:w="1719"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XXXXXX</w:t>
            </w:r>
          </w:p>
        </w:tc>
        <w:tc>
          <w:tcPr>
            <w:tcW w:w="1034" w:type="dxa"/>
            <w:vAlign w:val="center"/>
          </w:tcPr>
          <w:p>
            <w:pPr>
              <w:pStyle w:val="53"/>
              <w:spacing w:before="178"/>
              <w:ind w:right="159"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发动机号</w:t>
            </w:r>
          </w:p>
        </w:tc>
        <w:tc>
          <w:tcPr>
            <w:tcW w:w="1955" w:type="dxa"/>
            <w:gridSpan w:val="2"/>
            <w:vAlign w:val="center"/>
          </w:tcPr>
          <w:p>
            <w:pPr>
              <w:pStyle w:val="53"/>
              <w:ind w:firstLine="0" w:firstLineChars="0"/>
              <w:jc w:val="center"/>
              <w:rPr>
                <w:rFonts w:hint="default" w:asciiTheme="minorEastAsia" w:hAnsiTheme="minorEastAsia" w:eastAsiaTheme="minorEastAsia"/>
                <w:sz w:val="22"/>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XXXXXXXXXX</w:t>
            </w:r>
          </w:p>
        </w:tc>
        <w:tc>
          <w:tcPr>
            <w:tcW w:w="945" w:type="dxa"/>
            <w:gridSpan w:val="3"/>
            <w:vAlign w:val="center"/>
          </w:tcPr>
          <w:p>
            <w:pPr>
              <w:pStyle w:val="53"/>
              <w:spacing w:before="178"/>
              <w:ind w:firstLine="0" w:firstLineChars="0"/>
              <w:rPr>
                <w:rFonts w:hint="default" w:asciiTheme="minorEastAsia" w:hAnsiTheme="minorEastAsia" w:eastAsiaTheme="minorEastAsia"/>
                <w:sz w:val="21"/>
              </w:rPr>
            </w:pPr>
            <w:r>
              <w:rPr>
                <w:rFonts w:asciiTheme="minorEastAsia" w:hAnsiTheme="minorEastAsia" w:eastAsiaTheme="minorEastAsia"/>
                <w:sz w:val="21"/>
              </w:rPr>
              <w:t>购置日期</w:t>
            </w:r>
          </w:p>
        </w:tc>
        <w:tc>
          <w:tcPr>
            <w:tcW w:w="1344" w:type="dxa"/>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w:t>
            </w:r>
            <w:r>
              <w:rPr>
                <w:rFonts w:asciiTheme="minorEastAsia" w:hAnsiTheme="minorEastAsia" w:eastAsiaTheme="minorEastAsia"/>
                <w:b/>
                <w:bCs/>
                <w:color w:val="0000FF"/>
              </w:rPr>
              <w:t>年X</w:t>
            </w:r>
            <w:r>
              <w:rPr>
                <w:rFonts w:hint="default" w:asciiTheme="minorEastAsia" w:hAnsiTheme="minorEastAsia" w:eastAsiaTheme="minorEastAsia"/>
                <w:b/>
                <w:bCs/>
                <w:color w:val="0000FF"/>
              </w:rPr>
              <w:t>X</w:t>
            </w:r>
            <w:r>
              <w:rPr>
                <w:rFonts w:asciiTheme="minorEastAsia" w:hAnsiTheme="minorEastAsia" w:eastAsiaTheme="minorEastAsia"/>
                <w:b/>
                <w:bCs/>
                <w:color w:val="0000FF"/>
              </w:rPr>
              <w:t>月X</w:t>
            </w:r>
            <w:r>
              <w:rPr>
                <w:rFonts w:hint="default" w:asciiTheme="minorEastAsia" w:hAnsiTheme="minorEastAsia" w:eastAsiaTheme="minorEastAsia"/>
                <w:b/>
                <w:bCs/>
                <w:color w:val="0000FF"/>
              </w:rPr>
              <w:t>X</w:t>
            </w:r>
            <w:r>
              <w:rPr>
                <w:rFonts w:asciiTheme="minorEastAsia" w:hAnsiTheme="minorEastAsia" w:eastAsiaTheme="minorEastAsia"/>
                <w:b/>
                <w:color w:val="0000FF"/>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90" w:hRule="atLeast"/>
        </w:trPr>
        <w:tc>
          <w:tcPr>
            <w:tcW w:w="1645" w:type="dxa"/>
            <w:gridSpan w:val="3"/>
            <w:vAlign w:val="center"/>
          </w:tcPr>
          <w:p>
            <w:pPr>
              <w:pStyle w:val="53"/>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完税凭证号码</w:t>
            </w:r>
          </w:p>
        </w:tc>
        <w:tc>
          <w:tcPr>
            <w:tcW w:w="2753" w:type="dxa"/>
            <w:gridSpan w:val="3"/>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color w:val="0000FF"/>
              </w:rPr>
              <w:t>主管税务机关开具的车辆购置税缴税凭证号码</w:t>
            </w:r>
          </w:p>
        </w:tc>
        <w:tc>
          <w:tcPr>
            <w:tcW w:w="1955" w:type="dxa"/>
            <w:gridSpan w:val="2"/>
            <w:vAlign w:val="center"/>
          </w:tcPr>
          <w:p>
            <w:pPr>
              <w:pStyle w:val="53"/>
              <w:spacing w:before="20" w:line="310" w:lineRule="atLeast"/>
              <w:ind w:right="213"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已缴纳车辆购置税税款</w:t>
            </w:r>
          </w:p>
        </w:tc>
        <w:tc>
          <w:tcPr>
            <w:tcW w:w="2289" w:type="dxa"/>
            <w:gridSpan w:val="4"/>
            <w:vAlign w:val="center"/>
          </w:tcPr>
          <w:p>
            <w:pPr>
              <w:pStyle w:val="53"/>
              <w:ind w:firstLine="0" w:firstLineChars="0"/>
              <w:rPr>
                <w:rFonts w:hint="default" w:asciiTheme="minorEastAsia" w:hAnsiTheme="minorEastAsia" w:eastAsiaTheme="minorEastAsia"/>
                <w:sz w:val="22"/>
                <w:lang w:val="en-US"/>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XXX.XX</w:t>
            </w:r>
            <w:r>
              <w:rPr>
                <w:rFonts w:asciiTheme="minorEastAsia" w:hAnsiTheme="minorEastAsia" w:eastAsiaTheme="minorEastAsia"/>
                <w:b/>
                <w:bCs/>
                <w:color w:val="0000FF"/>
                <w:lang w:val="en-US"/>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935" w:hRule="atLeast"/>
        </w:trPr>
        <w:tc>
          <w:tcPr>
            <w:tcW w:w="1645" w:type="dxa"/>
            <w:gridSpan w:val="3"/>
            <w:vAlign w:val="center"/>
          </w:tcPr>
          <w:p>
            <w:pPr>
              <w:pStyle w:val="53"/>
              <w:spacing w:before="22" w:line="278" w:lineRule="auto"/>
              <w:ind w:right="181"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交回的车辆购置税完税证明号码</w:t>
            </w:r>
          </w:p>
        </w:tc>
        <w:tc>
          <w:tcPr>
            <w:tcW w:w="2753" w:type="dxa"/>
            <w:gridSpan w:val="3"/>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color w:val="0000FF"/>
              </w:rPr>
              <w:t>申请退税时交回的完税证明号码</w:t>
            </w:r>
          </w:p>
        </w:tc>
        <w:tc>
          <w:tcPr>
            <w:tcW w:w="1955" w:type="dxa"/>
            <w:gridSpan w:val="2"/>
            <w:vAlign w:val="center"/>
          </w:tcPr>
          <w:p>
            <w:pPr>
              <w:pStyle w:val="53"/>
              <w:spacing w:before="115" w:line="235" w:lineRule="auto"/>
              <w:ind w:right="105" w:firstLine="0" w:firstLineChars="0"/>
              <w:jc w:val="center"/>
              <w:rPr>
                <w:rFonts w:hint="default" w:asciiTheme="minorEastAsia" w:hAnsiTheme="minorEastAsia" w:eastAsiaTheme="minorEastAsia"/>
                <w:sz w:val="21"/>
              </w:rPr>
            </w:pPr>
            <w:r>
              <w:rPr>
                <w:rFonts w:asciiTheme="minorEastAsia" w:hAnsiTheme="minorEastAsia" w:eastAsiaTheme="minorEastAsia"/>
                <w:bCs/>
                <w:sz w:val="21"/>
              </w:rPr>
              <w:t>未交回的车辆购置税完税证明号码</w:t>
            </w:r>
          </w:p>
        </w:tc>
        <w:tc>
          <w:tcPr>
            <w:tcW w:w="2289" w:type="dxa"/>
            <w:gridSpan w:val="4"/>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b/>
                <w:color w:val="0000FF"/>
              </w:rPr>
              <w:t>申请退税时</w:t>
            </w:r>
            <w:r>
              <w:rPr>
                <w:rFonts w:asciiTheme="minorEastAsia" w:hAnsiTheme="minorEastAsia" w:eastAsiaTheme="minorEastAsia"/>
                <w:b/>
                <w:color w:val="0000FF"/>
                <w:lang w:val="en-US"/>
              </w:rPr>
              <w:t>未</w:t>
            </w:r>
            <w:r>
              <w:rPr>
                <w:rFonts w:asciiTheme="minorEastAsia" w:hAnsiTheme="minorEastAsia" w:eastAsiaTheme="minorEastAsia"/>
                <w:b/>
                <w:color w:val="0000FF"/>
              </w:rPr>
              <w:t>交回的完税证明号码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26" w:hRule="atLeast"/>
        </w:trPr>
        <w:tc>
          <w:tcPr>
            <w:tcW w:w="689" w:type="dxa"/>
            <w:vMerge w:val="restart"/>
            <w:vAlign w:val="center"/>
          </w:tcPr>
          <w:p>
            <w:pPr>
              <w:pStyle w:val="53"/>
              <w:ind w:firstLine="0" w:firstLineChars="0"/>
              <w:rPr>
                <w:rFonts w:hint="default" w:asciiTheme="minorEastAsia" w:hAnsiTheme="minorEastAsia" w:eastAsiaTheme="minorEastAsia"/>
                <w:sz w:val="22"/>
              </w:rPr>
            </w:pPr>
            <w:r>
              <w:rPr>
                <w:rFonts w:asciiTheme="minorEastAsia" w:hAnsiTheme="minorEastAsia" w:eastAsiaTheme="minorEastAsia"/>
                <w:sz w:val="21"/>
              </w:rPr>
              <w:t>退</w:t>
            </w:r>
            <w:r>
              <w:rPr>
                <w:rFonts w:asciiTheme="minorEastAsia" w:hAnsiTheme="minorEastAsia" w:eastAsiaTheme="minorEastAsia"/>
                <w:sz w:val="21"/>
                <w:lang w:val="en-US"/>
              </w:rPr>
              <w:t>退</w:t>
            </w:r>
            <w:r>
              <w:rPr>
                <w:rFonts w:asciiTheme="minorEastAsia" w:hAnsiTheme="minorEastAsia" w:eastAsiaTheme="minorEastAsia"/>
                <w:sz w:val="21"/>
              </w:rPr>
              <w:t>税原因代码</w:t>
            </w:r>
          </w:p>
        </w:tc>
        <w:tc>
          <w:tcPr>
            <w:tcW w:w="3709" w:type="dxa"/>
            <w:gridSpan w:val="5"/>
            <w:vMerge w:val="restart"/>
            <w:vAlign w:val="center"/>
          </w:tcPr>
          <w:p>
            <w:pPr>
              <w:pStyle w:val="53"/>
              <w:spacing w:before="25" w:line="278" w:lineRule="auto"/>
              <w:ind w:right="97" w:firstLine="0" w:firstLineChars="0"/>
              <w:jc w:val="left"/>
              <w:rPr>
                <w:rFonts w:hint="default" w:asciiTheme="minorEastAsia" w:hAnsiTheme="minorEastAsia" w:eastAsiaTheme="minorEastAsia"/>
                <w:sz w:val="21"/>
              </w:rPr>
            </w:pPr>
            <w:r>
              <w:rPr>
                <w:rFonts w:asciiTheme="minorEastAsia" w:hAnsiTheme="minorEastAsia" w:eastAsiaTheme="minorEastAsia"/>
                <w:spacing w:val="-9"/>
                <w:sz w:val="21"/>
              </w:rPr>
              <w:t>A</w:t>
            </w:r>
            <w:r>
              <w:rPr>
                <w:rFonts w:asciiTheme="minorEastAsia" w:hAnsiTheme="minorEastAsia" w:eastAsiaTheme="minorEastAsia"/>
                <w:spacing w:val="-6"/>
                <w:sz w:val="21"/>
              </w:rPr>
              <w:t>.车辆退回生产企业或者经销商：按</w:t>
            </w:r>
            <w:r>
              <w:rPr>
                <w:rFonts w:asciiTheme="minorEastAsia" w:hAnsiTheme="minorEastAsia" w:eastAsiaTheme="minorEastAsia"/>
                <w:spacing w:val="-4"/>
                <w:sz w:val="21"/>
              </w:rPr>
              <w:t xml:space="preserve">照已缴纳税款每满 </w:t>
            </w:r>
            <w:r>
              <w:rPr>
                <w:rFonts w:asciiTheme="minorEastAsia" w:hAnsiTheme="minorEastAsia" w:eastAsiaTheme="minorEastAsia"/>
                <w:sz w:val="21"/>
              </w:rPr>
              <w:t>1</w:t>
            </w:r>
            <w:r>
              <w:rPr>
                <w:rFonts w:asciiTheme="minorEastAsia" w:hAnsiTheme="minorEastAsia" w:eastAsiaTheme="minorEastAsia"/>
                <w:spacing w:val="-4"/>
                <w:sz w:val="21"/>
              </w:rPr>
              <w:t xml:space="preserve"> 年扣减 </w:t>
            </w:r>
            <w:r>
              <w:rPr>
                <w:rFonts w:asciiTheme="minorEastAsia" w:hAnsiTheme="minorEastAsia" w:eastAsiaTheme="minorEastAsia"/>
                <w:sz w:val="21"/>
              </w:rPr>
              <w:t>10</w:t>
            </w:r>
            <w:r>
              <w:rPr>
                <w:rFonts w:asciiTheme="minorEastAsia" w:hAnsiTheme="minorEastAsia" w:eastAsiaTheme="minorEastAsia"/>
                <w:sz w:val="21"/>
                <w:lang w:val="en-US"/>
              </w:rPr>
              <w:t>%计算</w:t>
            </w:r>
            <w:r>
              <w:rPr>
                <w:rFonts w:asciiTheme="minorEastAsia" w:hAnsiTheme="minorEastAsia" w:eastAsiaTheme="minorEastAsia"/>
                <w:spacing w:val="-3"/>
                <w:sz w:val="21"/>
              </w:rPr>
              <w:t xml:space="preserve">退税额；未满 </w:t>
            </w:r>
            <w:r>
              <w:rPr>
                <w:rFonts w:asciiTheme="minorEastAsia" w:hAnsiTheme="minorEastAsia" w:eastAsiaTheme="minorEastAsia"/>
                <w:sz w:val="21"/>
              </w:rPr>
              <w:t>1</w:t>
            </w:r>
            <w:r>
              <w:rPr>
                <w:rFonts w:asciiTheme="minorEastAsia" w:hAnsiTheme="minorEastAsia" w:eastAsiaTheme="minorEastAsia"/>
                <w:spacing w:val="-5"/>
                <w:sz w:val="21"/>
              </w:rPr>
              <w:t xml:space="preserve"> 年的，按已缴纳税款</w:t>
            </w:r>
            <w:r>
              <w:rPr>
                <w:rFonts w:asciiTheme="minorEastAsia" w:hAnsiTheme="minorEastAsia" w:eastAsiaTheme="minorEastAsia"/>
                <w:sz w:val="21"/>
              </w:rPr>
              <w:t>全额退税。</w:t>
            </w:r>
          </w:p>
        </w:tc>
        <w:tc>
          <w:tcPr>
            <w:tcW w:w="2201" w:type="dxa"/>
            <w:gridSpan w:val="4"/>
            <w:vAlign w:val="center"/>
          </w:tcPr>
          <w:p>
            <w:pPr>
              <w:pStyle w:val="53"/>
              <w:ind w:left="104" w:firstLine="0" w:firstLineChars="0"/>
              <w:rPr>
                <w:rFonts w:hint="default" w:asciiTheme="minorEastAsia" w:hAnsiTheme="minorEastAsia" w:eastAsiaTheme="minorEastAsia"/>
                <w:sz w:val="21"/>
              </w:rPr>
            </w:pPr>
            <w:r>
              <w:rPr>
                <w:rFonts w:asciiTheme="minorEastAsia" w:hAnsiTheme="minorEastAsia" w:eastAsiaTheme="minorEastAsia"/>
                <w:sz w:val="21"/>
              </w:rPr>
              <w:t>购车已满年限</w:t>
            </w:r>
          </w:p>
        </w:tc>
        <w:tc>
          <w:tcPr>
            <w:tcW w:w="699" w:type="dxa"/>
            <w:vAlign w:val="center"/>
          </w:tcPr>
          <w:p>
            <w:pPr>
              <w:pStyle w:val="53"/>
              <w:spacing w:before="25"/>
              <w:ind w:firstLine="0" w:firstLineChars="0"/>
              <w:rPr>
                <w:rFonts w:hint="default" w:asciiTheme="minorEastAsia" w:hAnsiTheme="minorEastAsia" w:eastAsiaTheme="minorEastAsia"/>
                <w:sz w:val="21"/>
              </w:rPr>
            </w:pPr>
            <w:r>
              <w:rPr>
                <w:rFonts w:asciiTheme="minorEastAsia" w:hAnsiTheme="minorEastAsia" w:eastAsiaTheme="minorEastAsia"/>
                <w:sz w:val="21"/>
              </w:rPr>
              <w:t>扣减</w:t>
            </w:r>
          </w:p>
          <w:p>
            <w:pPr>
              <w:pStyle w:val="53"/>
              <w:spacing w:before="25"/>
              <w:ind w:firstLine="0" w:firstLineChars="0"/>
              <w:rPr>
                <w:rFonts w:hint="default" w:asciiTheme="minorEastAsia" w:hAnsiTheme="minorEastAsia" w:eastAsiaTheme="minorEastAsia"/>
                <w:sz w:val="21"/>
              </w:rPr>
            </w:pPr>
            <w:r>
              <w:rPr>
                <w:rFonts w:asciiTheme="minorEastAsia" w:hAnsiTheme="minorEastAsia" w:eastAsiaTheme="minorEastAsia"/>
                <w:sz w:val="21"/>
              </w:rPr>
              <w:t>比例</w:t>
            </w:r>
          </w:p>
        </w:tc>
        <w:tc>
          <w:tcPr>
            <w:tcW w:w="1344" w:type="dxa"/>
            <w:vAlign w:val="center"/>
          </w:tcPr>
          <w:p>
            <w:pPr>
              <w:pStyle w:val="53"/>
              <w:tabs>
                <w:tab w:val="left" w:pos="1276"/>
              </w:tabs>
              <w:spacing w:before="25"/>
              <w:ind w:firstLine="0" w:firstLineChars="0"/>
              <w:rPr>
                <w:rFonts w:hint="default" w:asciiTheme="minorEastAsia" w:hAnsiTheme="minorEastAsia" w:eastAsiaTheme="minorEastAsia"/>
                <w:sz w:val="21"/>
              </w:rPr>
            </w:pPr>
            <w:r>
              <w:rPr>
                <w:rFonts w:asciiTheme="minorEastAsia" w:hAnsiTheme="minorEastAsia" w:eastAsiaTheme="minorEastAsia"/>
                <w:spacing w:val="4"/>
                <w:sz w:val="21"/>
              </w:rPr>
              <w:t>红</w:t>
            </w:r>
            <w:r>
              <w:rPr>
                <w:rFonts w:asciiTheme="minorEastAsia" w:hAnsiTheme="minorEastAsia" w:eastAsiaTheme="minorEastAsia"/>
                <w:sz w:val="21"/>
              </w:rPr>
              <w:t>字发票号码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13"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3709" w:type="dxa"/>
            <w:gridSpan w:val="5"/>
            <w:vMerge w:val="continue"/>
            <w:tcBorders>
              <w:top w:val="nil"/>
            </w:tcBorders>
            <w:vAlign w:val="center"/>
          </w:tcPr>
          <w:p>
            <w:pPr>
              <w:ind w:firstLine="0" w:firstLineChars="0"/>
              <w:rPr>
                <w:rFonts w:hint="default" w:asciiTheme="minorEastAsia" w:hAnsiTheme="minorEastAsia" w:eastAsiaTheme="minorEastAsia"/>
                <w:sz w:val="2"/>
                <w:szCs w:val="2"/>
              </w:rPr>
            </w:pPr>
          </w:p>
        </w:tc>
        <w:tc>
          <w:tcPr>
            <w:tcW w:w="2201" w:type="dxa"/>
            <w:gridSpan w:val="4"/>
            <w:vAlign w:val="center"/>
          </w:tcPr>
          <w:p>
            <w:pPr>
              <w:pStyle w:val="53"/>
              <w:ind w:firstLine="0" w:firstLineChars="0"/>
              <w:rPr>
                <w:rFonts w:hint="default" w:asciiTheme="minorEastAsia" w:hAnsiTheme="minorEastAsia" w:eastAsiaTheme="minorEastAsia"/>
                <w:sz w:val="22"/>
              </w:rPr>
            </w:pPr>
          </w:p>
        </w:tc>
        <w:tc>
          <w:tcPr>
            <w:tcW w:w="699" w:type="dxa"/>
            <w:vAlign w:val="center"/>
          </w:tcPr>
          <w:p>
            <w:pPr>
              <w:pStyle w:val="53"/>
              <w:ind w:firstLine="0" w:firstLineChars="0"/>
              <w:rPr>
                <w:rFonts w:hint="default" w:asciiTheme="minorEastAsia" w:hAnsiTheme="minorEastAsia" w:eastAsiaTheme="minorEastAsia"/>
                <w:sz w:val="22"/>
              </w:rPr>
            </w:pPr>
          </w:p>
        </w:tc>
        <w:tc>
          <w:tcPr>
            <w:tcW w:w="1344" w:type="dxa"/>
            <w:vAlign w:val="center"/>
          </w:tcPr>
          <w:p>
            <w:pPr>
              <w:pStyle w:val="53"/>
              <w:ind w:firstLine="0" w:firstLineChars="0"/>
              <w:rPr>
                <w:rFonts w:hint="default" w:asciiTheme="minorEastAsia" w:hAnsiTheme="minorEastAsia" w:eastAsiaTheme="minorEastAsia"/>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936"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3709" w:type="dxa"/>
            <w:gridSpan w:val="5"/>
            <w:vAlign w:val="center"/>
          </w:tcPr>
          <w:p>
            <w:pPr>
              <w:pStyle w:val="53"/>
              <w:spacing w:before="23"/>
              <w:ind w:firstLine="0" w:firstLineChars="0"/>
              <w:rPr>
                <w:rFonts w:hint="default" w:asciiTheme="minorEastAsia" w:hAnsiTheme="minorEastAsia" w:eastAsiaTheme="minorEastAsia"/>
                <w:sz w:val="21"/>
              </w:rPr>
            </w:pPr>
            <w:r>
              <w:rPr>
                <w:rFonts w:asciiTheme="minorEastAsia" w:hAnsiTheme="minorEastAsia" w:eastAsiaTheme="minorEastAsia"/>
                <w:sz w:val="21"/>
              </w:rPr>
              <w:t>B.符合免税条件的设有固定装置的非运输车辆但已缴纳税款：按照已缴纳税款全额填写申请退税额。</w:t>
            </w:r>
          </w:p>
        </w:tc>
        <w:tc>
          <w:tcPr>
            <w:tcW w:w="4244" w:type="dxa"/>
            <w:gridSpan w:val="6"/>
            <w:vAlign w:val="center"/>
          </w:tcPr>
          <w:p>
            <w:pPr>
              <w:pStyle w:val="53"/>
              <w:ind w:firstLine="0" w:firstLineChars="0"/>
              <w:rPr>
                <w:rFonts w:hint="default" w:asciiTheme="minorEastAsia" w:hAnsiTheme="minorEastAsia" w:eastAsiaTheme="minorEastAsia"/>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311"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restart"/>
            <w:vAlign w:val="center"/>
          </w:tcPr>
          <w:p>
            <w:pPr>
              <w:pStyle w:val="53"/>
              <w:spacing w:line="278" w:lineRule="auto"/>
              <w:ind w:right="32" w:firstLine="0" w:firstLineChars="0"/>
              <w:rPr>
                <w:rFonts w:hint="default" w:asciiTheme="minorEastAsia" w:hAnsiTheme="minorEastAsia" w:eastAsiaTheme="minorEastAsia"/>
                <w:sz w:val="21"/>
              </w:rPr>
            </w:pPr>
            <w:r>
              <w:rPr>
                <w:rFonts w:asciiTheme="minorEastAsia" w:hAnsiTheme="minorEastAsia" w:eastAsiaTheme="minorEastAsia"/>
                <w:sz w:val="21"/>
              </w:rPr>
              <w:t>其他原因退税</w:t>
            </w:r>
          </w:p>
        </w:tc>
        <w:tc>
          <w:tcPr>
            <w:tcW w:w="3008" w:type="dxa"/>
            <w:gridSpan w:val="4"/>
            <w:vMerge w:val="restart"/>
            <w:vAlign w:val="center"/>
          </w:tcPr>
          <w:p>
            <w:pPr>
              <w:pStyle w:val="53"/>
              <w:spacing w:before="22"/>
              <w:ind w:firstLine="0" w:firstLineChars="0"/>
              <w:rPr>
                <w:rFonts w:hint="default" w:asciiTheme="minorEastAsia" w:hAnsiTheme="minorEastAsia" w:eastAsiaTheme="minorEastAsia"/>
                <w:sz w:val="21"/>
              </w:rPr>
            </w:pPr>
            <w:r>
              <w:rPr>
                <w:rFonts w:asciiTheme="minorEastAsia" w:hAnsiTheme="minorEastAsia" w:eastAsiaTheme="minorEastAsia"/>
                <w:sz w:val="21"/>
              </w:rPr>
              <w:t>C.计税价格错误：按照新申报的计税价格重新计算应退税额。</w:t>
            </w:r>
          </w:p>
        </w:tc>
        <w:tc>
          <w:tcPr>
            <w:tcW w:w="2201" w:type="dxa"/>
            <w:gridSpan w:val="4"/>
            <w:vAlign w:val="center"/>
          </w:tcPr>
          <w:p>
            <w:pPr>
              <w:pStyle w:val="53"/>
              <w:spacing w:before="22"/>
              <w:ind w:left="104" w:firstLine="0" w:firstLineChars="0"/>
              <w:rPr>
                <w:rFonts w:hint="default" w:asciiTheme="minorEastAsia" w:hAnsiTheme="minorEastAsia" w:eastAsiaTheme="minorEastAsia"/>
                <w:sz w:val="21"/>
              </w:rPr>
            </w:pPr>
            <w:r>
              <w:rPr>
                <w:rFonts w:asciiTheme="minorEastAsia" w:hAnsiTheme="minorEastAsia" w:eastAsiaTheme="minorEastAsia"/>
                <w:sz w:val="21"/>
              </w:rPr>
              <w:t>原申报计税价格</w:t>
            </w:r>
          </w:p>
        </w:tc>
        <w:tc>
          <w:tcPr>
            <w:tcW w:w="2043" w:type="dxa"/>
            <w:gridSpan w:val="2"/>
            <w:vAlign w:val="center"/>
          </w:tcPr>
          <w:p>
            <w:pPr>
              <w:pStyle w:val="53"/>
              <w:spacing w:before="22"/>
              <w:ind w:firstLine="0" w:firstLineChars="0"/>
              <w:rPr>
                <w:rFonts w:hint="default" w:asciiTheme="minorEastAsia" w:hAnsiTheme="minorEastAsia" w:eastAsiaTheme="minorEastAsia"/>
                <w:sz w:val="21"/>
              </w:rPr>
            </w:pPr>
            <w:r>
              <w:rPr>
                <w:rFonts w:asciiTheme="minorEastAsia" w:hAnsiTheme="minorEastAsia" w:eastAsiaTheme="minorEastAsia"/>
                <w:sz w:val="21"/>
              </w:rPr>
              <w:t>现申报计税价格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613"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continue"/>
            <w:vAlign w:val="center"/>
          </w:tcPr>
          <w:p>
            <w:pPr>
              <w:ind w:firstLine="0" w:firstLineChars="0"/>
              <w:rPr>
                <w:rFonts w:hint="default" w:asciiTheme="minorEastAsia" w:hAnsiTheme="minorEastAsia" w:eastAsiaTheme="minorEastAsia"/>
                <w:sz w:val="2"/>
                <w:szCs w:val="2"/>
              </w:rPr>
            </w:pPr>
          </w:p>
        </w:tc>
        <w:tc>
          <w:tcPr>
            <w:tcW w:w="3008" w:type="dxa"/>
            <w:gridSpan w:val="4"/>
            <w:vMerge w:val="continue"/>
            <w:tcBorders>
              <w:top w:val="nil"/>
            </w:tcBorders>
            <w:vAlign w:val="center"/>
          </w:tcPr>
          <w:p>
            <w:pPr>
              <w:ind w:firstLine="0" w:firstLineChars="0"/>
              <w:rPr>
                <w:rFonts w:hint="default" w:asciiTheme="minorEastAsia" w:hAnsiTheme="minorEastAsia" w:eastAsiaTheme="minorEastAsia"/>
                <w:sz w:val="2"/>
                <w:szCs w:val="2"/>
              </w:rPr>
            </w:pPr>
          </w:p>
        </w:tc>
        <w:tc>
          <w:tcPr>
            <w:tcW w:w="2201" w:type="dxa"/>
            <w:gridSpan w:val="4"/>
            <w:vAlign w:val="center"/>
          </w:tcPr>
          <w:p>
            <w:pPr>
              <w:pStyle w:val="53"/>
              <w:ind w:firstLine="0" w:firstLineChars="0"/>
              <w:rPr>
                <w:rFonts w:hint="default" w:asciiTheme="minorEastAsia" w:hAnsiTheme="minorEastAsia" w:eastAsiaTheme="minorEastAsia"/>
                <w:sz w:val="22"/>
              </w:rPr>
            </w:pPr>
          </w:p>
        </w:tc>
        <w:tc>
          <w:tcPr>
            <w:tcW w:w="2043" w:type="dxa"/>
            <w:gridSpan w:val="2"/>
            <w:vAlign w:val="center"/>
          </w:tcPr>
          <w:p>
            <w:pPr>
              <w:pStyle w:val="53"/>
              <w:ind w:firstLine="0" w:firstLineChars="0"/>
              <w:rPr>
                <w:rFonts w:hint="default" w:asciiTheme="minorEastAsia" w:hAnsiTheme="minorEastAsia" w:eastAsiaTheme="minorEastAsia"/>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316"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continue"/>
            <w:vAlign w:val="center"/>
          </w:tcPr>
          <w:p>
            <w:pPr>
              <w:ind w:firstLine="0" w:firstLineChars="0"/>
              <w:rPr>
                <w:rFonts w:hint="default" w:asciiTheme="minorEastAsia" w:hAnsiTheme="minorEastAsia" w:eastAsiaTheme="minorEastAsia"/>
                <w:sz w:val="2"/>
                <w:szCs w:val="2"/>
              </w:rPr>
            </w:pPr>
          </w:p>
        </w:tc>
        <w:tc>
          <w:tcPr>
            <w:tcW w:w="3008" w:type="dxa"/>
            <w:gridSpan w:val="4"/>
            <w:vAlign w:val="center"/>
          </w:tcPr>
          <w:p>
            <w:pPr>
              <w:pStyle w:val="53"/>
              <w:spacing w:before="25"/>
              <w:ind w:right="-15" w:firstLine="0" w:firstLineChars="0"/>
              <w:rPr>
                <w:rFonts w:hint="default" w:asciiTheme="minorEastAsia" w:hAnsiTheme="minorEastAsia" w:eastAsiaTheme="minorEastAsia"/>
                <w:sz w:val="21"/>
              </w:rPr>
            </w:pPr>
            <w:r>
              <w:rPr>
                <w:rFonts w:asciiTheme="minorEastAsia" w:hAnsiTheme="minorEastAsia" w:eastAsiaTheme="minorEastAsia"/>
                <w:sz w:val="21"/>
              </w:rPr>
              <w:t>D.</w:t>
            </w:r>
            <w:r>
              <w:rPr>
                <w:rFonts w:asciiTheme="minorEastAsia" w:hAnsiTheme="minorEastAsia" w:eastAsiaTheme="minorEastAsia"/>
                <w:spacing w:val="-3"/>
                <w:sz w:val="21"/>
              </w:rPr>
              <w:t>厂牌型号或配置选择错误：</w:t>
            </w:r>
            <w:r>
              <w:rPr>
                <w:rFonts w:asciiTheme="minorEastAsia" w:hAnsiTheme="minorEastAsia" w:eastAsiaTheme="minorEastAsia"/>
                <w:sz w:val="21"/>
              </w:rPr>
              <w:t>按照新的车辆型号或配置重新计算应退税额。</w:t>
            </w:r>
          </w:p>
        </w:tc>
        <w:tc>
          <w:tcPr>
            <w:tcW w:w="2201" w:type="dxa"/>
            <w:gridSpan w:val="4"/>
            <w:vAlign w:val="center"/>
          </w:tcPr>
          <w:p>
            <w:pPr>
              <w:pStyle w:val="53"/>
              <w:spacing w:before="25"/>
              <w:ind w:left="104" w:firstLine="0" w:firstLineChars="0"/>
              <w:rPr>
                <w:rFonts w:hint="default" w:asciiTheme="minorEastAsia" w:hAnsiTheme="minorEastAsia" w:eastAsiaTheme="minorEastAsia"/>
                <w:sz w:val="21"/>
              </w:rPr>
            </w:pPr>
            <w:r>
              <w:rPr>
                <w:rFonts w:asciiTheme="minorEastAsia" w:hAnsiTheme="minorEastAsia" w:eastAsiaTheme="minorEastAsia"/>
                <w:sz w:val="21"/>
              </w:rPr>
              <w:t>原选型号或配置</w:t>
            </w:r>
          </w:p>
        </w:tc>
        <w:tc>
          <w:tcPr>
            <w:tcW w:w="2043" w:type="dxa"/>
            <w:gridSpan w:val="2"/>
            <w:vAlign w:val="center"/>
          </w:tcPr>
          <w:p>
            <w:pPr>
              <w:pStyle w:val="53"/>
              <w:spacing w:before="25"/>
              <w:ind w:left="101" w:firstLine="0" w:firstLineChars="0"/>
              <w:rPr>
                <w:rFonts w:hint="default" w:asciiTheme="minorEastAsia" w:hAnsiTheme="minorEastAsia" w:eastAsiaTheme="minorEastAsia"/>
                <w:sz w:val="21"/>
              </w:rPr>
            </w:pPr>
            <w:r>
              <w:rPr>
                <w:rFonts w:asciiTheme="minorEastAsia" w:hAnsiTheme="minorEastAsia" w:eastAsiaTheme="minorEastAsia"/>
                <w:sz w:val="21"/>
              </w:rPr>
              <w:t>现选型号或配置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continue"/>
            <w:vAlign w:val="center"/>
          </w:tcPr>
          <w:p>
            <w:pPr>
              <w:ind w:firstLine="0" w:firstLineChars="0"/>
              <w:rPr>
                <w:rFonts w:hint="default" w:asciiTheme="minorEastAsia" w:hAnsiTheme="minorEastAsia" w:eastAsiaTheme="minorEastAsia"/>
                <w:sz w:val="2"/>
                <w:szCs w:val="2"/>
              </w:rPr>
            </w:pPr>
          </w:p>
        </w:tc>
        <w:tc>
          <w:tcPr>
            <w:tcW w:w="3008" w:type="dxa"/>
            <w:gridSpan w:val="4"/>
            <w:vAlign w:val="center"/>
          </w:tcPr>
          <w:p>
            <w:pPr>
              <w:pStyle w:val="53"/>
              <w:spacing w:before="22"/>
              <w:ind w:right="-15" w:firstLine="0" w:firstLineChars="0"/>
              <w:rPr>
                <w:rFonts w:hint="default" w:asciiTheme="minorEastAsia" w:hAnsiTheme="minorEastAsia" w:eastAsiaTheme="minorEastAsia"/>
                <w:spacing w:val="-3"/>
                <w:sz w:val="21"/>
              </w:rPr>
            </w:pPr>
            <w:r>
              <w:rPr>
                <w:rFonts w:asciiTheme="minorEastAsia" w:hAnsiTheme="minorEastAsia" w:eastAsiaTheme="minorEastAsia"/>
                <w:sz w:val="21"/>
              </w:rPr>
              <w:t>E.</w:t>
            </w:r>
            <w:r>
              <w:rPr>
                <w:rFonts w:asciiTheme="minorEastAsia" w:hAnsiTheme="minorEastAsia" w:eastAsiaTheme="minorEastAsia"/>
                <w:spacing w:val="-3"/>
                <w:sz w:val="21"/>
              </w:rPr>
              <w:t>重复缴税退税：全额退税。</w:t>
            </w:r>
          </w:p>
        </w:tc>
        <w:tc>
          <w:tcPr>
            <w:tcW w:w="4254" w:type="dxa"/>
            <w:gridSpan w:val="7"/>
            <w:vAlign w:val="center"/>
          </w:tcPr>
          <w:p>
            <w:pPr>
              <w:pStyle w:val="53"/>
              <w:spacing w:before="1"/>
              <w:ind w:firstLine="0" w:firstLineChars="0"/>
              <w:jc w:val="center"/>
              <w:rPr>
                <w:rFonts w:hint="default" w:asciiTheme="minorEastAsia" w:hAnsiTheme="minorEastAsia" w:eastAsiaTheme="minorEastAsia"/>
                <w:sz w:val="13"/>
              </w:rPr>
            </w:pPr>
          </w:p>
          <w:p>
            <w:pPr>
              <w:pStyle w:val="53"/>
              <w:spacing w:line="20" w:lineRule="exact"/>
              <w:ind w:left="826" w:firstLine="0" w:firstLineChars="0"/>
              <w:jc w:val="center"/>
              <w:rPr>
                <w:rFonts w:hint="default" w:asciiTheme="minorEastAsia" w:hAnsiTheme="minorEastAsia" w:eastAsiaTheme="minorEastAsia"/>
                <w:sz w:val="2"/>
              </w:rPr>
            </w:pPr>
            <w:r>
              <w:rPr>
                <w:rFonts w:hint="default" w:asciiTheme="minorEastAsia" w:hAnsiTheme="minorEastAsia" w:eastAsiaTheme="minorEastAsia"/>
                <w:sz w:val="2"/>
              </w:rPr>
              <w:pict>
                <v:group id="_x0000_s1054" o:spid="_x0000_s1054" o:spt="203" style="height:0.75pt;width:78.75pt;" coordsize="15,152032">
                  <o:lock v:ext="edit"/>
                  <v:line id="_x0000_s1055" o:spid="_x0000_s1055" o:spt="20" style="position:absolute;left:0;top:0;height:0;width:15;" coordsize="21600,21600" o:gfxdata="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ChGK8AAAA&#10;2wAAAA8AAAAAAAAAAQAgAAAAIgAAAGRycy9kb3ducmV2LnhtbFBLAQIUABQAAAAIAIdO4kAzLwWe&#10;OwAAADkAAAAQAAAAAAAAAAEAIAAAAAsBAABkcnMvc2hhcGV4bWwueG1sUEsFBgAAAAAGAAYAWwEA&#10;ALUDAAAAAA==&#10;">
                    <v:path arrowok="t"/>
                    <v:fill focussize="0,0"/>
                    <v:stroke/>
                    <v:imagedata o:title=""/>
                    <o:lock v:ext="edit"/>
                  </v:line>
                  <w10:wrap type="none"/>
                  <w10:anchorlock/>
                </v:group>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continue"/>
            <w:vAlign w:val="center"/>
          </w:tcPr>
          <w:p>
            <w:pPr>
              <w:ind w:firstLine="0" w:firstLineChars="0"/>
              <w:rPr>
                <w:rFonts w:hint="default" w:asciiTheme="minorEastAsia" w:hAnsiTheme="minorEastAsia" w:eastAsiaTheme="minorEastAsia"/>
                <w:sz w:val="2"/>
                <w:szCs w:val="2"/>
              </w:rPr>
            </w:pPr>
          </w:p>
        </w:tc>
        <w:tc>
          <w:tcPr>
            <w:tcW w:w="3008" w:type="dxa"/>
            <w:gridSpan w:val="4"/>
            <w:vMerge w:val="restart"/>
            <w:vAlign w:val="center"/>
          </w:tcPr>
          <w:p>
            <w:pPr>
              <w:pStyle w:val="53"/>
              <w:spacing w:before="22"/>
              <w:ind w:firstLine="0" w:firstLineChars="0"/>
              <w:rPr>
                <w:rFonts w:hint="default" w:asciiTheme="minorEastAsia" w:hAnsiTheme="minorEastAsia" w:eastAsiaTheme="minorEastAsia"/>
                <w:sz w:val="21"/>
              </w:rPr>
            </w:pPr>
            <w:r>
              <w:rPr>
                <w:rFonts w:asciiTheme="minorEastAsia" w:hAnsiTheme="minorEastAsia" w:eastAsiaTheme="minorEastAsia"/>
                <w:sz w:val="21"/>
                <w:lang w:val="en-US"/>
              </w:rPr>
              <w:t>F.税率</w:t>
            </w:r>
            <w:r>
              <w:rPr>
                <w:rFonts w:asciiTheme="minorEastAsia" w:hAnsiTheme="minorEastAsia" w:eastAsiaTheme="minorEastAsia"/>
                <w:sz w:val="21"/>
              </w:rPr>
              <w:t>选择错误：重新按照正确税率（5%或 7.5%）计算应退税额。</w:t>
            </w:r>
          </w:p>
        </w:tc>
        <w:tc>
          <w:tcPr>
            <w:tcW w:w="2201" w:type="dxa"/>
            <w:gridSpan w:val="4"/>
            <w:vAlign w:val="center"/>
          </w:tcPr>
          <w:p>
            <w:pPr>
              <w:pStyle w:val="53"/>
              <w:spacing w:before="25"/>
              <w:ind w:left="104" w:firstLine="0" w:firstLineChars="0"/>
              <w:rPr>
                <w:rFonts w:hint="default" w:asciiTheme="minorEastAsia" w:hAnsiTheme="minorEastAsia" w:eastAsiaTheme="minorEastAsia"/>
                <w:sz w:val="21"/>
              </w:rPr>
            </w:pPr>
            <w:r>
              <w:rPr>
                <w:rFonts w:asciiTheme="minorEastAsia" w:hAnsiTheme="minorEastAsia" w:eastAsiaTheme="minorEastAsia"/>
                <w:sz w:val="21"/>
              </w:rPr>
              <w:t>原申报适用税率</w:t>
            </w:r>
          </w:p>
        </w:tc>
        <w:tc>
          <w:tcPr>
            <w:tcW w:w="2053" w:type="dxa"/>
            <w:gridSpan w:val="3"/>
            <w:vAlign w:val="center"/>
          </w:tcPr>
          <w:p>
            <w:pPr>
              <w:pStyle w:val="53"/>
              <w:spacing w:before="25"/>
              <w:ind w:left="103" w:firstLine="0" w:firstLineChars="0"/>
              <w:rPr>
                <w:rFonts w:hint="default" w:asciiTheme="minorEastAsia" w:hAnsiTheme="minorEastAsia" w:eastAsiaTheme="minorEastAsia"/>
                <w:sz w:val="21"/>
              </w:rPr>
            </w:pPr>
            <w:r>
              <w:rPr>
                <w:rFonts w:asciiTheme="minorEastAsia" w:hAnsiTheme="minorEastAsia" w:eastAsiaTheme="minorEastAsia"/>
                <w:sz w:val="21"/>
              </w:rPr>
              <w:t>现申报适用税率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continue"/>
            <w:vAlign w:val="center"/>
          </w:tcPr>
          <w:p>
            <w:pPr>
              <w:ind w:firstLine="0" w:firstLineChars="0"/>
              <w:rPr>
                <w:rFonts w:hint="default" w:asciiTheme="minorEastAsia" w:hAnsiTheme="minorEastAsia" w:eastAsiaTheme="minorEastAsia"/>
                <w:sz w:val="2"/>
                <w:szCs w:val="2"/>
              </w:rPr>
            </w:pPr>
          </w:p>
        </w:tc>
        <w:tc>
          <w:tcPr>
            <w:tcW w:w="3008" w:type="dxa"/>
            <w:gridSpan w:val="4"/>
            <w:vMerge w:val="continue"/>
            <w:tcBorders>
              <w:top w:val="nil"/>
            </w:tcBorders>
            <w:vAlign w:val="center"/>
          </w:tcPr>
          <w:p>
            <w:pPr>
              <w:ind w:firstLine="0" w:firstLineChars="0"/>
              <w:rPr>
                <w:rFonts w:hint="default" w:asciiTheme="minorEastAsia" w:hAnsiTheme="minorEastAsia" w:eastAsiaTheme="minorEastAsia"/>
                <w:sz w:val="2"/>
                <w:szCs w:val="2"/>
              </w:rPr>
            </w:pPr>
          </w:p>
        </w:tc>
        <w:tc>
          <w:tcPr>
            <w:tcW w:w="2201" w:type="dxa"/>
            <w:gridSpan w:val="4"/>
            <w:vAlign w:val="center"/>
          </w:tcPr>
          <w:p>
            <w:pPr>
              <w:pStyle w:val="53"/>
              <w:ind w:firstLine="0" w:firstLineChars="0"/>
              <w:rPr>
                <w:rFonts w:hint="default" w:asciiTheme="minorEastAsia" w:hAnsiTheme="minorEastAsia" w:eastAsiaTheme="minorEastAsia"/>
                <w:sz w:val="20"/>
              </w:rPr>
            </w:pPr>
          </w:p>
        </w:tc>
        <w:tc>
          <w:tcPr>
            <w:tcW w:w="2053" w:type="dxa"/>
            <w:gridSpan w:val="3"/>
            <w:vAlign w:val="center"/>
          </w:tcPr>
          <w:p>
            <w:pPr>
              <w:pStyle w:val="53"/>
              <w:ind w:firstLine="0" w:firstLineChars="0"/>
              <w:rPr>
                <w:rFonts w:hint="default" w:asciiTheme="minorEastAsia" w:hAnsiTheme="minorEastAsia" w:eastAsiaTheme="minorEastAsia"/>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continue"/>
            <w:vAlign w:val="center"/>
          </w:tcPr>
          <w:p>
            <w:pPr>
              <w:ind w:firstLine="0" w:firstLineChars="0"/>
              <w:rPr>
                <w:rFonts w:hint="default" w:asciiTheme="minorEastAsia" w:hAnsiTheme="minorEastAsia" w:eastAsiaTheme="minorEastAsia"/>
                <w:sz w:val="2"/>
                <w:szCs w:val="2"/>
              </w:rPr>
            </w:pPr>
          </w:p>
        </w:tc>
        <w:tc>
          <w:tcPr>
            <w:tcW w:w="3008" w:type="dxa"/>
            <w:gridSpan w:val="4"/>
            <w:vAlign w:val="center"/>
          </w:tcPr>
          <w:p>
            <w:pPr>
              <w:pStyle w:val="53"/>
              <w:spacing w:before="25"/>
              <w:ind w:firstLine="0" w:firstLineChars="0"/>
              <w:rPr>
                <w:rFonts w:hint="default" w:asciiTheme="minorEastAsia" w:hAnsiTheme="minorEastAsia" w:eastAsiaTheme="minorEastAsia"/>
                <w:sz w:val="21"/>
              </w:rPr>
            </w:pPr>
            <w:r>
              <w:rPr>
                <w:rFonts w:asciiTheme="minorEastAsia" w:hAnsiTheme="minorEastAsia" w:eastAsiaTheme="minorEastAsia"/>
                <w:sz w:val="21"/>
              </w:rPr>
              <w:t>G.误收退税：按照误收税额申请退税。</w:t>
            </w:r>
          </w:p>
        </w:tc>
        <w:tc>
          <w:tcPr>
            <w:tcW w:w="4254" w:type="dxa"/>
            <w:gridSpan w:val="7"/>
            <w:vAlign w:val="center"/>
          </w:tcPr>
          <w:p>
            <w:pPr>
              <w:pStyle w:val="53"/>
              <w:spacing w:before="2"/>
              <w:ind w:firstLine="0" w:firstLineChars="0"/>
              <w:jc w:val="center"/>
              <w:rPr>
                <w:rFonts w:hint="default" w:asciiTheme="minorEastAsia" w:hAnsiTheme="minorEastAsia" w:eastAsiaTheme="minorEastAsia"/>
                <w:sz w:val="13"/>
                <w:lang w:val="en-US"/>
              </w:rPr>
            </w:pPr>
          </w:p>
          <w:p>
            <w:pPr>
              <w:pStyle w:val="53"/>
              <w:spacing w:line="20" w:lineRule="exact"/>
              <w:ind w:left="826" w:firstLine="0" w:firstLineChars="0"/>
              <w:rPr>
                <w:rFonts w:hint="default" w:asciiTheme="minorEastAsia" w:hAnsiTheme="minorEastAsia" w:eastAsiaTheme="minorEastAsia"/>
                <w:sz w:val="2"/>
                <w:lang w:val="en-US"/>
              </w:rPr>
            </w:pPr>
            <w:r>
              <w:rPr>
                <w:rFonts w:hint="default" w:asciiTheme="minorEastAsia" w:hAnsiTheme="minorEastAsia" w:eastAsiaTheme="minorEastAsia"/>
                <w:sz w:val="2"/>
              </w:rPr>
              <w:pict>
                <v:group id="_x0000_s1052" o:spid="_x0000_s1052" o:spt="203" style="height:0.75pt;width:78.75pt;" coordsize="15,152032">
                  <o:lock v:ext="edit"/>
                  <v:line id="_x0000_s1053" o:spid="_x0000_s1053" o:spt="20" style="position:absolute;left:0;top:0;height:0;width:15;" coordsize="21600,21600" o:gfxdata="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cv468AAAA&#10;2wAAAA8AAAAAAAAAAQAgAAAAIgAAAGRycy9kb3ducmV2LnhtbFBLAQIUABQAAAAIAIdO4kAzLwWe&#10;OwAAADkAAAAQAAAAAAAAAAEAIAAAAAsBAABkcnMvc2hhcGV4bWwueG1sUEsFBgAAAAAGAAYAWwEA&#10;ALUDAAAAAA==&#10;">
                    <v:path arrowok="t"/>
                    <v:fill focussize="0,0"/>
                    <v:stroke/>
                    <v:imagedata o:title=""/>
                    <o:lock v:ext="edit"/>
                  </v:line>
                  <w10:wrap type="none"/>
                  <w10:anchorlock/>
                </v:group>
              </w:pict>
            </w:r>
            <w:r>
              <w:rPr>
                <w:rFonts w:asciiTheme="minorEastAsia" w:hAnsiTheme="minorEastAsia" w:eastAsiaTheme="minorEastAsia"/>
                <w:sz w:val="2"/>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89" w:type="dxa"/>
            <w:vMerge w:val="continue"/>
            <w:vAlign w:val="center"/>
          </w:tcPr>
          <w:p>
            <w:pPr>
              <w:ind w:firstLine="0" w:firstLineChars="0"/>
              <w:rPr>
                <w:rFonts w:hint="default" w:asciiTheme="minorEastAsia" w:hAnsiTheme="minorEastAsia" w:eastAsiaTheme="minorEastAsia"/>
                <w:sz w:val="2"/>
                <w:szCs w:val="2"/>
              </w:rPr>
            </w:pPr>
          </w:p>
        </w:tc>
        <w:tc>
          <w:tcPr>
            <w:tcW w:w="701" w:type="dxa"/>
            <w:vMerge w:val="continue"/>
            <w:vAlign w:val="center"/>
          </w:tcPr>
          <w:p>
            <w:pPr>
              <w:ind w:firstLine="0" w:firstLineChars="0"/>
              <w:rPr>
                <w:rFonts w:hint="default" w:asciiTheme="minorEastAsia" w:hAnsiTheme="minorEastAsia" w:eastAsiaTheme="minorEastAsia"/>
                <w:sz w:val="2"/>
                <w:szCs w:val="2"/>
              </w:rPr>
            </w:pPr>
          </w:p>
        </w:tc>
        <w:tc>
          <w:tcPr>
            <w:tcW w:w="3008" w:type="dxa"/>
            <w:gridSpan w:val="4"/>
            <w:vAlign w:val="center"/>
          </w:tcPr>
          <w:p>
            <w:pPr>
              <w:pStyle w:val="53"/>
              <w:spacing w:before="22"/>
              <w:ind w:firstLine="0" w:firstLineChars="0"/>
              <w:rPr>
                <w:rFonts w:hint="default" w:asciiTheme="minorEastAsia" w:hAnsiTheme="minorEastAsia" w:eastAsiaTheme="minorEastAsia"/>
                <w:sz w:val="21"/>
              </w:rPr>
            </w:pPr>
            <w:r>
              <w:rPr>
                <w:rFonts w:asciiTheme="minorEastAsia" w:hAnsiTheme="minorEastAsia" w:eastAsiaTheme="minorEastAsia"/>
                <w:sz w:val="21"/>
              </w:rPr>
              <w:t>H.其他。</w:t>
            </w:r>
          </w:p>
        </w:tc>
        <w:tc>
          <w:tcPr>
            <w:tcW w:w="4254" w:type="dxa"/>
            <w:gridSpan w:val="7"/>
            <w:vAlign w:val="center"/>
          </w:tcPr>
          <w:p>
            <w:pPr>
              <w:pStyle w:val="53"/>
              <w:ind w:firstLine="0" w:firstLineChars="0"/>
              <w:rPr>
                <w:rFonts w:hint="default" w:asciiTheme="minorEastAsia" w:hAnsiTheme="minorEastAsia" w:eastAsiaTheme="minorEastAsia"/>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645" w:type="dxa"/>
            <w:gridSpan w:val="3"/>
            <w:vAlign w:val="center"/>
          </w:tcPr>
          <w:p>
            <w:pPr>
              <w:pStyle w:val="53"/>
              <w:spacing w:before="92"/>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申请退税额</w:t>
            </w:r>
          </w:p>
        </w:tc>
        <w:tc>
          <w:tcPr>
            <w:tcW w:w="2753" w:type="dxa"/>
            <w:gridSpan w:val="3"/>
            <w:vAlign w:val="center"/>
          </w:tcPr>
          <w:p>
            <w:pPr>
              <w:pStyle w:val="53"/>
              <w:ind w:firstLine="0" w:firstLineChars="0"/>
              <w:jc w:val="center"/>
              <w:rPr>
                <w:rFonts w:hint="default" w:asciiTheme="minorEastAsia" w:hAnsiTheme="minorEastAsia" w:eastAsiaTheme="minorEastAsia"/>
                <w:sz w:val="20"/>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XXX.XX</w:t>
            </w:r>
          </w:p>
        </w:tc>
        <w:tc>
          <w:tcPr>
            <w:tcW w:w="2070" w:type="dxa"/>
            <w:gridSpan w:val="3"/>
            <w:vAlign w:val="center"/>
          </w:tcPr>
          <w:p>
            <w:pPr>
              <w:pStyle w:val="53"/>
              <w:spacing w:before="92"/>
              <w:ind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实际退税额</w:t>
            </w:r>
          </w:p>
        </w:tc>
        <w:tc>
          <w:tcPr>
            <w:tcW w:w="2184" w:type="dxa"/>
            <w:gridSpan w:val="4"/>
            <w:vAlign w:val="center"/>
          </w:tcPr>
          <w:p>
            <w:pPr>
              <w:pStyle w:val="53"/>
              <w:ind w:firstLine="0" w:firstLineChars="0"/>
              <w:jc w:val="center"/>
              <w:rPr>
                <w:rFonts w:hint="default" w:asciiTheme="minorEastAsia" w:hAnsiTheme="minorEastAsia" w:eastAsiaTheme="minorEastAsia"/>
                <w:sz w:val="20"/>
              </w:rPr>
            </w:pPr>
            <w:r>
              <w:rPr>
                <w:rFonts w:asciiTheme="minorEastAsia" w:hAnsiTheme="minorEastAsia" w:eastAsiaTheme="minorEastAsia"/>
                <w:b/>
                <w:bCs/>
                <w:color w:val="0000FF"/>
              </w:rPr>
              <w:t>X</w:t>
            </w:r>
            <w:r>
              <w:rPr>
                <w:rFonts w:hint="default" w:asciiTheme="minorEastAsia" w:hAnsiTheme="minorEastAsia" w:eastAsiaTheme="minorEastAsia"/>
                <w:b/>
                <w:bCs/>
                <w:color w:val="0000FF"/>
              </w:rPr>
              <w:t>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8652" w:type="dxa"/>
            <w:gridSpan w:val="13"/>
            <w:vAlign w:val="center"/>
          </w:tcPr>
          <w:p>
            <w:pPr>
              <w:pStyle w:val="53"/>
              <w:spacing w:line="337" w:lineRule="exact"/>
              <w:ind w:left="105" w:firstLine="412"/>
              <w:rPr>
                <w:rFonts w:hint="default" w:asciiTheme="minorEastAsia" w:hAnsiTheme="minorEastAsia" w:eastAsiaTheme="minorEastAsia"/>
                <w:sz w:val="21"/>
              </w:rPr>
            </w:pPr>
            <w:r>
              <w:rPr>
                <w:rFonts w:asciiTheme="minorEastAsia" w:hAnsiTheme="minorEastAsia" w:eastAsiaTheme="minorEastAsia"/>
                <w:spacing w:val="-2"/>
                <w:sz w:val="21"/>
              </w:rPr>
              <w:t>对于</w:t>
            </w:r>
            <w:r>
              <w:rPr>
                <w:rFonts w:asciiTheme="minorEastAsia" w:hAnsiTheme="minorEastAsia" w:eastAsiaTheme="minorEastAsia"/>
                <w:spacing w:val="-7"/>
                <w:sz w:val="21"/>
              </w:rPr>
              <w:t>原完税证明未交回的，如果纳税人违反规定将该完税证明用于办理车辆登记注册或变更手续，主管</w:t>
            </w:r>
            <w:r>
              <w:rPr>
                <w:rFonts w:asciiTheme="minorEastAsia" w:hAnsiTheme="minorEastAsia" w:eastAsiaTheme="minorEastAsia"/>
                <w:spacing w:val="-8"/>
                <w:sz w:val="21"/>
              </w:rPr>
              <w:t>税务机关将根据《中华人民共和国税收征收管理法》及其实施细则的有关规定追缴税款、滞纳金，并进</w:t>
            </w:r>
            <w:r>
              <w:rPr>
                <w:rFonts w:asciiTheme="minorEastAsia" w:hAnsiTheme="minorEastAsia" w:eastAsiaTheme="minorEastAsia"/>
                <w:sz w:val="21"/>
              </w:rPr>
              <w:t>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8652" w:type="dxa"/>
            <w:gridSpan w:val="13"/>
            <w:vAlign w:val="center"/>
          </w:tcPr>
          <w:p>
            <w:pPr>
              <w:pStyle w:val="53"/>
              <w:spacing w:before="22"/>
              <w:ind w:right="2" w:firstLine="0" w:firstLineChars="0"/>
              <w:jc w:val="center"/>
              <w:rPr>
                <w:rFonts w:hint="default" w:asciiTheme="minorEastAsia" w:hAnsiTheme="minorEastAsia" w:eastAsiaTheme="minorEastAsia"/>
                <w:sz w:val="21"/>
              </w:rPr>
            </w:pPr>
            <w:r>
              <w:rPr>
                <w:rFonts w:asciiTheme="minorEastAsia" w:hAnsiTheme="minorEastAsia" w:eastAsiaTheme="minorEastAsia"/>
                <w:sz w:val="21"/>
              </w:rPr>
              <w:t>以下由税务机关填写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3132" w:type="dxa"/>
            <w:gridSpan w:val="4"/>
            <w:vAlign w:val="center"/>
          </w:tcPr>
          <w:p>
            <w:pPr>
              <w:pStyle w:val="53"/>
              <w:ind w:firstLine="0" w:firstLineChars="0"/>
              <w:rPr>
                <w:rFonts w:hint="default" w:asciiTheme="minorEastAsia" w:hAnsiTheme="minorEastAsia" w:eastAsiaTheme="minorEastAsia"/>
                <w:sz w:val="20"/>
              </w:rPr>
            </w:pPr>
          </w:p>
          <w:p>
            <w:pPr>
              <w:pStyle w:val="53"/>
              <w:ind w:firstLine="0" w:firstLineChars="0"/>
              <w:rPr>
                <w:rFonts w:hint="default" w:asciiTheme="minorEastAsia" w:hAnsiTheme="minorEastAsia" w:eastAsiaTheme="minorEastAsia"/>
                <w:sz w:val="20"/>
              </w:rPr>
            </w:pPr>
          </w:p>
          <w:p>
            <w:pPr>
              <w:pStyle w:val="53"/>
              <w:spacing w:before="134"/>
              <w:ind w:left="105" w:firstLine="0" w:firstLineChars="0"/>
              <w:rPr>
                <w:rFonts w:hint="default" w:asciiTheme="minorEastAsia" w:hAnsiTheme="minorEastAsia" w:eastAsiaTheme="minorEastAsia"/>
                <w:sz w:val="21"/>
              </w:rPr>
            </w:pPr>
            <w:r>
              <w:rPr>
                <w:rFonts w:asciiTheme="minorEastAsia" w:hAnsiTheme="minorEastAsia" w:eastAsiaTheme="minorEastAsia"/>
                <w:sz w:val="21"/>
              </w:rPr>
              <w:t>经办人：</w:t>
            </w:r>
          </w:p>
          <w:p>
            <w:pPr>
              <w:pStyle w:val="53"/>
              <w:tabs>
                <w:tab w:val="left" w:pos="2076"/>
                <w:tab w:val="left" w:pos="2811"/>
              </w:tabs>
              <w:spacing w:before="43"/>
              <w:ind w:left="1339" w:firstLine="0" w:firstLineChars="0"/>
              <w:rPr>
                <w:rFonts w:hint="default" w:asciiTheme="minorEastAsia" w:hAnsiTheme="minorEastAsia" w:eastAsiaTheme="minorEastAsia"/>
                <w:sz w:val="21"/>
              </w:rPr>
            </w:pPr>
            <w:r>
              <w:rPr>
                <w:rFonts w:asciiTheme="minorEastAsia" w:hAnsiTheme="minorEastAsia" w:eastAsiaTheme="minorEastAsia"/>
                <w:sz w:val="21"/>
              </w:rPr>
              <w:t>年</w:t>
            </w:r>
            <w:r>
              <w:rPr>
                <w:rFonts w:asciiTheme="minorEastAsia" w:hAnsiTheme="minorEastAsia" w:eastAsiaTheme="minorEastAsia"/>
                <w:sz w:val="21"/>
              </w:rPr>
              <w:tab/>
            </w:r>
            <w:r>
              <w:rPr>
                <w:rFonts w:asciiTheme="minorEastAsia" w:hAnsiTheme="minorEastAsia" w:eastAsiaTheme="minorEastAsia"/>
                <w:sz w:val="21"/>
                <w:lang w:val="en-US"/>
              </w:rPr>
              <w:t xml:space="preserve"> </w:t>
            </w:r>
            <w:r>
              <w:rPr>
                <w:rFonts w:asciiTheme="minorEastAsia" w:hAnsiTheme="minorEastAsia" w:eastAsiaTheme="minorEastAsia"/>
                <w:sz w:val="21"/>
              </w:rPr>
              <w:t>月</w:t>
            </w:r>
            <w:r>
              <w:rPr>
                <w:rFonts w:asciiTheme="minorEastAsia" w:hAnsiTheme="minorEastAsia" w:eastAsiaTheme="minorEastAsia"/>
                <w:sz w:val="21"/>
                <w:lang w:val="en-US"/>
              </w:rPr>
              <w:t xml:space="preserve">  </w:t>
            </w:r>
            <w:r>
              <w:rPr>
                <w:rFonts w:asciiTheme="minorEastAsia" w:hAnsiTheme="minorEastAsia" w:eastAsiaTheme="minorEastAsia"/>
                <w:sz w:val="21"/>
              </w:rPr>
              <w:t>日</w:t>
            </w:r>
          </w:p>
        </w:tc>
        <w:tc>
          <w:tcPr>
            <w:tcW w:w="2918" w:type="dxa"/>
            <w:gridSpan w:val="3"/>
            <w:vAlign w:val="center"/>
          </w:tcPr>
          <w:p>
            <w:pPr>
              <w:pStyle w:val="53"/>
              <w:ind w:firstLine="0" w:firstLineChars="0"/>
              <w:rPr>
                <w:rFonts w:hint="default" w:asciiTheme="minorEastAsia" w:hAnsiTheme="minorEastAsia" w:eastAsiaTheme="minorEastAsia"/>
                <w:sz w:val="20"/>
              </w:rPr>
            </w:pPr>
          </w:p>
          <w:p>
            <w:pPr>
              <w:pStyle w:val="53"/>
              <w:ind w:firstLine="0" w:firstLineChars="0"/>
              <w:rPr>
                <w:rFonts w:hint="default" w:asciiTheme="minorEastAsia" w:hAnsiTheme="minorEastAsia" w:eastAsiaTheme="minorEastAsia"/>
                <w:sz w:val="20"/>
              </w:rPr>
            </w:pPr>
          </w:p>
          <w:p>
            <w:pPr>
              <w:pStyle w:val="53"/>
              <w:spacing w:before="134"/>
              <w:ind w:left="102" w:firstLine="0" w:firstLineChars="0"/>
              <w:rPr>
                <w:rFonts w:hint="default" w:asciiTheme="minorEastAsia" w:hAnsiTheme="minorEastAsia" w:eastAsiaTheme="minorEastAsia"/>
                <w:sz w:val="21"/>
              </w:rPr>
            </w:pPr>
            <w:r>
              <w:rPr>
                <w:rFonts w:asciiTheme="minorEastAsia" w:hAnsiTheme="minorEastAsia" w:eastAsiaTheme="minorEastAsia"/>
                <w:sz w:val="21"/>
              </w:rPr>
              <w:t>审核人：</w:t>
            </w:r>
          </w:p>
          <w:p>
            <w:pPr>
              <w:pStyle w:val="53"/>
              <w:tabs>
                <w:tab w:val="left" w:pos="2133"/>
                <w:tab w:val="left" w:pos="2659"/>
              </w:tabs>
              <w:spacing w:before="43"/>
              <w:ind w:firstLine="420"/>
              <w:rPr>
                <w:rFonts w:hint="default" w:asciiTheme="minorEastAsia" w:hAnsiTheme="minorEastAsia" w:eastAsiaTheme="minorEastAsia"/>
                <w:sz w:val="21"/>
              </w:rPr>
            </w:pPr>
            <w:r>
              <w:rPr>
                <w:rFonts w:asciiTheme="minorEastAsia" w:hAnsiTheme="minorEastAsia" w:eastAsiaTheme="minorEastAsia"/>
                <w:sz w:val="21"/>
              </w:rPr>
              <w:t>年</w:t>
            </w:r>
            <w:r>
              <w:rPr>
                <w:rFonts w:asciiTheme="minorEastAsia" w:hAnsiTheme="minorEastAsia" w:eastAsiaTheme="minorEastAsia"/>
                <w:sz w:val="21"/>
                <w:lang w:val="en-US"/>
              </w:rPr>
              <w:t xml:space="preserve">   </w:t>
            </w:r>
            <w:r>
              <w:rPr>
                <w:rFonts w:asciiTheme="minorEastAsia" w:hAnsiTheme="minorEastAsia" w:eastAsiaTheme="minorEastAsia"/>
                <w:sz w:val="21"/>
              </w:rPr>
              <w:t>月</w:t>
            </w:r>
            <w:r>
              <w:rPr>
                <w:rFonts w:asciiTheme="minorEastAsia" w:hAnsiTheme="minorEastAsia" w:eastAsiaTheme="minorEastAsia"/>
                <w:sz w:val="21"/>
                <w:lang w:val="en-US"/>
              </w:rPr>
              <w:t xml:space="preserve">   </w:t>
            </w:r>
            <w:r>
              <w:rPr>
                <w:rFonts w:asciiTheme="minorEastAsia" w:hAnsiTheme="minorEastAsia" w:eastAsiaTheme="minorEastAsia"/>
                <w:sz w:val="21"/>
              </w:rPr>
              <w:t>日</w:t>
            </w:r>
          </w:p>
        </w:tc>
        <w:tc>
          <w:tcPr>
            <w:tcW w:w="2602" w:type="dxa"/>
            <w:gridSpan w:val="6"/>
            <w:vAlign w:val="center"/>
          </w:tcPr>
          <w:p>
            <w:pPr>
              <w:pStyle w:val="53"/>
              <w:spacing w:before="22"/>
              <w:ind w:firstLine="0" w:firstLineChars="0"/>
              <w:rPr>
                <w:rFonts w:hint="default" w:asciiTheme="minorEastAsia" w:hAnsiTheme="minorEastAsia" w:eastAsiaTheme="minorEastAsia"/>
                <w:sz w:val="21"/>
              </w:rPr>
            </w:pPr>
            <w:r>
              <w:rPr>
                <w:rFonts w:asciiTheme="minorEastAsia" w:hAnsiTheme="minorEastAsia" w:eastAsiaTheme="minorEastAsia"/>
                <w:sz w:val="21"/>
              </w:rPr>
              <w:t>负责人：</w:t>
            </w:r>
          </w:p>
          <w:p>
            <w:pPr>
              <w:pStyle w:val="53"/>
              <w:spacing w:before="22"/>
              <w:ind w:left="101" w:firstLine="0" w:firstLineChars="0"/>
              <w:rPr>
                <w:rFonts w:hint="default" w:asciiTheme="minorEastAsia" w:hAnsiTheme="minorEastAsia" w:eastAsiaTheme="minorEastAsia"/>
                <w:sz w:val="21"/>
              </w:rPr>
            </w:pPr>
          </w:p>
          <w:p>
            <w:pPr>
              <w:pStyle w:val="53"/>
              <w:spacing w:before="22"/>
              <w:ind w:firstLine="0" w:firstLineChars="0"/>
              <w:rPr>
                <w:rFonts w:hint="default" w:asciiTheme="minorEastAsia" w:hAnsiTheme="minorEastAsia" w:eastAsiaTheme="minorEastAsia"/>
                <w:sz w:val="21"/>
              </w:rPr>
            </w:pPr>
            <w:r>
              <w:rPr>
                <w:rFonts w:asciiTheme="minorEastAsia" w:hAnsiTheme="minorEastAsia" w:eastAsiaTheme="minorEastAsia"/>
                <w:sz w:val="21"/>
              </w:rPr>
              <w:t>主管税务机关（章）</w:t>
            </w:r>
          </w:p>
          <w:p>
            <w:pPr>
              <w:pStyle w:val="53"/>
              <w:spacing w:before="22"/>
              <w:ind w:firstLine="420"/>
              <w:rPr>
                <w:rFonts w:hint="default" w:asciiTheme="minorEastAsia" w:hAnsiTheme="minorEastAsia" w:eastAsiaTheme="minorEastAsia"/>
                <w:sz w:val="21"/>
              </w:rPr>
            </w:pPr>
            <w:r>
              <w:rPr>
                <w:rFonts w:asciiTheme="minorEastAsia" w:hAnsiTheme="minorEastAsia" w:eastAsiaTheme="minorEastAsia"/>
                <w:sz w:val="21"/>
              </w:rPr>
              <w:t>年</w:t>
            </w:r>
            <w:r>
              <w:rPr>
                <w:rFonts w:asciiTheme="minorEastAsia" w:hAnsiTheme="minorEastAsia" w:eastAsiaTheme="minorEastAsia"/>
                <w:sz w:val="21"/>
                <w:lang w:val="en-US"/>
              </w:rPr>
              <w:t xml:space="preserve">  </w:t>
            </w:r>
            <w:r>
              <w:rPr>
                <w:rFonts w:asciiTheme="minorEastAsia" w:hAnsiTheme="minorEastAsia" w:eastAsiaTheme="minorEastAsia"/>
                <w:sz w:val="21"/>
              </w:rPr>
              <w:t>月</w:t>
            </w:r>
            <w:r>
              <w:rPr>
                <w:rFonts w:asciiTheme="minorEastAsia" w:hAnsiTheme="minorEastAsia" w:eastAsiaTheme="minorEastAsia"/>
                <w:sz w:val="21"/>
                <w:lang w:val="en-US"/>
              </w:rPr>
              <w:t xml:space="preserve">  </w:t>
            </w:r>
            <w:r>
              <w:rPr>
                <w:rFonts w:asciiTheme="minorEastAsia" w:hAnsiTheme="minorEastAsia" w:eastAsiaTheme="minorEastAsia"/>
                <w:spacing w:val="-17"/>
                <w:sz w:val="21"/>
              </w:rPr>
              <w:t>日</w:t>
            </w:r>
          </w:p>
        </w:tc>
      </w:tr>
    </w:tbl>
    <w:p>
      <w:pPr>
        <w:pStyle w:val="8"/>
        <w:spacing w:before="23"/>
        <w:ind w:left="323" w:firstLine="480"/>
        <w:rPr>
          <w:rFonts w:hint="default"/>
          <w:spacing w:val="-12"/>
        </w:rPr>
      </w:pPr>
      <w:r>
        <w:drawing>
          <wp:anchor distT="0" distB="0" distL="0" distR="0" simplePos="0" relativeHeight="251649024" behindDoc="1" locked="0" layoutInCell="1" allowOverlap="1">
            <wp:simplePos x="0" y="0"/>
            <wp:positionH relativeFrom="page">
              <wp:posOffset>2266315</wp:posOffset>
            </wp:positionH>
            <wp:positionV relativeFrom="page">
              <wp:posOffset>1771015</wp:posOffset>
            </wp:positionV>
            <wp:extent cx="59690" cy="103505"/>
            <wp:effectExtent l="0" t="0" r="3810" b="10795"/>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a:picLocks noChangeAspect="1"/>
                    </pic:cNvPicPr>
                  </pic:nvPicPr>
                  <pic:blipFill>
                    <a:blip r:embed="rId20" cstate="print"/>
                    <a:stretch>
                      <a:fillRect/>
                    </a:stretch>
                  </pic:blipFill>
                  <pic:spPr>
                    <a:xfrm>
                      <a:off x="0" y="0"/>
                      <a:ext cx="59721" cy="103727"/>
                    </a:xfrm>
                    <a:prstGeom prst="rect">
                      <a:avLst/>
                    </a:prstGeom>
                  </pic:spPr>
                </pic:pic>
              </a:graphicData>
            </a:graphic>
          </wp:anchor>
        </w:drawing>
      </w:r>
      <w:r>
        <w:rPr>
          <w:spacing w:val="-12"/>
        </w:rPr>
        <w:t>注：“退税原因代码”栏：按表中右侧对应原因选择相应的字母填写。</w:t>
      </w:r>
    </w:p>
    <w:p>
      <w:pPr>
        <w:pStyle w:val="31"/>
        <w:wordWrap w:val="0"/>
        <w:adjustRightInd/>
        <w:snapToGrid/>
        <w:rPr>
          <w:color w:val="000000" w:themeColor="text1"/>
        </w:rPr>
      </w:pPr>
      <w:r>
        <w:rPr>
          <w:rFonts w:hint="eastAsia"/>
          <w:color w:val="000000" w:themeColor="text1"/>
        </w:rPr>
        <w:t>【填表说明】</w:t>
      </w:r>
    </w:p>
    <w:p>
      <w:pPr>
        <w:spacing w:line="400" w:lineRule="exact"/>
        <w:ind w:firstLine="480"/>
        <w:rPr>
          <w:rFonts w:hint="default"/>
        </w:rPr>
      </w:pPr>
      <w:r>
        <w:t>1.本表由车辆购置税纳税人在申请退税时填写。此表也可由车辆购置税征收管理系统打印，由纳税人签章确认。</w:t>
      </w:r>
    </w:p>
    <w:p>
      <w:pPr>
        <w:spacing w:line="400" w:lineRule="exact"/>
        <w:ind w:firstLine="480"/>
        <w:rPr>
          <w:rFonts w:hint="default"/>
        </w:rPr>
      </w:pPr>
      <w:r>
        <w:t>2.“纳税人名称”栏，填写纳税人名称。</w:t>
      </w:r>
    </w:p>
    <w:p>
      <w:pPr>
        <w:spacing w:line="400" w:lineRule="exact"/>
        <w:ind w:firstLine="480"/>
        <w:rPr>
          <w:rFonts w:hint="default"/>
        </w:rPr>
      </w:pPr>
      <w:r>
        <w:t>3.“证件名称”栏，单位纳税人填写《营业执照》或者《组织机构代码证》或者《税务登记证》或者其他有效机构证明；个人纳税人填写《居民身份证》或者其他身份证明名称。</w:t>
      </w:r>
    </w:p>
    <w:p>
      <w:pPr>
        <w:spacing w:line="400" w:lineRule="exact"/>
        <w:ind w:firstLine="480"/>
        <w:rPr>
          <w:rFonts w:hint="default"/>
        </w:rPr>
      </w:pPr>
      <w:r>
        <w:t>4.“证件号码”栏，填写《营业执照》或者《组织机构代码证》或者《税务登记证》</w:t>
      </w:r>
      <w:r>
        <w:rPr>
          <w:color w:val="000000" w:themeColor="text1"/>
        </w:rPr>
        <w:t>或者其他有效机构证明、</w:t>
      </w:r>
      <w:r>
        <w:t>《居民身份证》或者其他身份证件的号码。</w:t>
      </w:r>
    </w:p>
    <w:p>
      <w:pPr>
        <w:spacing w:line="400" w:lineRule="exact"/>
        <w:ind w:firstLine="480"/>
        <w:rPr>
          <w:rFonts w:hint="default"/>
        </w:rPr>
      </w:pPr>
      <w:r>
        <w:t>5.“开户银行”“账号”“户名”栏，填写纳税人用来接收国库退税税款的开户银行、账号及开户名称。</w:t>
      </w:r>
    </w:p>
    <w:p>
      <w:pPr>
        <w:spacing w:line="400" w:lineRule="exact"/>
        <w:ind w:firstLine="480"/>
        <w:rPr>
          <w:rFonts w:hint="default"/>
        </w:rPr>
      </w:pPr>
      <w:r>
        <w:t>6.“购置日期”栏，填写机动车销售统一发票（或有效凭证）上注明的开票日期。</w:t>
      </w:r>
    </w:p>
    <w:p>
      <w:pPr>
        <w:spacing w:line="400" w:lineRule="exact"/>
        <w:ind w:firstLine="480"/>
        <w:rPr>
          <w:rFonts w:hint="default"/>
        </w:rPr>
      </w:pPr>
      <w:r>
        <w:t>7.“合格证编号（或货物进口证明书号）”“厂牌型号”“车辆识别代号（车架号）”“发动机号”栏，分别按车辆合格证或《中华人民共和国海关货物进口证明书》或《中华人民共和国海关监管车辆进（出）境领（销）牌照通知书》或《没收走私汽车、摩托车证明书》中对应的编号、车辆品牌和车辆型号、车辆识别代号（车架号）、发动机号填写。</w:t>
      </w:r>
    </w:p>
    <w:p>
      <w:pPr>
        <w:spacing w:line="400" w:lineRule="exact"/>
        <w:ind w:firstLine="480"/>
        <w:rPr>
          <w:rFonts w:hint="default"/>
        </w:rPr>
      </w:pPr>
      <w:r>
        <w:t>8.“完税凭证号码”栏，填写主管税务机关开具的车辆购置税缴税凭证号码。</w:t>
      </w:r>
    </w:p>
    <w:p>
      <w:pPr>
        <w:spacing w:line="400" w:lineRule="exact"/>
        <w:ind w:firstLine="480"/>
        <w:rPr>
          <w:rFonts w:hint="default"/>
        </w:rPr>
      </w:pPr>
      <w:r>
        <w:t>9.“已缴纳车辆购置税税款”栏，填写主管税务机关开具的车辆购置税缴税凭证上注明的缴税金额。</w:t>
      </w:r>
    </w:p>
    <w:p>
      <w:pPr>
        <w:spacing w:line="400" w:lineRule="exact"/>
        <w:ind w:firstLine="480"/>
        <w:rPr>
          <w:rFonts w:hint="default"/>
        </w:rPr>
      </w:pPr>
      <w:r>
        <w:t>10.“交回的车辆购置税完税证明号码”栏，填写纳税人申请退税时交回的完税证明号码。</w:t>
      </w:r>
    </w:p>
    <w:p>
      <w:pPr>
        <w:spacing w:line="400" w:lineRule="exact"/>
        <w:ind w:firstLine="480"/>
        <w:rPr>
          <w:rFonts w:hint="default"/>
        </w:rPr>
      </w:pPr>
      <w:r>
        <w:t>11.“未交回的车辆购置税完税证明号码”栏，填写未交回的完税证明号码。</w:t>
      </w:r>
    </w:p>
    <w:p>
      <w:pPr>
        <w:spacing w:line="400" w:lineRule="exact"/>
        <w:ind w:firstLine="480"/>
        <w:rPr>
          <w:rFonts w:hint="default"/>
        </w:rPr>
      </w:pPr>
      <w:r>
        <w:t>12.“申请退税额”栏，填写纳税人向税务机关申请的退税金额。</w:t>
      </w:r>
    </w:p>
    <w:p>
      <w:pPr>
        <w:spacing w:line="400" w:lineRule="exact"/>
        <w:ind w:firstLine="480"/>
        <w:rPr>
          <w:rFonts w:hint="default"/>
        </w:rPr>
      </w:pPr>
      <w:r>
        <w:t>13.“实际退税额”栏，填写经税务机关向纳税人实际退回的退税金额。</w:t>
      </w:r>
    </w:p>
    <w:p>
      <w:pPr>
        <w:spacing w:line="400" w:lineRule="exact"/>
        <w:ind w:firstLine="480"/>
        <w:rPr>
          <w:rFonts w:hint="default"/>
        </w:rPr>
      </w:pPr>
      <w:r>
        <w:t>14.“退税原因代码”栏，按表中右侧对应原因选择相应的字母填写。</w:t>
      </w:r>
    </w:p>
    <w:p>
      <w:pPr>
        <w:spacing w:line="400" w:lineRule="exact"/>
        <w:ind w:firstLine="480"/>
        <w:rPr>
          <w:rFonts w:hint="default" w:ascii="宋体" w:hAnsi="宋体" w:cs="Times New Roman"/>
          <w:color w:val="000000" w:themeColor="text1"/>
        </w:rPr>
      </w:pPr>
      <w:r>
        <w:t>15.本表（一车一表）一式三份，一份由纳税人留存；一份由国库留存；一份由主管税务机关留存。</w:t>
      </w:r>
    </w:p>
    <w:p>
      <w:pPr>
        <w:pStyle w:val="31"/>
        <w:adjustRightInd/>
        <w:snapToGrid/>
      </w:pPr>
      <w:r>
        <w:rPr>
          <w:rFonts w:hint="eastAsia"/>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3"/>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3" w:type="dxa"/>
            <w:vAlign w:val="center"/>
          </w:tcPr>
          <w:p>
            <w:pPr>
              <w:pStyle w:val="33"/>
              <w:adjustRightInd/>
              <w:snapToGrid/>
              <w:spacing w:line="276" w:lineRule="auto"/>
            </w:pPr>
            <w:r>
              <w:rPr>
                <w:rFonts w:hint="eastAsia"/>
              </w:rPr>
              <w:t>文件名称</w:t>
            </w:r>
          </w:p>
        </w:tc>
        <w:tc>
          <w:tcPr>
            <w:tcW w:w="1684"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3" w:type="dxa"/>
            <w:vAlign w:val="center"/>
          </w:tcPr>
          <w:p>
            <w:pPr>
              <w:pStyle w:val="50"/>
              <w:adjustRightInd/>
              <w:snapToGrid/>
              <w:spacing w:line="276" w:lineRule="auto"/>
            </w:pPr>
            <w:r>
              <w:rPr>
                <w:rFonts w:hint="eastAsia"/>
              </w:rPr>
              <w:t>《中华人民共和国税收征收管理法》</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3" w:type="dxa"/>
            <w:vAlign w:val="center"/>
          </w:tcPr>
          <w:p>
            <w:pPr>
              <w:pStyle w:val="50"/>
              <w:adjustRightInd/>
              <w:snapToGrid/>
              <w:spacing w:line="276" w:lineRule="auto"/>
            </w:pPr>
            <w:r>
              <w:rPr>
                <w:rFonts w:hint="eastAsia"/>
              </w:rPr>
              <w:t>《中华人民共和国税车辆购置税法》</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3</w:t>
            </w:r>
          </w:p>
        </w:tc>
        <w:tc>
          <w:tcPr>
            <w:tcW w:w="5653" w:type="dxa"/>
            <w:vAlign w:val="center"/>
          </w:tcPr>
          <w:p>
            <w:pPr>
              <w:pStyle w:val="50"/>
              <w:adjustRightInd/>
              <w:snapToGrid/>
              <w:spacing w:line="276" w:lineRule="auto"/>
            </w:pPr>
            <w:r>
              <w:rPr>
                <w:rFonts w:hint="eastAsia"/>
              </w:rPr>
              <w:t>《中华人民共和国税收征收管理法实施细则》</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4</w:t>
            </w:r>
          </w:p>
        </w:tc>
        <w:tc>
          <w:tcPr>
            <w:tcW w:w="5653" w:type="dxa"/>
            <w:vAlign w:val="center"/>
          </w:tcPr>
          <w:p>
            <w:pPr>
              <w:pStyle w:val="50"/>
              <w:adjustRightInd/>
              <w:snapToGrid/>
              <w:spacing w:line="276" w:lineRule="auto"/>
            </w:pPr>
            <w:r>
              <w:rPr>
                <w:rFonts w:hint="eastAsia"/>
              </w:rPr>
              <w:t>《财政部 税务总局关于车辆购置税有关具体政策的公告》（财政部税务总局公告2019年第71号）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5</w:t>
            </w:r>
          </w:p>
        </w:tc>
        <w:tc>
          <w:tcPr>
            <w:tcW w:w="5653" w:type="dxa"/>
            <w:vAlign w:val="center"/>
          </w:tcPr>
          <w:p>
            <w:pPr>
              <w:pStyle w:val="50"/>
              <w:adjustRightInd/>
              <w:snapToGrid/>
              <w:spacing w:line="276" w:lineRule="auto"/>
            </w:pPr>
            <w:r>
              <w:rPr>
                <w:rFonts w:hint="eastAsia"/>
              </w:rPr>
              <w:t>《国家税务总局关于车辆购置税征收管理有关事项的公告》（国家税务总局公告2019年第26号）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6</w:t>
            </w:r>
          </w:p>
        </w:tc>
        <w:tc>
          <w:tcPr>
            <w:tcW w:w="565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7</w:t>
            </w:r>
          </w:p>
        </w:tc>
        <w:tc>
          <w:tcPr>
            <w:tcW w:w="565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8</w:t>
            </w:r>
          </w:p>
        </w:tc>
        <w:tc>
          <w:tcPr>
            <w:tcW w:w="565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9</w:t>
            </w:r>
          </w:p>
        </w:tc>
        <w:tc>
          <w:tcPr>
            <w:tcW w:w="5653" w:type="dxa"/>
            <w:vAlign w:val="center"/>
          </w:tcPr>
          <w:p>
            <w:pPr>
              <w:pStyle w:val="50"/>
              <w:adjustRightInd/>
              <w:snapToGrid/>
              <w:spacing w:line="276" w:lineRule="auto"/>
            </w:pPr>
            <w:r>
              <w:rPr>
                <w:rFonts w:hint="eastAsia"/>
              </w:rPr>
              <w:t>《国家税务总局关于进一步规范增值税、消费税车辆购置税有关涉税事项办理的通知》（税总函〔</w:t>
            </w:r>
            <w:r>
              <w:t>2017〕426号）</w:t>
            </w:r>
          </w:p>
        </w:tc>
        <w:tc>
          <w:tcPr>
            <w:tcW w:w="1684" w:type="dxa"/>
            <w:vAlign w:val="center"/>
          </w:tcPr>
          <w:p>
            <w:pPr>
              <w:pStyle w:val="50"/>
              <w:adjustRightInd/>
              <w:snapToGrid/>
              <w:spacing w:line="276" w:lineRule="auto"/>
            </w:pPr>
            <w:r>
              <w:rPr>
                <w:rFonts w:hint="eastAsia"/>
              </w:rPr>
              <w:t>依申请公开</w:t>
            </w:r>
          </w:p>
        </w:tc>
      </w:tr>
    </w:tbl>
    <w:p>
      <w:pPr>
        <w:pStyle w:val="37"/>
        <w:wordWrap w:val="0"/>
        <w:topLinePunct w:val="0"/>
        <w:spacing w:before="336" w:after="336"/>
        <w:rPr>
          <w:color w:val="000000" w:themeColor="text1"/>
        </w:rPr>
      </w:pPr>
      <w:bookmarkStart w:id="285" w:name="_Toc18096194"/>
      <w:bookmarkStart w:id="286" w:name="_Toc18584"/>
      <w:r>
        <w:rPr>
          <w:rFonts w:hint="eastAsia"/>
          <w:color w:val="000000" w:themeColor="text1"/>
        </w:rPr>
        <w:t>3.25.7—12</w:t>
      </w:r>
      <w:r>
        <w:rPr>
          <w:color w:val="000000" w:themeColor="text1"/>
        </w:rPr>
        <w:t>4</w:t>
      </w:r>
      <w:r>
        <w:rPr>
          <w:rFonts w:hint="eastAsia"/>
          <w:color w:val="000000" w:themeColor="text1"/>
        </w:rPr>
        <w:t>　</w:t>
      </w:r>
      <w:r>
        <w:rPr>
          <w:color w:val="000000" w:themeColor="text1"/>
        </w:rPr>
        <w:t>　</w:t>
      </w:r>
      <w:r>
        <w:rPr>
          <w:rFonts w:hint="eastAsia"/>
          <w:color w:val="000000" w:themeColor="text1"/>
        </w:rPr>
        <w:t>车船税退抵税</w:t>
      </w:r>
      <w:bookmarkEnd w:id="285"/>
      <w:bookmarkEnd w:id="286"/>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车船税退抵税</w:t>
      </w:r>
    </w:p>
    <w:p>
      <w:pPr>
        <w:pStyle w:val="31"/>
        <w:wordWrap w:val="0"/>
        <w:adjustRightInd/>
        <w:snapToGrid/>
        <w:rPr>
          <w:color w:val="000000" w:themeColor="text1"/>
        </w:rPr>
      </w:pPr>
      <w:r>
        <w:rPr>
          <w:rFonts w:hint="eastAsia"/>
          <w:color w:val="000000" w:themeColor="text1"/>
        </w:rPr>
        <w:t>【业务描述】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已经缴纳车船税的车船，因质量原因被退回生产企业或者经销商的，纳税人可以向税务机关申请退还自退货月份起至该纳税年度终了期间的税款。</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在一个纳税年度内，已完税的车船被盗抢、报废、灭失的，纳税人可以凭有关管理机关出具的证明和完税证明，向纳税所在地的主管税务机关申请退还自被盗抢、报废、灭失月份起至该纳税年度终了期间的税款。</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纳税人在购买“交强险”时，已由扣缴义务人代收代缴车船税，车辆登记地主管税务机关再次征收的，纳税人可向税务机关申请退还已经缴纳的车船税。</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《中华人民共和国税收征收管理法》第五十一条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《中华人民共和国车船税法》第十一条</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ascii="宋体" w:hAnsi="宋体" w:cs="Times New Roman"/>
          <w:color w:val="000000" w:themeColor="text1"/>
        </w:rPr>
        <w:t>《中华人民共和国车船税法实施条例》第十九条第二款</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ascii="宋体" w:hAnsi="宋体" w:cs="Times New Roman"/>
          <w:color w:val="000000" w:themeColor="text1"/>
        </w:rPr>
        <w:t>《中华人民共和国税收征收管理法实施细则》第七十八条、第七十九条</w:t>
      </w:r>
    </w:p>
    <w:p>
      <w:pPr>
        <w:pStyle w:val="31"/>
        <w:wordWrap w:val="0"/>
        <w:adjustRightInd/>
        <w:snapToGrid/>
        <w:rPr>
          <w:color w:val="000000" w:themeColor="text1"/>
        </w:rPr>
      </w:pPr>
      <w:r>
        <w:rPr>
          <w:rFonts w:hint="eastAsia"/>
          <w:color w:val="000000" w:themeColor="text1"/>
        </w:rPr>
        <w:t>【办理材料】</w:t>
      </w:r>
    </w:p>
    <w:tbl>
      <w:tblPr>
        <w:tblStyle w:val="18"/>
        <w:tblW w:w="8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412"/>
        <w:gridCol w:w="3124"/>
        <w:gridCol w:w="680"/>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6" w:type="dxa"/>
            <w:gridSpan w:val="2"/>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7"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6" w:type="dxa"/>
            <w:gridSpan w:val="2"/>
            <w:vAlign w:val="center"/>
          </w:tcPr>
          <w:p>
            <w:pPr>
              <w:pStyle w:val="34"/>
              <w:wordWrap w:val="0"/>
              <w:adjustRightInd/>
              <w:snapToGrid/>
              <w:spacing w:line="240" w:lineRule="auto"/>
              <w:rPr>
                <w:color w:val="000000" w:themeColor="text1"/>
              </w:rPr>
            </w:pPr>
            <w:bookmarkStart w:id="287" w:name="_Hlk508200835"/>
            <w:r>
              <w:rPr>
                <w:rFonts w:hint="eastAsia"/>
                <w:color w:val="000000" w:themeColor="text1"/>
              </w:rPr>
              <w:t>《退（抵）税申请表》</w:t>
            </w:r>
            <w:bookmarkEnd w:id="287"/>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4</w:t>
            </w:r>
            <w:r>
              <w:rPr>
                <w:rFonts w:hint="eastAsia"/>
                <w:color w:val="000000" w:themeColor="text1"/>
              </w:rPr>
              <w:t>份</w:t>
            </w:r>
          </w:p>
        </w:tc>
        <w:tc>
          <w:tcPr>
            <w:tcW w:w="2267"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79"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p>
        </w:tc>
        <w:tc>
          <w:tcPr>
            <w:tcW w:w="4536" w:type="dxa"/>
            <w:gridSpan w:val="2"/>
            <w:vAlign w:val="center"/>
          </w:tcPr>
          <w:p>
            <w:pPr>
              <w:pStyle w:val="34"/>
              <w:wordWrap w:val="0"/>
              <w:adjustRightInd/>
              <w:snapToGrid/>
              <w:spacing w:line="240" w:lineRule="auto"/>
              <w:rPr>
                <w:color w:val="000000" w:themeColor="text1"/>
                <w:szCs w:val="21"/>
              </w:rPr>
            </w:pPr>
            <w:r>
              <w:rPr>
                <w:rFonts w:hint="eastAsia"/>
                <w:color w:val="000000" w:themeColor="text1"/>
              </w:rPr>
              <w:t>车船税完税凭证</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vAlign w:val="center"/>
          </w:tcPr>
          <w:p>
            <w:pPr>
              <w:pStyle w:val="34"/>
              <w:wordWrap w:val="0"/>
              <w:adjustRightInd/>
              <w:snapToGrid/>
              <w:spacing w:line="240" w:lineRule="auto"/>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8162" w:type="dxa"/>
            <w:gridSpan w:val="5"/>
            <w:shd w:val="clear" w:color="auto" w:fill="D9D9D9"/>
            <w:vAlign w:val="center"/>
          </w:tcPr>
          <w:p>
            <w:pPr>
              <w:pStyle w:val="32"/>
              <w:wordWrap w:val="0"/>
              <w:adjustRightInd/>
              <w:snapToGrid/>
              <w:spacing w:line="240" w:lineRule="auto"/>
              <w:rPr>
                <w:rFonts w:cs="黑体"/>
                <w:color w:val="000000" w:themeColor="text1"/>
              </w:rPr>
            </w:pPr>
            <w:r>
              <w:rPr>
                <w:rFonts w:hint="eastAsia" w:cs="黑体"/>
                <w:color w:val="000000" w:themeColor="text1"/>
              </w:rPr>
              <w:t>有以下情形的，还应提供相应材料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2091" w:type="dxa"/>
            <w:gridSpan w:val="2"/>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适用情形</w:t>
            </w:r>
          </w:p>
        </w:tc>
        <w:tc>
          <w:tcPr>
            <w:tcW w:w="3124" w:type="dxa"/>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材料名称</w:t>
            </w:r>
          </w:p>
        </w:tc>
        <w:tc>
          <w:tcPr>
            <w:tcW w:w="680" w:type="dxa"/>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数量</w:t>
            </w:r>
          </w:p>
        </w:tc>
        <w:tc>
          <w:tcPr>
            <w:tcW w:w="2267" w:type="dxa"/>
            <w:shd w:val="clear" w:color="auto" w:fill="D9D9D9"/>
            <w:vAlign w:val="center"/>
          </w:tcPr>
          <w:p>
            <w:pPr>
              <w:wordWrap w:val="0"/>
              <w:spacing w:line="240" w:lineRule="auto"/>
              <w:ind w:firstLine="0" w:firstLineChars="0"/>
              <w:jc w:val="center"/>
              <w:rPr>
                <w:rFonts w:hint="default" w:ascii="黑体" w:hAnsi="黑体" w:eastAsia="黑体" w:cs="黑体"/>
                <w:color w:val="000000" w:themeColor="text1"/>
                <w:sz w:val="21"/>
                <w:szCs w:val="21"/>
              </w:rPr>
            </w:pPr>
            <w:r>
              <w:rPr>
                <w:rFonts w:ascii="黑体" w:hAnsi="黑体" w:eastAsia="黑体" w:cs="黑体"/>
                <w:color w:val="000000" w:themeColor="text1"/>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exact"/>
          <w:jc w:val="center"/>
        </w:trPr>
        <w:tc>
          <w:tcPr>
            <w:tcW w:w="2091" w:type="dxa"/>
            <w:gridSpan w:val="2"/>
            <w:vAlign w:val="center"/>
          </w:tcPr>
          <w:p>
            <w:pPr>
              <w:pStyle w:val="34"/>
              <w:wordWrap w:val="0"/>
              <w:adjustRightInd/>
              <w:snapToGrid/>
              <w:spacing w:line="240" w:lineRule="auto"/>
              <w:rPr>
                <w:rFonts w:ascii="仿宋" w:hAnsi="仿宋" w:eastAsia="仿宋"/>
                <w:color w:val="000000" w:themeColor="text1"/>
                <w:szCs w:val="21"/>
              </w:rPr>
            </w:pPr>
            <w:r>
              <w:rPr>
                <w:rFonts w:hint="eastAsia"/>
                <w:color w:val="000000" w:themeColor="text1"/>
              </w:rPr>
              <w:t>因特殊情况不能退至纳税人、扣缴义务人原缴款账户</w:t>
            </w:r>
          </w:p>
        </w:tc>
        <w:tc>
          <w:tcPr>
            <w:tcW w:w="3124" w:type="dxa"/>
            <w:vAlign w:val="center"/>
          </w:tcPr>
          <w:p>
            <w:pPr>
              <w:pStyle w:val="34"/>
              <w:wordWrap w:val="0"/>
              <w:adjustRightInd/>
              <w:snapToGrid/>
              <w:spacing w:line="240" w:lineRule="auto"/>
              <w:rPr>
                <w:color w:val="000000" w:themeColor="text1"/>
              </w:rPr>
            </w:pPr>
            <w:r>
              <w:rPr>
                <w:rFonts w:hint="eastAsia"/>
                <w:color w:val="000000" w:themeColor="text1"/>
              </w:rPr>
              <w:t>由于特殊情况不能退至纳税人、扣缴义务人原缴款账户的书面说明，相关证明资料，和指定接受退税的其他账户及接受退税单位（人）名称的资料</w:t>
            </w:r>
          </w:p>
        </w:tc>
        <w:tc>
          <w:tcPr>
            <w:tcW w:w="680" w:type="dxa"/>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7" w:type="dxa"/>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可通过办税服务厅（场所）、国家税务总局湖南省电子税务局（https://etax.hunan.chinatax.gov.cn）办理，办税服务厅（场所）的具体地点可从国家税务总局湖南省税务局网站“纳税服务”栏目查询。</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cs="Times New Roman"/>
          <w:color w:val="000000" w:themeColor="text1"/>
        </w:rPr>
        <w:t>20</w:t>
      </w:r>
      <w:r>
        <w:rPr>
          <w:rFonts w:ascii="宋体" w:hAnsi="宋体" w:cs="Times New Roman"/>
          <w:color w:val="000000" w:themeColor="text1"/>
        </w:rPr>
        <w:t>日内办结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spacing w:line="360" w:lineRule="auto"/>
        <w:ind w:firstLine="0" w:firstLineChars="0"/>
        <w:jc w:val="center"/>
        <w:rPr>
          <w:rFonts w:hint="default" w:ascii="宋体" w:hAnsi="宋体" w:cs="Times New Roman"/>
          <w:color w:val="000000" w:themeColor="text1"/>
        </w:rPr>
      </w:pPr>
      <w:r>
        <w:rPr>
          <w:rFonts w:hint="default" w:ascii="宋体" w:hAnsi="宋体" w:cs="Times New Roman"/>
          <w:color w:val="000000" w:themeColor="text1"/>
        </w:rPr>
        <w:drawing>
          <wp:inline distT="0" distB="0" distL="114300" distR="114300">
            <wp:extent cx="5184140" cy="1769745"/>
            <wp:effectExtent l="0" t="0" r="12700" b="13335"/>
            <wp:docPr id="77" name="图片 24" descr="C:\Users\baoqianyu\Desktop\流程图\流转\纳税人.png纳税人"/>
            <wp:cNvGraphicFramePr/>
            <a:graphic xmlns:a="http://schemas.openxmlformats.org/drawingml/2006/main">
              <a:graphicData uri="http://schemas.openxmlformats.org/drawingml/2006/picture">
                <pic:pic xmlns:pic="http://schemas.openxmlformats.org/drawingml/2006/picture">
                  <pic:nvPicPr>
                    <pic:cNvPr id="77" name="图片 24" descr="C:\Users\baoqianyu\Desktop\流程图\流转\纳税人.png纳税人"/>
                    <pic:cNvPicPr/>
                  </pic:nvPicPr>
                  <pic:blipFill>
                    <a:blip r:embed="rId15"/>
                    <a:srcRect/>
                    <a:stretch>
                      <a:fillRect/>
                    </a:stretch>
                  </pic:blipFill>
                  <pic:spPr>
                    <a:xfrm>
                      <a:off x="0" y="0"/>
                      <a:ext cx="5184140" cy="17697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纳税人提供的各项资料为复印件的，均须注明“与原件一致”并签章。</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ascii="宋体" w:hAnsi="宋体" w:cs="Times New Roman"/>
          <w:color w:val="000000" w:themeColor="text1"/>
        </w:rPr>
        <w:t>对已由扣缴义务人代收代缴车船税，车辆登记地主管税务机关再次征收的，由再次征收的税务机关办税服务厅（场所）受理。</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除出口退税以外，纳税人既有应退税款又有欠缴税款的，税务机关可以将纳税人的应退税款和利息先抵扣欠缴的税款；抵扣后有余额的，纳税人可以申请办理应退余额的退库。</w:t>
      </w:r>
    </w:p>
    <w:p>
      <w:pPr>
        <w:wordWrap w:val="0"/>
        <w:spacing w:line="360" w:lineRule="auto"/>
        <w:ind w:firstLine="480"/>
        <w:jc w:val="left"/>
        <w:rPr>
          <w:rFonts w:hint="default" w:ascii="宋体" w:hAnsi="宋体" w:cs="Times New Roman"/>
          <w:color w:val="000000" w:themeColor="text1"/>
        </w:rPr>
      </w:pPr>
      <w:r>
        <w:rPr>
          <w:rFonts w:cs="Times New Roman"/>
          <w:color w:val="000000" w:themeColor="text1"/>
        </w:rPr>
        <w:t>7.</w:t>
      </w:r>
      <w:r>
        <w:rPr>
          <w:rFonts w:ascii="宋体" w:hAnsi="宋体" w:cs="Times New Roman"/>
          <w:color w:val="000000" w:themeColor="text1"/>
        </w:rPr>
        <w:t>已办理退税的被盗抢车船失而复得的，纳税人应当从公安机关出具相关证明的当月起计算缴纳车船税。</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办税服务厅接收到相关责任部门反馈后，</w:t>
      </w:r>
      <w:r>
        <w:rPr>
          <w:rFonts w:cs="Times New Roman"/>
          <w:color w:val="000000" w:themeColor="text1"/>
        </w:rPr>
        <w:t>1</w:t>
      </w:r>
      <w:r>
        <w:rPr>
          <w:rFonts w:hint="default" w:ascii="宋体" w:hAnsi="宋体" w:cs="Times New Roman"/>
          <w:color w:val="000000" w:themeColor="text1"/>
        </w:rPr>
        <w:t>个工作日内通知纳税人领取办理结果，制作</w:t>
      </w:r>
      <w:r>
        <w:rPr>
          <w:rFonts w:ascii="宋体" w:hAnsi="宋体" w:cs="Times New Roman"/>
          <w:color w:val="000000" w:themeColor="text1"/>
        </w:rPr>
        <w:t>并</w:t>
      </w:r>
      <w:r>
        <w:rPr>
          <w:rFonts w:hint="default" w:ascii="宋体" w:hAnsi="宋体" w:cs="Times New Roman"/>
          <w:color w:val="000000" w:themeColor="text1"/>
        </w:rPr>
        <w:t>发放《税务事项通知书》。电子税务局办理的，将办理结果通过电子税务局反馈给纳税人。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利用数字证书申报成功的纳税人，取消纸质资料报送。</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税务机关能够获取相关信息的，可不再报送纸质资料。</w:t>
      </w:r>
    </w:p>
    <w:p>
      <w:pPr>
        <w:pStyle w:val="31"/>
        <w:wordWrap w:val="0"/>
        <w:adjustRightInd/>
        <w:snapToGrid/>
        <w:rPr>
          <w:color w:val="000000" w:themeColor="text1"/>
        </w:rPr>
      </w:pPr>
      <w:r>
        <w:rPr>
          <w:rFonts w:hint="eastAsia"/>
          <w:color w:val="000000" w:themeColor="text1"/>
        </w:rPr>
        <w:t>【操作规范】</w:t>
      </w:r>
    </w:p>
    <w:p>
      <w:pPr>
        <w:wordWrap w:val="0"/>
        <w:spacing w:line="360" w:lineRule="auto"/>
        <w:ind w:firstLine="480"/>
        <w:rPr>
          <w:rFonts w:hint="default" w:cs="Times New Roman"/>
          <w:color w:val="000000" w:themeColor="text1"/>
        </w:rPr>
      </w:pPr>
      <w:r>
        <w:rPr>
          <w:rFonts w:cs="Times New Roman"/>
          <w:color w:val="000000" w:themeColor="text1"/>
        </w:rPr>
        <w:t>进入金三操作系统，通过综合服务岗权限，按照【管理服务】—【文书管理】—【退税类】—【车船税退抵税】进入功能模块。</w:t>
      </w:r>
    </w:p>
    <w:p>
      <w:pPr>
        <w:pStyle w:val="31"/>
        <w:wordWrap w:val="0"/>
        <w:adjustRightInd/>
        <w:snapToGrid/>
        <w:rPr>
          <w:color w:val="000000" w:themeColor="text1"/>
        </w:rPr>
      </w:pPr>
      <w:r>
        <w:rPr>
          <w:rFonts w:hint="eastAsia"/>
          <w:color w:val="000000" w:themeColor="text1"/>
        </w:rPr>
        <w:t>【表证单书填写范本】</w:t>
      </w:r>
    </w:p>
    <w:tbl>
      <w:tblPr>
        <w:tblStyle w:val="18"/>
        <w:tblW w:w="8522" w:type="dxa"/>
        <w:tblInd w:w="0" w:type="dxa"/>
        <w:tblLayout w:type="fixed"/>
        <w:tblCellMar>
          <w:top w:w="0" w:type="dxa"/>
          <w:left w:w="108" w:type="dxa"/>
          <w:bottom w:w="0" w:type="dxa"/>
          <w:right w:w="108" w:type="dxa"/>
        </w:tblCellMar>
      </w:tblPr>
      <w:tblGrid>
        <w:gridCol w:w="492"/>
        <w:gridCol w:w="41"/>
        <w:gridCol w:w="1135"/>
        <w:gridCol w:w="663"/>
        <w:gridCol w:w="1548"/>
        <w:gridCol w:w="382"/>
        <w:gridCol w:w="242"/>
        <w:gridCol w:w="141"/>
        <w:gridCol w:w="141"/>
        <w:gridCol w:w="641"/>
        <w:gridCol w:w="1316"/>
        <w:gridCol w:w="232"/>
        <w:gridCol w:w="1548"/>
      </w:tblGrid>
      <w:tr>
        <w:tblPrEx>
          <w:tblCellMar>
            <w:top w:w="0" w:type="dxa"/>
            <w:left w:w="108" w:type="dxa"/>
            <w:bottom w:w="0" w:type="dxa"/>
            <w:right w:w="108" w:type="dxa"/>
          </w:tblCellMar>
        </w:tblPrEx>
        <w:trPr>
          <w:trHeight w:val="540" w:hRule="atLeast"/>
        </w:trPr>
        <w:tc>
          <w:tcPr>
            <w:tcW w:w="8522" w:type="dxa"/>
            <w:gridSpan w:val="13"/>
            <w:tcBorders>
              <w:top w:val="nil"/>
              <w:left w:val="nil"/>
              <w:bottom w:val="nil"/>
              <w:right w:val="nil"/>
            </w:tcBorders>
            <w:shd w:val="clear" w:color="auto" w:fill="auto"/>
            <w:noWrap/>
            <w:vAlign w:val="center"/>
          </w:tcPr>
          <w:p>
            <w:pPr>
              <w:widowControl/>
              <w:ind w:firstLine="0" w:firstLineChars="0"/>
              <w:jc w:val="center"/>
              <w:rPr>
                <w:rFonts w:hint="default" w:ascii="黑体" w:hAnsi="黑体" w:eastAsia="黑体" w:cs="宋体"/>
                <w:color w:val="000000"/>
                <w:kern w:val="0"/>
                <w:sz w:val="36"/>
                <w:szCs w:val="36"/>
              </w:rPr>
            </w:pPr>
            <w:r>
              <w:rPr>
                <w:rFonts w:ascii="黑体" w:hAnsi="黑体" w:eastAsia="黑体" w:cs="宋体"/>
                <w:color w:val="000000"/>
                <w:kern w:val="0"/>
                <w:sz w:val="36"/>
                <w:szCs w:val="36"/>
              </w:rPr>
              <w:t>退（抵）税申请表</w:t>
            </w:r>
          </w:p>
        </w:tc>
      </w:tr>
      <w:tr>
        <w:tblPrEx>
          <w:tblCellMar>
            <w:top w:w="0" w:type="dxa"/>
            <w:left w:w="108" w:type="dxa"/>
            <w:bottom w:w="0" w:type="dxa"/>
            <w:right w:w="108" w:type="dxa"/>
          </w:tblCellMar>
        </w:tblPrEx>
        <w:trPr>
          <w:trHeight w:val="345" w:hRule="atLeast"/>
        </w:trPr>
        <w:tc>
          <w:tcPr>
            <w:tcW w:w="8522" w:type="dxa"/>
            <w:gridSpan w:val="13"/>
            <w:tcBorders>
              <w:top w:val="nil"/>
              <w:left w:val="nil"/>
              <w:bottom w:val="nil"/>
              <w:right w:val="nil"/>
            </w:tcBorders>
            <w:shd w:val="clear" w:color="auto" w:fill="auto"/>
            <w:noWrap/>
            <w:vAlign w:val="center"/>
          </w:tcPr>
          <w:p>
            <w:pPr>
              <w:widowControl/>
              <w:ind w:firstLine="442"/>
              <w:jc w:val="right"/>
              <w:rPr>
                <w:rFonts w:hint="default" w:ascii="宋体" w:hAnsi="宋体" w:cs="宋体"/>
                <w:b/>
                <w:color w:val="000000"/>
                <w:kern w:val="0"/>
                <w:sz w:val="22"/>
              </w:rPr>
            </w:pPr>
            <w:r>
              <w:rPr>
                <w:rFonts w:ascii="宋体" w:hAnsi="宋体" w:cs="宋体"/>
                <w:b/>
                <w:color w:val="000000"/>
                <w:kern w:val="0"/>
                <w:sz w:val="22"/>
              </w:rPr>
              <w:t>金额单位：元，至角分</w:t>
            </w:r>
          </w:p>
        </w:tc>
      </w:tr>
      <w:tr>
        <w:tblPrEx>
          <w:tblCellMar>
            <w:top w:w="0" w:type="dxa"/>
            <w:left w:w="108" w:type="dxa"/>
            <w:bottom w:w="0" w:type="dxa"/>
            <w:right w:w="108" w:type="dxa"/>
          </w:tblCellMar>
        </w:tblPrEx>
        <w:trPr>
          <w:trHeight w:val="430"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申请人名称</w:t>
            </w:r>
          </w:p>
        </w:tc>
        <w:tc>
          <w:tcPr>
            <w:tcW w:w="231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X</w:t>
            </w:r>
            <w:r>
              <w:rPr>
                <w:rFonts w:hint="default" w:asciiTheme="minorEastAsia" w:hAnsiTheme="minorEastAsia" w:eastAsiaTheme="minorEastAsia"/>
                <w:b/>
                <w:bCs/>
                <w:color w:val="0000FF"/>
                <w:sz w:val="21"/>
              </w:rPr>
              <w:t>XXX</w:t>
            </w:r>
          </w:p>
        </w:tc>
        <w:tc>
          <w:tcPr>
            <w:tcW w:w="3878"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sz w:val="21"/>
                <w:szCs w:val="21"/>
              </w:rPr>
              <w:t>纳税人</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扣缴义务人□</w:t>
            </w:r>
          </w:p>
        </w:tc>
      </w:tr>
      <w:tr>
        <w:tblPrEx>
          <w:tblCellMar>
            <w:top w:w="0" w:type="dxa"/>
            <w:left w:w="108" w:type="dxa"/>
            <w:bottom w:w="0" w:type="dxa"/>
            <w:right w:w="108" w:type="dxa"/>
          </w:tblCellMar>
        </w:tblPrEx>
        <w:trPr>
          <w:trHeight w:val="540" w:hRule="atLeast"/>
        </w:trPr>
        <w:tc>
          <w:tcPr>
            <w:tcW w:w="2331"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纳税人名称</w:t>
            </w:r>
          </w:p>
        </w:tc>
        <w:tc>
          <w:tcPr>
            <w:tcW w:w="2313"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X</w:t>
            </w:r>
            <w:r>
              <w:rPr>
                <w:rFonts w:hint="default" w:asciiTheme="minorEastAsia" w:hAnsiTheme="minorEastAsia" w:eastAsiaTheme="minorEastAsia"/>
                <w:b/>
                <w:bCs/>
                <w:color w:val="0000FF"/>
                <w:sz w:val="21"/>
              </w:rPr>
              <w:t>XXX</w:t>
            </w:r>
          </w:p>
        </w:tc>
        <w:tc>
          <w:tcPr>
            <w:tcW w:w="2098"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统一社会信用代码     （纳税人识别号）</w:t>
            </w:r>
          </w:p>
        </w:tc>
        <w:tc>
          <w:tcPr>
            <w:tcW w:w="178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X</w:t>
            </w:r>
            <w:r>
              <w:rPr>
                <w:rFonts w:hint="default" w:asciiTheme="minorEastAsia" w:hAnsiTheme="minorEastAsia" w:eastAsiaTheme="minorEastAsia"/>
                <w:b/>
                <w:bCs/>
                <w:color w:val="0000FF"/>
                <w:sz w:val="21"/>
              </w:rPr>
              <w:t>XXXXXX</w:t>
            </w:r>
          </w:p>
        </w:tc>
      </w:tr>
      <w:tr>
        <w:tblPrEx>
          <w:tblCellMar>
            <w:top w:w="0" w:type="dxa"/>
            <w:left w:w="108" w:type="dxa"/>
            <w:bottom w:w="0" w:type="dxa"/>
            <w:right w:w="108" w:type="dxa"/>
          </w:tblCellMar>
        </w:tblPrEx>
        <w:trPr>
          <w:trHeight w:val="431"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联系人姓名</w:t>
            </w:r>
          </w:p>
        </w:tc>
        <w:tc>
          <w:tcPr>
            <w:tcW w:w="2313" w:type="dxa"/>
            <w:gridSpan w:val="4"/>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某某</w:t>
            </w:r>
          </w:p>
        </w:tc>
        <w:tc>
          <w:tcPr>
            <w:tcW w:w="2098"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联系电话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X</w:t>
            </w:r>
            <w:r>
              <w:rPr>
                <w:rFonts w:hint="default" w:asciiTheme="minorEastAsia" w:hAnsiTheme="minorEastAsia" w:eastAsiaTheme="minorEastAsia"/>
                <w:b/>
                <w:bCs/>
                <w:color w:val="0000FF"/>
                <w:sz w:val="21"/>
              </w:rPr>
              <w:t>XXXXXXXXX</w:t>
            </w:r>
          </w:p>
        </w:tc>
      </w:tr>
      <w:tr>
        <w:tblPrEx>
          <w:tblCellMar>
            <w:top w:w="0" w:type="dxa"/>
            <w:left w:w="108" w:type="dxa"/>
            <w:bottom w:w="0" w:type="dxa"/>
            <w:right w:w="108" w:type="dxa"/>
          </w:tblCellMar>
        </w:tblPrEx>
        <w:trPr>
          <w:trHeight w:val="431"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申请退税类型</w:t>
            </w:r>
          </w:p>
        </w:tc>
        <w:tc>
          <w:tcPr>
            <w:tcW w:w="6191" w:type="dxa"/>
            <w:gridSpan w:val="9"/>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汇算结算退税□      误收退税</w:t>
            </w:r>
            <w:r>
              <w:rPr>
                <w:rFonts w:cs="Arial" w:asciiTheme="minorEastAsia" w:hAnsiTheme="minorEastAsia" w:eastAsiaTheme="minorEastAsia"/>
                <w:b/>
                <w:color w:val="0000FF"/>
              </w:rPr>
              <w:fldChar w:fldCharType="begin"/>
            </w:r>
            <w:r>
              <w:rPr>
                <w:rFonts w:cs="Arial" w:asciiTheme="minorEastAsia" w:hAnsiTheme="minorEastAsia" w:eastAsiaTheme="minorEastAsia"/>
                <w:b/>
                <w:color w:val="0000FF"/>
              </w:rPr>
              <w:instrText xml:space="preserve"> EQ \o\ac(□,</w:instrText>
            </w:r>
            <w:r>
              <w:rPr>
                <w:rFonts w:cs="Arial" w:asciiTheme="minorEastAsia" w:hAnsiTheme="minorEastAsia" w:eastAsiaTheme="minorEastAsia"/>
                <w:b/>
                <w:color w:val="0000FF"/>
                <w:position w:val="2"/>
                <w:sz w:val="13"/>
              </w:rPr>
              <w:instrText xml:space="preserve">√</w:instrText>
            </w:r>
            <w:r>
              <w:rPr>
                <w:rFonts w:cs="Arial" w:asciiTheme="minorEastAsia" w:hAnsiTheme="minorEastAsia" w:eastAsiaTheme="minorEastAsia"/>
                <w:b/>
                <w:color w:val="0000FF"/>
              </w:rPr>
              <w:instrText xml:space="preserve">)</w:instrText>
            </w:r>
            <w:r>
              <w:rPr>
                <w:rFonts w:cs="Arial" w:asciiTheme="minorEastAsia" w:hAnsiTheme="minorEastAsia" w:eastAsiaTheme="minorEastAsia"/>
                <w:b/>
                <w:color w:val="0000FF"/>
              </w:rPr>
              <w:fldChar w:fldCharType="end"/>
            </w:r>
            <w:r>
              <w:rPr>
                <w:rFonts w:cs="宋体" w:asciiTheme="minorEastAsia" w:hAnsiTheme="minorEastAsia" w:eastAsiaTheme="minorEastAsia"/>
                <w:color w:val="000000"/>
                <w:kern w:val="0"/>
                <w:sz w:val="22"/>
              </w:rPr>
              <w:t xml:space="preserve">      留抵退税□</w:t>
            </w:r>
          </w:p>
        </w:tc>
      </w:tr>
      <w:tr>
        <w:tblPrEx>
          <w:tblCellMar>
            <w:top w:w="0" w:type="dxa"/>
            <w:left w:w="108" w:type="dxa"/>
            <w:bottom w:w="0" w:type="dxa"/>
            <w:right w:w="108" w:type="dxa"/>
          </w:tblCellMar>
        </w:tblPrEx>
        <w:trPr>
          <w:trHeight w:val="431" w:hRule="atLeast"/>
        </w:trPr>
        <w:tc>
          <w:tcPr>
            <w:tcW w:w="8522"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bCs/>
                <w:color w:val="000000"/>
                <w:kern w:val="0"/>
                <w:sz w:val="22"/>
              </w:rPr>
            </w:pPr>
            <w:r>
              <w:rPr>
                <w:rFonts w:cs="宋体" w:asciiTheme="minorEastAsia" w:hAnsiTheme="minorEastAsia" w:eastAsiaTheme="minorEastAsia"/>
                <w:b/>
                <w:bCs/>
                <w:color w:val="000000"/>
                <w:kern w:val="0"/>
                <w:sz w:val="22"/>
              </w:rPr>
              <w:t>一、汇算结算、误收税款退税</w:t>
            </w:r>
          </w:p>
        </w:tc>
      </w:tr>
      <w:tr>
        <w:tblPrEx>
          <w:tblCellMar>
            <w:top w:w="0" w:type="dxa"/>
            <w:left w:w="108" w:type="dxa"/>
            <w:bottom w:w="0" w:type="dxa"/>
            <w:right w:w="108" w:type="dxa"/>
          </w:tblCellMar>
        </w:tblPrEx>
        <w:trPr>
          <w:trHeight w:val="431" w:hRule="atLeast"/>
        </w:trPr>
        <w:tc>
          <w:tcPr>
            <w:tcW w:w="492" w:type="dxa"/>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原完税情况</w:t>
            </w: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税种</w:t>
            </w:r>
          </w:p>
        </w:tc>
        <w:tc>
          <w:tcPr>
            <w:tcW w:w="1548"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品目名称</w:t>
            </w:r>
          </w:p>
        </w:tc>
        <w:tc>
          <w:tcPr>
            <w:tcW w:w="1547" w:type="dxa"/>
            <w:gridSpan w:val="5"/>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税款所属时期</w:t>
            </w:r>
          </w:p>
        </w:tc>
        <w:tc>
          <w:tcPr>
            <w:tcW w:w="1548" w:type="dxa"/>
            <w:gridSpan w:val="2"/>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税票号码</w:t>
            </w:r>
          </w:p>
        </w:tc>
        <w:tc>
          <w:tcPr>
            <w:tcW w:w="1548"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实缴金额</w:t>
            </w: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车船税</w:t>
            </w: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××××年××月××日至××××年××月××日</w:t>
            </w:r>
          </w:p>
        </w:tc>
        <w:tc>
          <w:tcPr>
            <w:tcW w:w="1548" w:type="dxa"/>
            <w:gridSpan w:val="2"/>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w:t>
            </w: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spacing w:line="400" w:lineRule="exact"/>
              <w:ind w:firstLine="0" w:firstLineChars="0"/>
              <w:jc w:val="center"/>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××××元</w:t>
            </w: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hint="default"/>
              </w:rPr>
              <w:pict>
                <v:shape id="文本框 63" o:spid="_x0000_s1056" o:spt="202" type="#_x0000_t202" style="position:absolute;left:0pt;margin-left:0.15pt;margin-top:1.25pt;height:35.45pt;width:230.6pt;z-index:251667456;mso-width-relative:page;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">
                  <v:path/>
                  <v:fill focussize="0,0"/>
                  <v:stroke joinstyle="miter"/>
                  <v:imagedata o:title=""/>
                  <o:lock v:ext="edit"/>
                  <v:textbox>
                    <w:txbxContent>
                      <w:p>
                        <w:pPr>
                          <w:ind w:firstLine="442" w:firstLineChars="100"/>
                          <w:rPr>
                            <w:rFonts w:hint="default"/>
                            <w:b/>
                            <w:color w:val="0000FF"/>
                            <w:sz w:val="44"/>
                          </w:rPr>
                        </w:pPr>
                        <w:r>
                          <w:rPr>
                            <w:b/>
                            <w:color w:val="0000FF"/>
                            <w:sz w:val="44"/>
                          </w:rPr>
                          <w:t>根据实际情况填写</w:t>
                        </w:r>
                      </w:p>
                    </w:txbxContent>
                  </v:textbox>
                </v:shape>
              </w:pict>
            </w: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r>
      <w:tr>
        <w:tblPrEx>
          <w:tblCellMar>
            <w:top w:w="0" w:type="dxa"/>
            <w:left w:w="108" w:type="dxa"/>
            <w:bottom w:w="0" w:type="dxa"/>
            <w:right w:w="108" w:type="dxa"/>
          </w:tblCellMar>
        </w:tblPrEx>
        <w:trPr>
          <w:trHeight w:val="431" w:hRule="atLeast"/>
        </w:trPr>
        <w:tc>
          <w:tcPr>
            <w:tcW w:w="492"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839" w:type="dxa"/>
            <w:gridSpan w:val="3"/>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合计（小写）</w:t>
            </w: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p>
        </w:tc>
        <w:tc>
          <w:tcPr>
            <w:tcW w:w="1547" w:type="dxa"/>
            <w:gridSpan w:val="5"/>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gridSpan w:val="2"/>
            <w:tcBorders>
              <w:top w:val="nil"/>
              <w:left w:val="nil"/>
              <w:bottom w:val="single" w:color="auto" w:sz="4" w:space="0"/>
              <w:right w:val="single" w:color="000000"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tc>
        <w:tc>
          <w:tcPr>
            <w:tcW w:w="1548" w:type="dxa"/>
            <w:tcBorders>
              <w:top w:val="nil"/>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××××元</w:t>
            </w:r>
          </w:p>
        </w:tc>
      </w:tr>
      <w:tr>
        <w:tblPrEx>
          <w:tblCellMar>
            <w:top w:w="0" w:type="dxa"/>
            <w:left w:w="108" w:type="dxa"/>
            <w:bottom w:w="0" w:type="dxa"/>
            <w:right w:w="108" w:type="dxa"/>
          </w:tblCellMar>
        </w:tblPrEx>
        <w:trPr>
          <w:trHeight w:val="431" w:hRule="atLeast"/>
        </w:trPr>
        <w:tc>
          <w:tcPr>
            <w:tcW w:w="233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申请退税金额（小写）</w:t>
            </w:r>
          </w:p>
        </w:tc>
        <w:tc>
          <w:tcPr>
            <w:tcW w:w="6191" w:type="dxa"/>
            <w:gridSpan w:val="9"/>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asciiTheme="minorEastAsia" w:hAnsiTheme="minorEastAsia" w:eastAsiaTheme="minorEastAsia"/>
                <w:b/>
                <w:bCs/>
                <w:color w:val="0000FF"/>
                <w:sz w:val="21"/>
              </w:rPr>
              <w:t>××××元</w:t>
            </w:r>
          </w:p>
        </w:tc>
      </w:tr>
      <w:tr>
        <w:tblPrEx>
          <w:tblCellMar>
            <w:top w:w="0" w:type="dxa"/>
            <w:left w:w="108" w:type="dxa"/>
            <w:bottom w:w="0" w:type="dxa"/>
            <w:right w:w="108" w:type="dxa"/>
          </w:tblCellMar>
        </w:tblPrEx>
        <w:trPr>
          <w:trHeight w:val="540" w:hRule="atLeast"/>
        </w:trPr>
        <w:tc>
          <w:tcPr>
            <w:tcW w:w="8522"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bCs/>
                <w:color w:val="000000"/>
                <w:kern w:val="0"/>
                <w:sz w:val="22"/>
              </w:rPr>
            </w:pPr>
            <w:r>
              <w:rPr>
                <w:rFonts w:cs="宋体" w:asciiTheme="minorEastAsia" w:hAnsiTheme="minorEastAsia" w:eastAsiaTheme="minorEastAsia"/>
                <w:b/>
                <w:bCs/>
                <w:color w:val="000000"/>
                <w:kern w:val="0"/>
                <w:sz w:val="22"/>
              </w:rPr>
              <w:t>二、留抵退税</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申请退税前36个月未发生骗取留抵退税、出口退税或虚开增值税专用发票情形</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申请退税前36个月未因偷税被税务机关处罚两次及以上</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自2019年4月1日起未享受即征即退、先征后返（退）政策</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出口货物劳务、发生跨境应税行为，适用免抵退税办法</w:t>
            </w:r>
          </w:p>
        </w:tc>
        <w:tc>
          <w:tcPr>
            <w:tcW w:w="178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是□   否□</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连续六个月（按季纳税的，连续两个季度）增量留抵税额均大于零的起止时间</w:t>
            </w:r>
          </w:p>
        </w:tc>
        <w:tc>
          <w:tcPr>
            <w:tcW w:w="1780"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年   月至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年   月</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本期已申报免抵退税应退税额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2019年4月至申请退税前一税款所属期已抵扣的增值税专用发票（含税控机动车销售统一发票）注明的增值税额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2019年4月至申请退税前一税款所属期已抵扣的海关进口增值税专用缴款书注明的增值税额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2019年4月至申请退税前一税款所属期已抵扣的解缴税款完税凭证注明的增值税额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2019年4月至申请退税前一税款所属期全部已抵扣的进项税额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trPr>
        <w:tc>
          <w:tcPr>
            <w:tcW w:w="6742"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本期申请退还的增量留抵税额</w:t>
            </w:r>
          </w:p>
        </w:tc>
        <w:tc>
          <w:tcPr>
            <w:tcW w:w="1780" w:type="dxa"/>
            <w:gridSpan w:val="2"/>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w:t>
            </w:r>
          </w:p>
        </w:tc>
      </w:tr>
      <w:tr>
        <w:tblPrEx>
          <w:tblCellMar>
            <w:top w:w="0" w:type="dxa"/>
            <w:left w:w="108" w:type="dxa"/>
            <w:bottom w:w="0" w:type="dxa"/>
            <w:right w:w="108" w:type="dxa"/>
          </w:tblCellMar>
        </w:tblPrEx>
        <w:trPr>
          <w:trHeight w:val="540" w:hRule="atLeast"/>
        </w:trPr>
        <w:tc>
          <w:tcPr>
            <w:tcW w:w="166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left"/>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退税申请理由</w:t>
            </w:r>
          </w:p>
        </w:tc>
        <w:tc>
          <w:tcPr>
            <w:tcW w:w="6854" w:type="dxa"/>
            <w:gridSpan w:val="10"/>
            <w:tcBorders>
              <w:top w:val="single" w:color="auto" w:sz="4" w:space="0"/>
              <w:left w:val="nil"/>
              <w:bottom w:val="single" w:color="auto" w:sz="4" w:space="0"/>
              <w:right w:val="single" w:color="auto" w:sz="4" w:space="0"/>
            </w:tcBorders>
            <w:shd w:val="clear" w:color="auto" w:fill="auto"/>
            <w:noWrap/>
            <w:vAlign w:val="center"/>
          </w:tcPr>
          <w:p>
            <w:pPr>
              <w:spacing w:line="400" w:lineRule="exact"/>
              <w:ind w:firstLine="632" w:firstLineChars="300"/>
              <w:rPr>
                <w:rFonts w:hint="default" w:asciiTheme="minorEastAsia" w:hAnsiTheme="minorEastAsia" w:eastAsiaTheme="minorEastAsia"/>
                <w:b/>
                <w:color w:val="0000FF"/>
                <w:sz w:val="21"/>
                <w:szCs w:val="21"/>
              </w:rPr>
            </w:pPr>
            <w:r>
              <w:rPr>
                <w:rFonts w:asciiTheme="minorEastAsia" w:hAnsiTheme="minorEastAsia" w:eastAsiaTheme="minorEastAsia"/>
                <w:b/>
                <w:color w:val="0000FF"/>
                <w:sz w:val="21"/>
                <w:szCs w:val="21"/>
              </w:rPr>
              <w:t>由于××原因导致误缴车船税款××××元，现申请退税。（如果本次退税账户与原缴税账户不一致，需在此说明）</w:t>
            </w:r>
          </w:p>
          <w:p>
            <w:pPr>
              <w:widowControl/>
              <w:ind w:firstLine="0" w:firstLineChars="0"/>
              <w:rPr>
                <w:rFonts w:hint="default" w:cs="宋体" w:asciiTheme="minorEastAsia" w:hAnsiTheme="minorEastAsia" w:eastAsiaTheme="minorEastAsia"/>
                <w:color w:val="000000"/>
                <w:kern w:val="0"/>
                <w:sz w:val="22"/>
              </w:rPr>
            </w:pPr>
            <w:r>
              <w:rPr>
                <w:rFonts w:asciiTheme="minorEastAsia" w:hAnsiTheme="minorEastAsia" w:eastAsiaTheme="minorEastAsia"/>
              </w:rPr>
              <w:drawing>
                <wp:anchor distT="0" distB="0" distL="114300" distR="114300" simplePos="0" relativeHeight="251659264" behindDoc="0" locked="0" layoutInCell="1" allowOverlap="1">
                  <wp:simplePos x="0" y="0"/>
                  <wp:positionH relativeFrom="column">
                    <wp:posOffset>2471420</wp:posOffset>
                  </wp:positionH>
                  <wp:positionV relativeFrom="paragraph">
                    <wp:posOffset>186690</wp:posOffset>
                  </wp:positionV>
                  <wp:extent cx="1143000" cy="1066800"/>
                  <wp:effectExtent l="0" t="0" r="0" b="0"/>
                  <wp:wrapNone/>
                  <wp:docPr id="79" name="图片 79"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3595913661474679823015"/>
                          <pic:cNvPicPr>
                            <a:picLocks noChangeAspect="1"/>
                          </pic:cNvPicPr>
                        </pic:nvPicPr>
                        <pic:blipFill>
                          <a:blip r:embed="rId14"/>
                          <a:stretch>
                            <a:fillRect/>
                          </a:stretch>
                        </pic:blipFill>
                        <pic:spPr>
                          <a:xfrm>
                            <a:off x="0" y="0"/>
                            <a:ext cx="1143000" cy="1066800"/>
                          </a:xfrm>
                          <a:prstGeom prst="rect">
                            <a:avLst/>
                          </a:prstGeom>
                          <a:noFill/>
                          <a:ln>
                            <a:noFill/>
                          </a:ln>
                        </pic:spPr>
                      </pic:pic>
                    </a:graphicData>
                  </a:graphic>
                </wp:anchor>
              </w:drawing>
            </w: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经办人：</w:t>
            </w:r>
            <w:r>
              <w:rPr>
                <w:rFonts w:asciiTheme="minorEastAsia" w:hAnsiTheme="minorEastAsia" w:eastAsiaTheme="minorEastAsia"/>
                <w:b/>
                <w:color w:val="0000FF"/>
                <w:sz w:val="21"/>
                <w:szCs w:val="21"/>
              </w:rPr>
              <w:t xml:space="preserve">某某  </w:t>
            </w:r>
            <w:r>
              <w:rPr>
                <w:rFonts w:cs="宋体" w:asciiTheme="minorEastAsia" w:hAnsiTheme="minorEastAsia" w:eastAsiaTheme="minorEastAsia"/>
                <w:color w:val="000000"/>
                <w:kern w:val="0"/>
                <w:sz w:val="22"/>
              </w:rPr>
              <w:t xml:space="preserve">             </w:t>
            </w:r>
            <w:r>
              <w:rPr>
                <w:rFonts w:hint="default" w:cs="宋体" w:asciiTheme="minorEastAsia" w:hAnsiTheme="minorEastAsia" w:eastAsiaTheme="minorEastAsia"/>
                <w:color w:val="000000"/>
                <w:kern w:val="0"/>
                <w:sz w:val="22"/>
              </w:rPr>
              <w:t xml:space="preserve">    </w:t>
            </w:r>
            <w:r>
              <w:rPr>
                <w:rFonts w:cs="宋体" w:asciiTheme="minorEastAsia" w:hAnsiTheme="minorEastAsia" w:eastAsiaTheme="minorEastAsia"/>
                <w:color w:val="000000"/>
                <w:kern w:val="0"/>
                <w:sz w:val="22"/>
              </w:rPr>
              <w:t xml:space="preserve">      （公章）</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年</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月 </w:t>
            </w:r>
            <w:r>
              <w:rPr>
                <w:rFonts w:asciiTheme="minorEastAsia" w:hAnsiTheme="minorEastAsia" w:eastAsiaTheme="minorEastAsia"/>
                <w:b/>
                <w:color w:val="0000FF"/>
                <w:sz w:val="21"/>
                <w:szCs w:val="21"/>
              </w:rPr>
              <w:t>××</w:t>
            </w:r>
            <w:r>
              <w:rPr>
                <w:rFonts w:cs="宋体" w:asciiTheme="minorEastAsia" w:hAnsiTheme="minorEastAsia" w:eastAsiaTheme="minorEastAsia"/>
                <w:color w:val="000000"/>
                <w:kern w:val="0"/>
                <w:sz w:val="22"/>
              </w:rPr>
              <w:t xml:space="preserve"> 日            </w:t>
            </w:r>
          </w:p>
        </w:tc>
      </w:tr>
      <w:tr>
        <w:tblPrEx>
          <w:tblCellMar>
            <w:top w:w="0" w:type="dxa"/>
            <w:left w:w="108" w:type="dxa"/>
            <w:bottom w:w="0" w:type="dxa"/>
            <w:right w:w="108" w:type="dxa"/>
          </w:tblCellMar>
        </w:tblPrEx>
        <w:trPr>
          <w:trHeight w:val="540" w:hRule="atLeast"/>
        </w:trPr>
        <w:tc>
          <w:tcPr>
            <w:tcW w:w="5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授权声明</w:t>
            </w:r>
          </w:p>
        </w:tc>
        <w:tc>
          <w:tcPr>
            <w:tcW w:w="372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如果你已委托代理人申请，请填写下列资料：</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为代理相关税务事宜，现授权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u w:val="single"/>
              </w:rPr>
              <w:t xml:space="preserve">                  </w:t>
            </w:r>
            <w:r>
              <w:rPr>
                <w:rFonts w:cs="宋体" w:asciiTheme="minorEastAsia" w:hAnsiTheme="minorEastAsia" w:eastAsiaTheme="minorEastAsia"/>
                <w:color w:val="000000"/>
                <w:kern w:val="0"/>
                <w:sz w:val="22"/>
              </w:rPr>
              <w:t xml:space="preserve">（地址）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u w:val="single"/>
              </w:rPr>
              <w:t xml:space="preserve">                        </w:t>
            </w:r>
            <w:r>
              <w:rPr>
                <w:rFonts w:cs="宋体" w:asciiTheme="minorEastAsia" w:hAnsiTheme="minorEastAsia" w:eastAsiaTheme="minorEastAsia"/>
                <w:color w:val="000000"/>
                <w:kern w:val="0"/>
                <w:sz w:val="22"/>
              </w:rPr>
              <w:t xml:space="preserve"> 为本纳税人的代理申请人，任何与本申请有关的往来文件，都可寄于此人。</w:t>
            </w: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授权人签章：  </w:t>
            </w:r>
          </w:p>
        </w:tc>
        <w:tc>
          <w:tcPr>
            <w:tcW w:w="52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申申请人声明</w:t>
            </w:r>
          </w:p>
        </w:tc>
        <w:tc>
          <w:tcPr>
            <w:tcW w:w="373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本申请表是根据国家税收法律法规及相关规定填写的，我确定它是真实的、可靠的、完整的。</w:t>
            </w: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申请人签章：  </w:t>
            </w:r>
          </w:p>
        </w:tc>
      </w:tr>
      <w:tr>
        <w:tblPrEx>
          <w:tblCellMar>
            <w:top w:w="0" w:type="dxa"/>
            <w:left w:w="108" w:type="dxa"/>
            <w:bottom w:w="0" w:type="dxa"/>
            <w:right w:w="108" w:type="dxa"/>
          </w:tblCellMar>
        </w:tblPrEx>
        <w:trPr>
          <w:trHeight w:val="540" w:hRule="atLeast"/>
        </w:trPr>
        <w:tc>
          <w:tcPr>
            <w:tcW w:w="8522"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b/>
                <w:color w:val="000000"/>
                <w:kern w:val="0"/>
                <w:sz w:val="22"/>
              </w:rPr>
              <w:t>以下由税务机关填写</w:t>
            </w:r>
          </w:p>
        </w:tc>
      </w:tr>
      <w:tr>
        <w:tblPrEx>
          <w:tblCellMar>
            <w:top w:w="0" w:type="dxa"/>
            <w:left w:w="108" w:type="dxa"/>
            <w:bottom w:w="0" w:type="dxa"/>
            <w:right w:w="108" w:type="dxa"/>
          </w:tblCellMar>
        </w:tblPrEx>
        <w:trPr>
          <w:trHeight w:val="540" w:hRule="atLeast"/>
        </w:trPr>
        <w:tc>
          <w:tcPr>
            <w:tcW w:w="166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b/>
                <w:color w:val="000000"/>
                <w:kern w:val="0"/>
                <w:sz w:val="22"/>
              </w:rPr>
            </w:pPr>
            <w:r>
              <w:rPr>
                <w:rFonts w:cs="宋体" w:asciiTheme="minorEastAsia" w:hAnsiTheme="minorEastAsia" w:eastAsiaTheme="minorEastAsia"/>
                <w:color w:val="000000"/>
                <w:kern w:val="0"/>
                <w:sz w:val="22"/>
              </w:rPr>
              <w:t>受理情况</w:t>
            </w:r>
          </w:p>
        </w:tc>
        <w:tc>
          <w:tcPr>
            <w:tcW w:w="6854" w:type="dxa"/>
            <w:gridSpan w:val="10"/>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受理人：      </w:t>
            </w:r>
          </w:p>
          <w:p>
            <w:pPr>
              <w:widowControl/>
              <w:ind w:firstLine="0" w:firstLineChars="0"/>
              <w:jc w:val="center"/>
              <w:rPr>
                <w:rFonts w:hint="default" w:cs="宋体" w:asciiTheme="minorEastAsia" w:hAnsiTheme="minorEastAsia" w:eastAsiaTheme="minorEastAsia"/>
                <w:b/>
                <w:color w:val="000000"/>
                <w:kern w:val="0"/>
                <w:sz w:val="22"/>
              </w:rPr>
            </w:pPr>
            <w:r>
              <w:rPr>
                <w:rFonts w:cs="宋体" w:asciiTheme="minorEastAsia" w:hAnsiTheme="minorEastAsia" w:eastAsiaTheme="minorEastAsia"/>
                <w:color w:val="000000"/>
                <w:kern w:val="0"/>
                <w:sz w:val="22"/>
              </w:rPr>
              <w:t xml:space="preserve">                           年    月    日</w:t>
            </w:r>
          </w:p>
        </w:tc>
      </w:tr>
      <w:tr>
        <w:tblPrEx>
          <w:tblCellMar>
            <w:top w:w="0" w:type="dxa"/>
            <w:left w:w="108" w:type="dxa"/>
            <w:bottom w:w="0" w:type="dxa"/>
            <w:right w:w="108" w:type="dxa"/>
          </w:tblCellMar>
        </w:tblPrEx>
        <w:trPr>
          <w:trHeight w:val="540" w:hRule="atLeast"/>
        </w:trPr>
        <w:tc>
          <w:tcPr>
            <w:tcW w:w="4503"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核实部门意见：</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退还方式： 退库□    抵扣欠税□</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退税类型： 汇算结算退税□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误收退税□</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留抵退税□</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退税发起方式：纳税人自行申请□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税务机关发现并通知□</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退（抵）税金额：</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经办人：          负责人：</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p>
          <w:p>
            <w:pPr>
              <w:widowControl/>
              <w:ind w:firstLine="0" w:firstLineChars="0"/>
              <w:jc w:val="center"/>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年     月     日</w:t>
            </w:r>
          </w:p>
        </w:tc>
        <w:tc>
          <w:tcPr>
            <w:tcW w:w="4019" w:type="dxa"/>
            <w:gridSpan w:val="6"/>
            <w:tcBorders>
              <w:top w:val="single" w:color="auto" w:sz="4" w:space="0"/>
              <w:left w:val="nil"/>
              <w:bottom w:val="single" w:color="auto" w:sz="4" w:space="0"/>
              <w:right w:val="single" w:color="auto" w:sz="4" w:space="0"/>
            </w:tcBorders>
            <w:shd w:val="clear" w:color="auto" w:fill="auto"/>
            <w:noWrap/>
            <w:vAlign w:val="center"/>
          </w:tcPr>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税务机关负责人意见：</w:t>
            </w: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签字</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w:t>
            </w:r>
          </w:p>
          <w:p>
            <w:pPr>
              <w:widowControl/>
              <w:ind w:firstLine="0" w:firstLineChars="0"/>
              <w:rPr>
                <w:rFonts w:hint="default" w:cs="宋体" w:asciiTheme="minorEastAsia" w:hAnsiTheme="minorEastAsia" w:eastAsiaTheme="minorEastAsia"/>
                <w:color w:val="000000"/>
                <w:kern w:val="0"/>
                <w:sz w:val="22"/>
              </w:rPr>
            </w:pPr>
            <w:r>
              <w:rPr>
                <w:rFonts w:cs="宋体" w:asciiTheme="minorEastAsia" w:hAnsiTheme="minorEastAsia" w:eastAsiaTheme="minorEastAsia"/>
                <w:color w:val="000000"/>
                <w:kern w:val="0"/>
                <w:sz w:val="22"/>
              </w:rPr>
              <w:t xml:space="preserve">        年     月     日（公章）</w:t>
            </w:r>
          </w:p>
        </w:tc>
      </w:tr>
    </w:tbl>
    <w:p>
      <w:pPr>
        <w:ind w:firstLine="482"/>
        <w:rPr>
          <w:rFonts w:hint="default"/>
        </w:rPr>
      </w:pPr>
      <w:r>
        <w:rPr>
          <w:b/>
        </w:rPr>
        <w:t>【填表说明】</w:t>
      </w:r>
    </w:p>
    <w:p>
      <w:pPr>
        <w:ind w:firstLine="480"/>
        <w:rPr>
          <w:rFonts w:hint="default"/>
        </w:rPr>
      </w:pPr>
      <w:r>
        <w:rPr>
          <w:rFonts w:cs="Times New Roman"/>
          <w:color w:val="000000" w:themeColor="text1"/>
        </w:rPr>
        <w:t>一、本表适用于办理汇算结算、误收税款退税、留抵退税。</w:t>
      </w:r>
    </w:p>
    <w:p>
      <w:pPr>
        <w:wordWrap w:val="0"/>
        <w:spacing w:line="360" w:lineRule="auto"/>
        <w:ind w:firstLine="480"/>
        <w:rPr>
          <w:rFonts w:hint="default" w:cs="Times New Roman"/>
          <w:color w:val="000000" w:themeColor="text1"/>
        </w:rPr>
      </w:pPr>
      <w:r>
        <w:rPr>
          <w:rFonts w:cs="Times New Roman"/>
          <w:color w:val="000000" w:themeColor="text1"/>
        </w:rPr>
        <w:t>二、纳税人退税账户与原缴税账户不一致的，须另行提交资料，并经税务机关确认。</w:t>
      </w:r>
    </w:p>
    <w:p>
      <w:pPr>
        <w:wordWrap w:val="0"/>
        <w:spacing w:line="360" w:lineRule="auto"/>
        <w:ind w:firstLine="480"/>
        <w:rPr>
          <w:rFonts w:hint="default" w:cs="Times New Roman"/>
          <w:color w:val="000000" w:themeColor="text1"/>
        </w:rPr>
      </w:pPr>
      <w:r>
        <w:rPr>
          <w:rFonts w:cs="Times New Roman"/>
          <w:color w:val="000000" w:themeColor="text1"/>
        </w:rPr>
        <w:t>三、本表一式四联，纳税人一联、税务机关三联。</w:t>
      </w:r>
    </w:p>
    <w:p>
      <w:pPr>
        <w:wordWrap w:val="0"/>
        <w:spacing w:line="360" w:lineRule="auto"/>
        <w:ind w:firstLine="480"/>
        <w:rPr>
          <w:rFonts w:hint="default" w:cs="Times New Roman"/>
          <w:color w:val="000000" w:themeColor="text1"/>
        </w:rPr>
      </w:pPr>
      <w:r>
        <w:rPr>
          <w:rFonts w:cs="Times New Roman"/>
          <w:color w:val="000000" w:themeColor="text1"/>
        </w:rPr>
        <w:t>四、申请人名称：填写纳税人或扣缴义务人名称。如申请留抵退税，应填写纳税人名称。</w:t>
      </w:r>
    </w:p>
    <w:p>
      <w:pPr>
        <w:wordWrap w:val="0"/>
        <w:spacing w:line="360" w:lineRule="auto"/>
        <w:ind w:firstLine="480"/>
        <w:rPr>
          <w:rFonts w:hint="default" w:cs="Times New Roman"/>
          <w:color w:val="000000" w:themeColor="text1"/>
        </w:rPr>
      </w:pPr>
      <w:r>
        <w:rPr>
          <w:rFonts w:cs="Times New Roman"/>
          <w:color w:val="000000" w:themeColor="text1"/>
        </w:rPr>
        <w:t>五、申请人身份：选择“纳税人”或“扣缴义务人”。如申请留抵退税，应选择“纳税人”。</w:t>
      </w:r>
    </w:p>
    <w:p>
      <w:pPr>
        <w:wordWrap w:val="0"/>
        <w:spacing w:line="360" w:lineRule="auto"/>
        <w:ind w:firstLine="480"/>
        <w:rPr>
          <w:rFonts w:hint="default" w:cs="Times New Roman"/>
          <w:color w:val="000000" w:themeColor="text1"/>
        </w:rPr>
      </w:pPr>
      <w:r>
        <w:rPr>
          <w:rFonts w:cs="Times New Roman"/>
          <w:color w:val="000000" w:themeColor="text1"/>
        </w:rPr>
        <w:t>六、纳税人名称：填写税务登记证所载纳税人的全称。</w:t>
      </w:r>
    </w:p>
    <w:p>
      <w:pPr>
        <w:wordWrap w:val="0"/>
        <w:spacing w:line="360" w:lineRule="auto"/>
        <w:ind w:firstLine="480"/>
        <w:rPr>
          <w:rFonts w:hint="default" w:cs="Times New Roman"/>
          <w:color w:val="000000" w:themeColor="text1"/>
        </w:rPr>
      </w:pPr>
      <w:r>
        <w:rPr>
          <w:rFonts w:cs="Times New Roman"/>
          <w:color w:val="000000" w:themeColor="text1"/>
        </w:rPr>
        <w:t>七、统一社会信用代码（纳税人识别号）：填写纳税人统一社会信用代码或税务机关统一核发的税务登记证号码。</w:t>
      </w:r>
    </w:p>
    <w:p>
      <w:pPr>
        <w:wordWrap w:val="0"/>
        <w:spacing w:line="360" w:lineRule="auto"/>
        <w:ind w:firstLine="480"/>
        <w:rPr>
          <w:rFonts w:hint="default" w:cs="Times New Roman"/>
          <w:color w:val="000000" w:themeColor="text1"/>
        </w:rPr>
      </w:pPr>
      <w:r>
        <w:rPr>
          <w:rFonts w:cs="Times New Roman"/>
          <w:color w:val="000000" w:themeColor="text1"/>
        </w:rPr>
        <w:t>八、联系人名称：填写联系人姓名。</w:t>
      </w:r>
    </w:p>
    <w:p>
      <w:pPr>
        <w:wordWrap w:val="0"/>
        <w:spacing w:line="360" w:lineRule="auto"/>
        <w:ind w:firstLine="480"/>
        <w:rPr>
          <w:rFonts w:hint="default" w:cs="Times New Roman"/>
          <w:color w:val="000000" w:themeColor="text1"/>
        </w:rPr>
      </w:pPr>
      <w:r>
        <w:rPr>
          <w:rFonts w:cs="Times New Roman"/>
          <w:color w:val="000000" w:themeColor="text1"/>
        </w:rPr>
        <w:t>九、联系电话：填写联系人固定电话号码或手机号码。</w:t>
      </w:r>
    </w:p>
    <w:p>
      <w:pPr>
        <w:wordWrap w:val="0"/>
        <w:spacing w:line="360" w:lineRule="auto"/>
        <w:ind w:firstLine="480"/>
        <w:rPr>
          <w:rFonts w:hint="default" w:cs="Times New Roman"/>
          <w:color w:val="000000" w:themeColor="text1"/>
        </w:rPr>
      </w:pPr>
      <w:r>
        <w:rPr>
          <w:rFonts w:cs="Times New Roman"/>
          <w:color w:val="000000" w:themeColor="text1"/>
        </w:rPr>
        <w:t>十、申请退税类型：选择“汇算结算退税”、“误收退税”或“留抵退税”。</w:t>
      </w:r>
    </w:p>
    <w:p>
      <w:pPr>
        <w:wordWrap w:val="0"/>
        <w:spacing w:line="360" w:lineRule="auto"/>
        <w:ind w:firstLine="480"/>
        <w:rPr>
          <w:rFonts w:hint="default" w:cs="Times New Roman"/>
          <w:color w:val="000000" w:themeColor="text1"/>
        </w:rPr>
      </w:pPr>
      <w:r>
        <w:rPr>
          <w:rFonts w:cs="Times New Roman"/>
          <w:color w:val="000000" w:themeColor="text1"/>
        </w:rPr>
        <w:t>十一、原完税情况：填写与汇算结算和误收税款退税相关信息。分税种、品目名称、税款所属时期、税票号码、实缴金额等项目，填写申请办理退税的已入库信息，上述信息应与完税费（缴款）凭证复印件、完税费（缴款）凭证原件或完税电子信息一致。</w:t>
      </w:r>
    </w:p>
    <w:p>
      <w:pPr>
        <w:wordWrap w:val="0"/>
        <w:spacing w:line="360" w:lineRule="auto"/>
        <w:ind w:firstLine="480"/>
        <w:rPr>
          <w:rFonts w:hint="default" w:cs="Times New Roman"/>
          <w:color w:val="000000" w:themeColor="text1"/>
        </w:rPr>
      </w:pPr>
      <w:r>
        <w:rPr>
          <w:rFonts w:cs="Times New Roman"/>
          <w:color w:val="000000" w:themeColor="text1"/>
        </w:rPr>
        <w:t>十二、申请退税金额：填写与汇算结算和误收税款退税相关的申请退（抵）税的金额，应小于等于原完税情况实缴金额合计。</w:t>
      </w:r>
    </w:p>
    <w:p>
      <w:pPr>
        <w:wordWrap w:val="0"/>
        <w:spacing w:line="360" w:lineRule="auto"/>
        <w:ind w:firstLine="480"/>
        <w:rPr>
          <w:rFonts w:hint="default" w:cs="Times New Roman"/>
          <w:color w:val="000000" w:themeColor="text1"/>
        </w:rPr>
      </w:pPr>
      <w:r>
        <w:rPr>
          <w:rFonts w:cs="Times New Roman"/>
          <w:color w:val="000000" w:themeColor="text1"/>
        </w:rPr>
        <w:t>十三、申请退税前36个月未发生骗取留抵退税、出口退税或虚开增值税专用发票情形，申请退税前36个月未因偷税被税务机关处罚两次及以上，自2019年4月1日起未享受即征即退、先征后返（退）政策，出口货物劳务、发生跨境应税行为，适用免抵退税办法：根据实际情况，选择“是”或“否”。</w:t>
      </w:r>
    </w:p>
    <w:p>
      <w:pPr>
        <w:wordWrap w:val="0"/>
        <w:spacing w:line="360" w:lineRule="auto"/>
        <w:ind w:firstLine="480"/>
        <w:rPr>
          <w:rFonts w:hint="default" w:cs="Times New Roman"/>
          <w:color w:val="000000" w:themeColor="text1"/>
        </w:rPr>
      </w:pPr>
      <w:r>
        <w:rPr>
          <w:rFonts w:cs="Times New Roman"/>
          <w:color w:val="000000" w:themeColor="text1"/>
        </w:rPr>
        <w:t>十四、连续六个月（按季纳税的，连续两个季度）增量留抵税额均大于零的起止时间：填写纳税人自2019年4月税款所属期起，连续六个月（按季纳税的，连续两个季度）增量留抵税额均大于零，且第六个月增量留抵税额不低于50万元的起止时间。</w:t>
      </w:r>
    </w:p>
    <w:p>
      <w:pPr>
        <w:wordWrap w:val="0"/>
        <w:spacing w:line="360" w:lineRule="auto"/>
        <w:ind w:firstLine="480"/>
        <w:rPr>
          <w:rFonts w:hint="default" w:cs="Times New Roman"/>
          <w:color w:val="000000" w:themeColor="text1"/>
        </w:rPr>
      </w:pPr>
      <w:r>
        <w:rPr>
          <w:rFonts w:cs="Times New Roman"/>
          <w:color w:val="000000" w:themeColor="text1"/>
        </w:rPr>
        <w:t>十五、本期已申报免抵退税应退税额：填写享受免抵退税政策的纳税人本期申请退还的免抵退税额。</w:t>
      </w:r>
    </w:p>
    <w:p>
      <w:pPr>
        <w:wordWrap w:val="0"/>
        <w:spacing w:line="360" w:lineRule="auto"/>
        <w:ind w:firstLine="480"/>
        <w:rPr>
          <w:rFonts w:hint="default" w:cs="Times New Roman"/>
          <w:color w:val="000000" w:themeColor="text1"/>
        </w:rPr>
      </w:pPr>
      <w:r>
        <w:rPr>
          <w:rFonts w:cs="Times New Roman"/>
          <w:color w:val="000000" w:themeColor="text1"/>
        </w:rPr>
        <w:t>十六、2019年4月至申请退税前一税款所属期已抵扣的增值税专用发票（含税控机动车销售统一发票）注明的增值税额：填写纳税人对应属期抵扣的增值税专用发票（含税控机动车销售统一发票）注明的增值税额；纳税人取得不动产或者不动产在建工程的进项税额不再分2年抵扣后一次性转入的进项税额，视同取得增值税专用发票抵扣的进项税额，也填入本项。</w:t>
      </w:r>
    </w:p>
    <w:p>
      <w:pPr>
        <w:wordWrap w:val="0"/>
        <w:spacing w:line="360" w:lineRule="auto"/>
        <w:ind w:firstLine="480"/>
        <w:rPr>
          <w:rFonts w:hint="default" w:cs="Times New Roman"/>
          <w:color w:val="000000" w:themeColor="text1"/>
        </w:rPr>
      </w:pPr>
      <w:r>
        <w:rPr>
          <w:rFonts w:cs="Times New Roman"/>
          <w:color w:val="000000" w:themeColor="text1"/>
        </w:rPr>
        <w:t>十七、2019年4月至申请退税前一税款所属期已抵扣的海关进口增值税专用缴款书注明的增值税额：填写纳税人对应属期抵扣的海关进口增值税专用缴款书注明的增值税额。</w:t>
      </w:r>
    </w:p>
    <w:p>
      <w:pPr>
        <w:wordWrap w:val="0"/>
        <w:spacing w:line="360" w:lineRule="auto"/>
        <w:ind w:firstLine="480"/>
        <w:rPr>
          <w:rFonts w:hint="default" w:cs="Times New Roman"/>
          <w:color w:val="000000" w:themeColor="text1"/>
        </w:rPr>
      </w:pPr>
      <w:r>
        <w:rPr>
          <w:rFonts w:cs="Times New Roman"/>
          <w:color w:val="000000" w:themeColor="text1"/>
        </w:rPr>
        <w:t>十八、2019年4月至申请退税前一税款所属期已抵扣的解缴税款完税凭证注明的增值税额：填写纳税人对应属期抵扣的解缴税款完税凭证注明的增值税额。</w:t>
      </w:r>
    </w:p>
    <w:p>
      <w:pPr>
        <w:wordWrap w:val="0"/>
        <w:spacing w:line="360" w:lineRule="auto"/>
        <w:ind w:firstLine="480"/>
        <w:rPr>
          <w:rFonts w:hint="default" w:cs="Times New Roman"/>
          <w:color w:val="000000" w:themeColor="text1"/>
        </w:rPr>
      </w:pPr>
      <w:r>
        <w:rPr>
          <w:rFonts w:cs="Times New Roman"/>
          <w:color w:val="000000" w:themeColor="text1"/>
        </w:rPr>
        <w:t>十九、2019年4月至申请退税前一税款所属期全部已抵扣的进项税额：填写纳税人对应属期全部已抵扣进项税额。</w:t>
      </w:r>
    </w:p>
    <w:p>
      <w:pPr>
        <w:wordWrap w:val="0"/>
        <w:spacing w:line="360" w:lineRule="auto"/>
        <w:ind w:firstLine="480"/>
        <w:rPr>
          <w:rFonts w:hint="default" w:cs="Times New Roman"/>
          <w:color w:val="000000" w:themeColor="text1"/>
        </w:rPr>
      </w:pPr>
      <w:r>
        <w:rPr>
          <w:rFonts w:cs="Times New Roman"/>
          <w:color w:val="000000" w:themeColor="text1"/>
        </w:rPr>
        <w:t>二十、本期申请退还的增量留抵税额：填写纳税人按照增量留抵税额×进项构成比例×60%计算后的本期申请退还的增量留抵税额。</w:t>
      </w:r>
    </w:p>
    <w:p>
      <w:pPr>
        <w:wordWrap w:val="0"/>
        <w:spacing w:line="360" w:lineRule="auto"/>
        <w:ind w:firstLine="480"/>
        <w:rPr>
          <w:rFonts w:hint="default" w:cs="Times New Roman"/>
          <w:color w:val="000000" w:themeColor="text1"/>
        </w:rPr>
      </w:pPr>
      <w:r>
        <w:rPr>
          <w:rFonts w:cs="Times New Roman"/>
          <w:color w:val="000000" w:themeColor="text1"/>
        </w:rPr>
        <w:t>进项构成比例=〔2019年4月至申请退税前一税款所属期已抵扣的增值税专用发票（含税控机动车销售统一发票）注明的增值税额+2019年4月至申请退税前一税款所属期已抵扣的海关进口增值税专用缴款书注明的增值税额+2019年4月至申请退税前一税款所属期已抵扣的解缴税款完税凭证注明的增值税额〕÷2019年4月至申请退税前一税款所属期全部已抵扣的进项税额</w:t>
      </w:r>
    </w:p>
    <w:p>
      <w:pPr>
        <w:wordWrap w:val="0"/>
        <w:spacing w:line="360" w:lineRule="auto"/>
        <w:ind w:firstLine="480"/>
        <w:rPr>
          <w:rFonts w:hint="default" w:cs="Times New Roman"/>
          <w:color w:val="000000" w:themeColor="text1"/>
        </w:rPr>
      </w:pPr>
      <w:r>
        <w:rPr>
          <w:rFonts w:cs="Times New Roman"/>
          <w:color w:val="000000" w:themeColor="text1"/>
        </w:rPr>
        <w:t>二十一、退税申请理由：简要概述退税申请理由，如果本次退税账户与原缴税账户不一致，需在此说明，并须另行提交资料，经税务机关登记确认。</w:t>
      </w:r>
    </w:p>
    <w:p>
      <w:pPr>
        <w:wordWrap w:val="0"/>
        <w:spacing w:line="360" w:lineRule="auto"/>
        <w:ind w:firstLine="480"/>
        <w:rPr>
          <w:rFonts w:hint="default" w:cs="Times New Roman"/>
          <w:color w:val="000000" w:themeColor="text1"/>
        </w:rPr>
      </w:pPr>
      <w:r>
        <w:rPr>
          <w:rFonts w:cs="Times New Roman"/>
          <w:color w:val="000000" w:themeColor="text1"/>
        </w:rPr>
        <w:t>二十二、受理情况：填写核对接受纳税人、扣缴义务人资料的情况。</w:t>
      </w:r>
    </w:p>
    <w:p>
      <w:pPr>
        <w:wordWrap w:val="0"/>
        <w:spacing w:line="360" w:lineRule="auto"/>
        <w:ind w:firstLine="480"/>
        <w:rPr>
          <w:rFonts w:hint="default" w:cs="Times New Roman"/>
          <w:color w:val="000000" w:themeColor="text1"/>
        </w:rPr>
      </w:pPr>
      <w:r>
        <w:rPr>
          <w:rFonts w:cs="Times New Roman"/>
          <w:color w:val="000000" w:themeColor="text1"/>
        </w:rPr>
        <w:t>二十三、退还方式：申请汇算结算或误收税款退税的，退还方式可以单选或多选，对于有欠税的纳税人，一般情况应选择“抵扣欠税”，对于选择“抵扣欠税”情况，可以取消该选择，将全部申请退税的金额，以“退库”方式办理。</w:t>
      </w:r>
    </w:p>
    <w:p>
      <w:pPr>
        <w:wordWrap w:val="0"/>
        <w:spacing w:line="360" w:lineRule="auto"/>
        <w:ind w:firstLine="480"/>
        <w:rPr>
          <w:rFonts w:hint="default" w:cs="Times New Roman"/>
          <w:color w:val="000000" w:themeColor="text1"/>
        </w:rPr>
      </w:pPr>
      <w:r>
        <w:rPr>
          <w:rFonts w:cs="Times New Roman"/>
          <w:color w:val="000000" w:themeColor="text1"/>
        </w:rPr>
        <w:t>申请留抵退税的，可同时选择“退库”和“抵扣欠税”。如果纳税人既有增值税欠税，又有期末留抵税额，按照《国家税务总局关于办理增值税期末留抵税额退税有关事项的公告》（国家税务总局公告2019年第20号）第九条第三项规定，以最近一期增值税纳税申报表期末留抵税额，抵减增值税欠税后的余额确定允许退还的增量留抵税额。</w:t>
      </w:r>
    </w:p>
    <w:p>
      <w:pPr>
        <w:wordWrap w:val="0"/>
        <w:spacing w:line="360" w:lineRule="auto"/>
        <w:ind w:firstLine="480"/>
        <w:rPr>
          <w:rFonts w:hint="default" w:cs="Times New Roman"/>
          <w:color w:val="000000" w:themeColor="text1"/>
        </w:rPr>
      </w:pPr>
      <w:r>
        <w:rPr>
          <w:rFonts w:cs="Times New Roman"/>
          <w:color w:val="000000" w:themeColor="text1"/>
        </w:rPr>
        <w:t>二十四、退税类型：税务机关依据纳税人申请事项，选择“汇算结算退税”、“误收退税”或“留抵退税”。</w:t>
      </w:r>
    </w:p>
    <w:p>
      <w:pPr>
        <w:wordWrap w:val="0"/>
        <w:spacing w:line="360" w:lineRule="auto"/>
        <w:ind w:firstLine="480"/>
        <w:rPr>
          <w:rFonts w:hint="default" w:cs="Times New Roman"/>
          <w:color w:val="000000" w:themeColor="text1"/>
        </w:rPr>
      </w:pPr>
      <w:r>
        <w:rPr>
          <w:rFonts w:cs="Times New Roman"/>
          <w:color w:val="000000" w:themeColor="text1"/>
        </w:rPr>
        <w:t>二十五、退税发起方式：纳税人申请汇算结算或误收税款退税的，税务机关选择“纳税人自行申请”或“税务机关发现并通知”；纳税人申请留抵退税的，税务机关选择“纳税人自行申请”。</w:t>
      </w:r>
    </w:p>
    <w:p>
      <w:pPr>
        <w:wordWrap w:val="0"/>
        <w:spacing w:line="360" w:lineRule="auto"/>
        <w:ind w:firstLine="480"/>
        <w:rPr>
          <w:rFonts w:hint="default" w:cs="Times New Roman"/>
          <w:color w:val="000000" w:themeColor="text1"/>
        </w:rPr>
      </w:pPr>
      <w:r>
        <w:rPr>
          <w:rFonts w:cs="Times New Roman"/>
          <w:color w:val="000000" w:themeColor="text1"/>
        </w:rPr>
        <w:t>二十六、退（抵）税金额：填写税务机关核准后的退（抵）税额。</w:t>
      </w:r>
    </w:p>
    <w:p>
      <w:pPr>
        <w:pStyle w:val="31"/>
        <w:adjustRightInd/>
        <w:snapToGrid/>
      </w:pPr>
      <w:r>
        <w:rPr>
          <w:rFonts w:hint="eastAsia"/>
        </w:rPr>
        <w:t>【政策依据】</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653"/>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33"/>
              <w:adjustRightInd/>
              <w:snapToGrid/>
              <w:spacing w:line="276" w:lineRule="auto"/>
            </w:pPr>
            <w:r>
              <w:rPr>
                <w:rFonts w:hint="eastAsia"/>
              </w:rPr>
              <w:t>序号</w:t>
            </w:r>
          </w:p>
        </w:tc>
        <w:tc>
          <w:tcPr>
            <w:tcW w:w="5653" w:type="dxa"/>
            <w:vAlign w:val="center"/>
          </w:tcPr>
          <w:p>
            <w:pPr>
              <w:pStyle w:val="33"/>
              <w:adjustRightInd/>
              <w:snapToGrid/>
              <w:spacing w:line="276" w:lineRule="auto"/>
            </w:pPr>
            <w:r>
              <w:rPr>
                <w:rFonts w:hint="eastAsia"/>
              </w:rPr>
              <w:t>文件名称</w:t>
            </w:r>
          </w:p>
        </w:tc>
        <w:tc>
          <w:tcPr>
            <w:tcW w:w="1684"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1</w:t>
            </w:r>
          </w:p>
        </w:tc>
        <w:tc>
          <w:tcPr>
            <w:tcW w:w="5653" w:type="dxa"/>
            <w:vAlign w:val="center"/>
          </w:tcPr>
          <w:p>
            <w:pPr>
              <w:pStyle w:val="50"/>
              <w:adjustRightInd/>
              <w:snapToGrid/>
              <w:spacing w:line="276" w:lineRule="auto"/>
            </w:pPr>
            <w:r>
              <w:rPr>
                <w:rFonts w:hint="eastAsia"/>
              </w:rPr>
              <w:t>《中华人民共和国税收征收管理法》</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t>2</w:t>
            </w:r>
          </w:p>
        </w:tc>
        <w:tc>
          <w:tcPr>
            <w:tcW w:w="5653" w:type="dxa"/>
            <w:vAlign w:val="center"/>
          </w:tcPr>
          <w:p>
            <w:pPr>
              <w:pStyle w:val="50"/>
              <w:adjustRightInd/>
              <w:snapToGrid/>
              <w:spacing w:line="276" w:lineRule="auto"/>
            </w:pPr>
            <w:r>
              <w:rPr>
                <w:rFonts w:hint="eastAsia"/>
              </w:rPr>
              <w:t>《中华人民共和国车船税法》</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3</w:t>
            </w:r>
          </w:p>
        </w:tc>
        <w:tc>
          <w:tcPr>
            <w:tcW w:w="5653" w:type="dxa"/>
            <w:vAlign w:val="center"/>
          </w:tcPr>
          <w:p>
            <w:pPr>
              <w:pStyle w:val="50"/>
              <w:adjustRightInd/>
              <w:snapToGrid/>
              <w:spacing w:line="276" w:lineRule="auto"/>
            </w:pPr>
            <w:r>
              <w:rPr>
                <w:rFonts w:hint="eastAsia"/>
              </w:rPr>
              <w:t>《中华人民共和国税收征收管理法实施细则》</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4</w:t>
            </w:r>
          </w:p>
        </w:tc>
        <w:tc>
          <w:tcPr>
            <w:tcW w:w="5653" w:type="dxa"/>
            <w:vAlign w:val="center"/>
          </w:tcPr>
          <w:p>
            <w:pPr>
              <w:pStyle w:val="50"/>
              <w:adjustRightInd/>
              <w:snapToGrid/>
              <w:spacing w:line="276" w:lineRule="auto"/>
            </w:pPr>
            <w:r>
              <w:rPr>
                <w:rFonts w:hint="eastAsia"/>
              </w:rPr>
              <w:t>《中华人民共和国车船税法实施条例》</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5</w:t>
            </w:r>
          </w:p>
        </w:tc>
        <w:tc>
          <w:tcPr>
            <w:tcW w:w="5653" w:type="dxa"/>
            <w:vAlign w:val="center"/>
          </w:tcPr>
          <w:p>
            <w:pPr>
              <w:pStyle w:val="50"/>
              <w:adjustRightInd/>
              <w:snapToGrid/>
              <w:spacing w:line="276" w:lineRule="auto"/>
            </w:pPr>
            <w:r>
              <w:rPr>
                <w:rFonts w:hint="eastAsia"/>
              </w:rPr>
              <w:t>《国家税务总局关于车船税征管若干问题的公告》（国家税务总局公告</w:t>
            </w:r>
            <w:r>
              <w:t>2013</w:t>
            </w:r>
            <w:r>
              <w:rPr>
                <w:rFonts w:hint="eastAsia"/>
              </w:rPr>
              <w:t>年第</w:t>
            </w:r>
            <w:r>
              <w:t>42</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6</w:t>
            </w:r>
          </w:p>
        </w:tc>
        <w:tc>
          <w:tcPr>
            <w:tcW w:w="5653" w:type="dxa"/>
            <w:vAlign w:val="center"/>
          </w:tcPr>
          <w:p>
            <w:pPr>
              <w:pStyle w:val="50"/>
              <w:adjustRightInd/>
              <w:snapToGrid/>
              <w:spacing w:line="276" w:lineRule="auto"/>
            </w:pPr>
            <w:r>
              <w:rPr>
                <w:rFonts w:hint="eastAsia"/>
              </w:rPr>
              <w:t>《国家税务总局关于发布</w:t>
            </w:r>
            <w:r>
              <w:t>&lt;</w:t>
            </w:r>
            <w:r>
              <w:rPr>
                <w:rFonts w:hint="eastAsia"/>
              </w:rPr>
              <w:t>车船税管理规程（试行）</w:t>
            </w:r>
            <w:r>
              <w:t>&gt;</w:t>
            </w:r>
            <w:r>
              <w:rPr>
                <w:rFonts w:hint="eastAsia"/>
              </w:rPr>
              <w:t>的公告》（国家税务总局公告</w:t>
            </w:r>
            <w:r>
              <w:t>2015</w:t>
            </w:r>
            <w:r>
              <w:rPr>
                <w:rFonts w:hint="eastAsia"/>
              </w:rPr>
              <w:t>年第</w:t>
            </w:r>
            <w:r>
              <w:t>83</w:t>
            </w:r>
            <w:r>
              <w:rPr>
                <w:rFonts w:hint="eastAsia"/>
              </w:rPr>
              <w:t>号）</w:t>
            </w:r>
          </w:p>
        </w:tc>
        <w:tc>
          <w:tcPr>
            <w:tcW w:w="1684"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7</w:t>
            </w:r>
          </w:p>
        </w:tc>
        <w:tc>
          <w:tcPr>
            <w:tcW w:w="5653"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8</w:t>
            </w:r>
          </w:p>
        </w:tc>
        <w:tc>
          <w:tcPr>
            <w:tcW w:w="5653"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684"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Align w:val="center"/>
          </w:tcPr>
          <w:p>
            <w:pPr>
              <w:pStyle w:val="50"/>
              <w:adjustRightInd/>
              <w:snapToGrid/>
              <w:spacing w:line="276" w:lineRule="auto"/>
            </w:pPr>
            <w:r>
              <w:rPr>
                <w:rFonts w:hint="eastAsia"/>
              </w:rPr>
              <w:t>9</w:t>
            </w:r>
          </w:p>
        </w:tc>
        <w:tc>
          <w:tcPr>
            <w:tcW w:w="5653"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684" w:type="dxa"/>
            <w:vAlign w:val="center"/>
          </w:tcPr>
          <w:p>
            <w:pPr>
              <w:pStyle w:val="50"/>
              <w:adjustRightInd/>
              <w:snapToGrid/>
              <w:spacing w:line="276" w:lineRule="auto"/>
            </w:pPr>
            <w:r>
              <w:rPr>
                <w:rFonts w:hint="eastAsia"/>
              </w:rPr>
              <w:t>依申请公开</w:t>
            </w:r>
          </w:p>
        </w:tc>
      </w:tr>
    </w:tbl>
    <w:p>
      <w:pPr>
        <w:pStyle w:val="29"/>
        <w:wordWrap w:val="0"/>
        <w:spacing w:before="1008" w:after="504"/>
        <w:rPr>
          <w:color w:val="000000" w:themeColor="text1"/>
        </w:rPr>
      </w:pPr>
      <w:bookmarkStart w:id="288" w:name="_Toc18096195"/>
      <w:bookmarkStart w:id="289" w:name="_Toc19983"/>
      <w:r>
        <w:rPr>
          <w:rFonts w:hint="eastAsia"/>
          <w:color w:val="000000" w:themeColor="text1"/>
        </w:rPr>
        <w:t>3.26　　申报错误更正</w:t>
      </w:r>
      <w:bookmarkEnd w:id="288"/>
      <w:bookmarkEnd w:id="289"/>
    </w:p>
    <w:p>
      <w:pPr>
        <w:pStyle w:val="30"/>
        <w:wordWrap w:val="0"/>
        <w:topLinePunct w:val="0"/>
        <w:spacing w:before="336" w:after="336"/>
        <w:rPr>
          <w:color w:val="000000" w:themeColor="text1"/>
        </w:rPr>
      </w:pPr>
      <w:bookmarkStart w:id="290" w:name="_Toc18096196"/>
      <w:bookmarkStart w:id="291" w:name="_Toc15440"/>
      <w:r>
        <w:rPr>
          <w:rFonts w:hint="eastAsia"/>
          <w:color w:val="000000" w:themeColor="text1"/>
        </w:rPr>
        <w:t>3.26.1—12</w:t>
      </w:r>
      <w:r>
        <w:rPr>
          <w:color w:val="000000" w:themeColor="text1"/>
        </w:rPr>
        <w:t>5　</w:t>
      </w:r>
      <w:bookmarkStart w:id="292" w:name="_Hlk12517744"/>
      <w:r>
        <w:rPr>
          <w:color w:val="000000" w:themeColor="text1"/>
        </w:rPr>
        <w:t>　</w:t>
      </w:r>
      <w:r>
        <w:rPr>
          <w:rFonts w:hint="eastAsia"/>
          <w:color w:val="000000" w:themeColor="text1"/>
        </w:rPr>
        <w:t>申报错误</w:t>
      </w:r>
      <w:r>
        <w:rPr>
          <w:color w:val="000000" w:themeColor="text1"/>
        </w:rPr>
        <w:t>更正</w:t>
      </w:r>
      <w:bookmarkEnd w:id="290"/>
      <w:bookmarkEnd w:id="291"/>
      <w:bookmarkEnd w:id="292"/>
    </w:p>
    <w:p>
      <w:pPr>
        <w:pStyle w:val="31"/>
        <w:wordWrap w:val="0"/>
        <w:adjustRightInd/>
        <w:snapToGrid/>
        <w:rPr>
          <w:color w:val="000000" w:themeColor="text1"/>
        </w:rPr>
      </w:pPr>
      <w:r>
        <w:rPr>
          <w:rFonts w:hint="eastAsia"/>
          <w:color w:val="000000" w:themeColor="text1"/>
        </w:rPr>
        <w:t>【事项名称】</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申报错误更正</w:t>
      </w:r>
    </w:p>
    <w:p>
      <w:pPr>
        <w:pStyle w:val="31"/>
        <w:wordWrap w:val="0"/>
        <w:adjustRightInd/>
        <w:snapToGrid/>
        <w:rPr>
          <w:color w:val="000000" w:themeColor="text1"/>
        </w:rPr>
      </w:pPr>
      <w:r>
        <w:rPr>
          <w:rFonts w:hint="eastAsia"/>
          <w:color w:val="000000" w:themeColor="text1"/>
        </w:rPr>
        <w:t>【业务描述】</w:t>
      </w:r>
    </w:p>
    <w:p>
      <w:pPr>
        <w:pStyle w:val="41"/>
        <w:wordWrap w:val="0"/>
        <w:adjustRightInd/>
        <w:snapToGrid/>
        <w:rPr>
          <w:color w:val="000000" w:themeColor="text1"/>
        </w:rPr>
      </w:pPr>
      <w:r>
        <w:rPr>
          <w:rFonts w:hint="eastAsia"/>
          <w:color w:val="000000" w:themeColor="text1"/>
        </w:rPr>
        <w:t>纳税人、缴费人、扣缴义务人办理纳税申报后，发现申报表存在错误，完成</w:t>
      </w:r>
      <w:r>
        <w:rPr>
          <w:color w:val="000000" w:themeColor="text1"/>
        </w:rPr>
        <w:t>修改更正或作废。申报错误更正时（除个人所得税）只能全量更正或者申报作废，不允许差额更正或补充申报。</w:t>
      </w:r>
    </w:p>
    <w:p>
      <w:pPr>
        <w:pStyle w:val="31"/>
        <w:wordWrap w:val="0"/>
        <w:adjustRightInd/>
        <w:snapToGrid/>
        <w:rPr>
          <w:color w:val="000000" w:themeColor="text1"/>
        </w:rPr>
      </w:pPr>
      <w:r>
        <w:rPr>
          <w:rFonts w:hint="eastAsia"/>
          <w:color w:val="000000" w:themeColor="text1"/>
        </w:rPr>
        <w:t>【设定依据】</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《中华人民共和国税收征收管理法》第二十五条第一款</w:t>
      </w:r>
    </w:p>
    <w:p>
      <w:pPr>
        <w:pStyle w:val="31"/>
        <w:wordWrap w:val="0"/>
        <w:adjustRightInd/>
        <w:snapToGrid/>
        <w:rPr>
          <w:color w:val="000000" w:themeColor="text1"/>
        </w:rPr>
      </w:pPr>
      <w:r>
        <w:rPr>
          <w:rFonts w:hint="eastAsia"/>
          <w:color w:val="000000" w:themeColor="text1"/>
        </w:rPr>
        <w:t>【办理材料】</w:t>
      </w:r>
    </w:p>
    <w:p>
      <w:pPr>
        <w:pStyle w:val="31"/>
        <w:wordWrap w:val="0"/>
        <w:adjustRightInd/>
        <w:snapToGrid/>
        <w:spacing w:line="480" w:lineRule="auto"/>
        <w:ind w:firstLine="420" w:firstLineChars="0"/>
        <w:rPr>
          <w:rFonts w:ascii="宋体" w:hAnsi="宋体" w:eastAsia="宋体"/>
          <w:bCs w:val="0"/>
          <w:color w:val="000000" w:themeColor="text1"/>
        </w:rPr>
      </w:pPr>
      <w:r>
        <w:rPr>
          <w:rFonts w:hint="eastAsia" w:ascii="Times New Roman" w:hAnsi="Times New Roman" w:eastAsia="宋体"/>
          <w:bCs w:val="0"/>
          <w:color w:val="000000" w:themeColor="text1"/>
        </w:rPr>
        <w:t>1.</w:t>
      </w:r>
      <w:r>
        <w:rPr>
          <w:rFonts w:hint="eastAsia" w:ascii="宋体" w:hAnsi="宋体" w:eastAsia="宋体"/>
          <w:bCs w:val="0"/>
          <w:color w:val="000000" w:themeColor="text1"/>
        </w:rPr>
        <w:t>直接对申报表上的申报数据进行更正：</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更正后的相关税（费）种纳税申报表</w:t>
            </w:r>
          </w:p>
        </w:tc>
        <w:tc>
          <w:tcPr>
            <w:tcW w:w="68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2</w:t>
            </w:r>
            <w:r>
              <w:rPr>
                <w:color w:val="000000" w:themeColor="text1"/>
              </w:rPr>
              <w:t>份</w:t>
            </w:r>
          </w:p>
        </w:tc>
        <w:tc>
          <w:tcPr>
            <w:tcW w:w="2268"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spacing w:line="480" w:lineRule="auto"/>
        <w:ind w:firstLine="420" w:firstLineChars="0"/>
        <w:rPr>
          <w:rFonts w:ascii="宋体" w:hAnsi="宋体" w:eastAsia="宋体"/>
          <w:bCs w:val="0"/>
          <w:color w:val="000000" w:themeColor="text1"/>
        </w:rPr>
      </w:pPr>
      <w:r>
        <w:rPr>
          <w:rFonts w:hint="eastAsia" w:ascii="Times New Roman" w:hAnsi="Times New Roman" w:eastAsia="宋体"/>
          <w:bCs w:val="0"/>
          <w:color w:val="000000" w:themeColor="text1"/>
        </w:rPr>
        <w:t>2.</w:t>
      </w:r>
      <w:r>
        <w:rPr>
          <w:rFonts w:hint="eastAsia" w:ascii="宋体" w:hAnsi="宋体" w:eastAsia="宋体"/>
          <w:bCs w:val="0"/>
          <w:color w:val="000000" w:themeColor="text1"/>
        </w:rPr>
        <w:t>对申报表数据进行作废，事后重新申报：</w:t>
      </w:r>
    </w:p>
    <w:tbl>
      <w:tblPr>
        <w:tblStyle w:val="18"/>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4535"/>
        <w:gridCol w:w="68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序号</w:t>
            </w:r>
          </w:p>
        </w:tc>
        <w:tc>
          <w:tcPr>
            <w:tcW w:w="4535"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材料名称</w:t>
            </w:r>
          </w:p>
        </w:tc>
        <w:tc>
          <w:tcPr>
            <w:tcW w:w="680"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数量</w:t>
            </w:r>
          </w:p>
        </w:tc>
        <w:tc>
          <w:tcPr>
            <w:tcW w:w="2268" w:type="dxa"/>
            <w:shd w:val="clear" w:color="auto" w:fill="D9D9D9"/>
            <w:vAlign w:val="center"/>
          </w:tcPr>
          <w:p>
            <w:pPr>
              <w:pStyle w:val="32"/>
              <w:wordWrap w:val="0"/>
              <w:adjustRightInd/>
              <w:snapToGrid/>
              <w:spacing w:line="240" w:lineRule="auto"/>
              <w:rPr>
                <w:color w:val="000000" w:themeColor="text1"/>
              </w:rPr>
            </w:pPr>
            <w:r>
              <w:rPr>
                <w:rFonts w:hint="eastAsia"/>
                <w:color w:val="000000" w:themeColor="text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68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p>
        </w:tc>
        <w:tc>
          <w:tcPr>
            <w:tcW w:w="4535"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color w:val="000000" w:themeColor="text1"/>
              </w:rPr>
              <w:t>《申报表作废申请单》</w:t>
            </w:r>
          </w:p>
        </w:tc>
        <w:tc>
          <w:tcPr>
            <w:tcW w:w="680"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r>
              <w:rPr>
                <w:rFonts w:hint="eastAsia" w:ascii="Times New Roman" w:hAnsi="Times New Roman"/>
                <w:color w:val="000000" w:themeColor="text1"/>
              </w:rPr>
              <w:t>1</w:t>
            </w:r>
            <w:r>
              <w:rPr>
                <w:rFonts w:hint="eastAsia"/>
                <w:color w:val="000000" w:themeColor="text1"/>
              </w:rPr>
              <w:t>份</w:t>
            </w:r>
          </w:p>
        </w:tc>
        <w:tc>
          <w:tcPr>
            <w:tcW w:w="2268" w:type="dxa"/>
            <w:tcBorders>
              <w:left w:val="single" w:color="auto" w:sz="4" w:space="0"/>
              <w:right w:val="single" w:color="auto" w:sz="4" w:space="0"/>
            </w:tcBorders>
            <w:vAlign w:val="center"/>
          </w:tcPr>
          <w:p>
            <w:pPr>
              <w:pStyle w:val="34"/>
              <w:wordWrap w:val="0"/>
              <w:adjustRightInd/>
              <w:snapToGrid/>
              <w:spacing w:line="240" w:lineRule="auto"/>
              <w:rPr>
                <w:color w:val="000000" w:themeColor="text1"/>
              </w:rPr>
            </w:pPr>
          </w:p>
        </w:tc>
      </w:tr>
    </w:tbl>
    <w:p>
      <w:pPr>
        <w:pStyle w:val="31"/>
        <w:wordWrap w:val="0"/>
        <w:adjustRightInd/>
        <w:snapToGrid/>
        <w:rPr>
          <w:color w:val="000000" w:themeColor="text1"/>
        </w:rPr>
      </w:pPr>
      <w:r>
        <w:rPr>
          <w:rFonts w:hint="eastAsia"/>
          <w:color w:val="000000" w:themeColor="text1"/>
        </w:rPr>
        <w:t>【办理地点】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ascii="宋体" w:hAnsi="宋体" w:cs="Times New Roman"/>
          <w:color w:val="000000" w:themeColor="text1"/>
        </w:rPr>
        <w:t>可通过办税服务厅（场所）、国家税务总局湖南省电子税务局（https://etax.hunan.chinatax.gov.cn）办理，</w:t>
      </w:r>
      <w:r>
        <w:rPr>
          <w:rFonts w:hint="default" w:ascii="宋体" w:hAnsi="宋体" w:cs="Times New Roman"/>
          <w:color w:val="000000" w:themeColor="text1"/>
        </w:rPr>
        <w:t>办税服务厅（场所）的具体地点可从国家税务总局湖南省税务局网站“纳税服务”栏目查询。</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ascii="宋体" w:hAnsi="宋体" w:cs="Times New Roman"/>
          <w:color w:val="000000" w:themeColor="text1"/>
        </w:rPr>
        <w:t>此事项可同城通办。</w:t>
      </w:r>
    </w:p>
    <w:p>
      <w:pPr>
        <w:pStyle w:val="31"/>
        <w:wordWrap w:val="0"/>
        <w:adjustRightInd/>
        <w:snapToGrid/>
        <w:rPr>
          <w:color w:val="000000" w:themeColor="text1"/>
        </w:rPr>
      </w:pPr>
      <w:r>
        <w:rPr>
          <w:rFonts w:hint="eastAsia"/>
          <w:color w:val="000000" w:themeColor="text1"/>
        </w:rPr>
        <w:t>【办理机构】</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主管税务机关</w:t>
      </w:r>
    </w:p>
    <w:p>
      <w:pPr>
        <w:pStyle w:val="31"/>
        <w:wordWrap w:val="0"/>
        <w:adjustRightInd/>
        <w:snapToGrid/>
        <w:rPr>
          <w:color w:val="000000" w:themeColor="text1"/>
        </w:rPr>
      </w:pPr>
      <w:r>
        <w:rPr>
          <w:rFonts w:hint="eastAsia"/>
          <w:color w:val="000000" w:themeColor="text1"/>
        </w:rPr>
        <w:t>【收费标准】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不收费</w:t>
      </w:r>
    </w:p>
    <w:p>
      <w:pPr>
        <w:pStyle w:val="31"/>
        <w:wordWrap w:val="0"/>
        <w:adjustRightInd/>
        <w:snapToGrid/>
        <w:rPr>
          <w:color w:val="000000" w:themeColor="text1"/>
        </w:rPr>
      </w:pPr>
      <w:r>
        <w:rPr>
          <w:rFonts w:hint="eastAsia"/>
          <w:color w:val="000000" w:themeColor="text1"/>
        </w:rPr>
        <w:t>【办理时间】</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即时办结</w:t>
      </w:r>
    </w:p>
    <w:p>
      <w:pPr>
        <w:pStyle w:val="31"/>
        <w:wordWrap w:val="0"/>
        <w:adjustRightInd/>
        <w:snapToGrid/>
        <w:rPr>
          <w:color w:val="000000" w:themeColor="text1"/>
        </w:rPr>
      </w:pPr>
      <w:r>
        <w:rPr>
          <w:rFonts w:hint="eastAsia"/>
          <w:color w:val="000000" w:themeColor="text1"/>
        </w:rPr>
        <w:t>【联系电话】</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主管税务机关对外公开的联系电话，可从国家税务总局湖南省税务局网站“纳税服务”栏目查询。</w:t>
      </w:r>
    </w:p>
    <w:p>
      <w:pPr>
        <w:pStyle w:val="31"/>
        <w:wordWrap w:val="0"/>
        <w:adjustRightInd/>
        <w:snapToGrid/>
        <w:rPr>
          <w:color w:val="000000" w:themeColor="text1"/>
        </w:rPr>
      </w:pPr>
      <w:r>
        <w:rPr>
          <w:rFonts w:hint="eastAsia"/>
          <w:color w:val="000000" w:themeColor="text1"/>
        </w:rPr>
        <w:t>【办理流程】</w:t>
      </w:r>
    </w:p>
    <w:p>
      <w:pPr>
        <w:pStyle w:val="31"/>
        <w:adjustRightInd/>
        <w:snapToGrid/>
        <w:ind w:firstLine="0" w:firstLineChars="0"/>
        <w:jc w:val="center"/>
        <w:rPr>
          <w:color w:val="000000" w:themeColor="text1"/>
        </w:rPr>
      </w:pPr>
      <w:r>
        <w:rPr>
          <w:color w:val="000000" w:themeColor="text1"/>
        </w:rPr>
        <w:drawing>
          <wp:inline distT="0" distB="0" distL="114300" distR="114300">
            <wp:extent cx="5045075" cy="1718945"/>
            <wp:effectExtent l="0" t="0" r="14605" b="0"/>
            <wp:docPr id="78" name="图片 55"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5" descr="C:\Users\baoqianyu\Desktop\流程图\即办\纳税人.png纳税人"/>
                    <pic:cNvPicPr>
                      <a:picLocks noChangeAspect="1"/>
                    </pic:cNvPicPr>
                  </pic:nvPicPr>
                  <pic:blipFill>
                    <a:blip r:embed="rId11"/>
                    <a:srcRect/>
                    <a:stretch>
                      <a:fillRect/>
                    </a:stretch>
                  </pic:blipFill>
                  <pic:spPr>
                    <a:xfrm>
                      <a:off x="0" y="0"/>
                      <a:ext cx="5045075" cy="1718945"/>
                    </a:xfrm>
                    <a:prstGeom prst="rect">
                      <a:avLst/>
                    </a:prstGeom>
                    <a:noFill/>
                    <a:ln>
                      <a:noFill/>
                    </a:ln>
                  </pic:spPr>
                </pic:pic>
              </a:graphicData>
            </a:graphic>
          </wp:inline>
        </w:drawing>
      </w:r>
    </w:p>
    <w:p>
      <w:pPr>
        <w:pStyle w:val="31"/>
        <w:wordWrap w:val="0"/>
        <w:adjustRightInd/>
        <w:snapToGrid/>
        <w:rPr>
          <w:color w:val="000000" w:themeColor="text1"/>
        </w:rPr>
      </w:pPr>
      <w:r>
        <w:rPr>
          <w:rFonts w:hint="eastAsia"/>
          <w:color w:val="000000" w:themeColor="text1"/>
        </w:rPr>
        <w:t>【纳税人注意事项】</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纳税人对报送材料的真实性和合法性承担责任。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文书表单可在国家税务总局湖南省税务局网站“下载中心”栏目查询下载或到办税服务厅领取。</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税务机关提供“最多跑一次”服务。纳税人在资料完整且符合法定受理条件的前提下，最多只需要到税务机关跑一次。</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纳税人使用符合电子签名法规定条件的电子签名，与手写签名或者盖章具有同等法律效力。</w:t>
      </w:r>
    </w:p>
    <w:p>
      <w:pPr>
        <w:wordWrap w:val="0"/>
        <w:spacing w:line="360" w:lineRule="auto"/>
        <w:ind w:firstLine="480"/>
        <w:rPr>
          <w:rFonts w:hint="default" w:ascii="宋体" w:hAnsi="宋体" w:cs="Times New Roman"/>
          <w:color w:val="000000" w:themeColor="text1"/>
        </w:rPr>
      </w:pPr>
      <w:r>
        <w:rPr>
          <w:rFonts w:cs="Times New Roman"/>
          <w:color w:val="000000" w:themeColor="text1"/>
        </w:rPr>
        <w:t>5.</w:t>
      </w:r>
      <w:r>
        <w:rPr>
          <w:rFonts w:hint="default" w:ascii="宋体" w:hAnsi="宋体" w:cs="Times New Roman"/>
          <w:color w:val="000000" w:themeColor="text1"/>
        </w:rPr>
        <w:t>纳税人未按照规定的期限办理纳税申报和报送纳税资料的，将影响纳税信用评价结果，并依照《中华人民共和国税收征收管理法》有关规定承担相应法律责任。</w:t>
      </w:r>
    </w:p>
    <w:p>
      <w:pPr>
        <w:wordWrap w:val="0"/>
        <w:spacing w:line="360" w:lineRule="auto"/>
        <w:ind w:firstLine="480"/>
        <w:rPr>
          <w:rFonts w:hint="default" w:ascii="宋体" w:hAnsi="宋体" w:cs="Times New Roman"/>
          <w:color w:val="000000" w:themeColor="text1"/>
        </w:rPr>
      </w:pPr>
      <w:r>
        <w:rPr>
          <w:rFonts w:cs="Times New Roman"/>
          <w:color w:val="000000" w:themeColor="text1"/>
        </w:rPr>
        <w:t>6.</w:t>
      </w:r>
      <w:r>
        <w:rPr>
          <w:rFonts w:ascii="宋体" w:hAnsi="宋体" w:cs="Times New Roman"/>
          <w:color w:val="000000" w:themeColor="text1"/>
        </w:rPr>
        <w:t>作废申报表只能在对应申报当期的申报期限之内，且未开具完税凭证或划缴税款的情况下进行，否则不能作废申报表，只能对已申报的申报表进行更正处理。</w:t>
      </w:r>
    </w:p>
    <w:p>
      <w:pPr>
        <w:wordWrap w:val="0"/>
        <w:spacing w:line="360" w:lineRule="auto"/>
        <w:ind w:firstLine="480"/>
        <w:rPr>
          <w:rFonts w:hint="default" w:ascii="宋体" w:hAnsi="宋体" w:cs="Times New Roman"/>
          <w:color w:val="000000" w:themeColor="text1"/>
        </w:rPr>
      </w:pPr>
      <w:r>
        <w:rPr>
          <w:rFonts w:cs="Times New Roman"/>
          <w:color w:val="000000" w:themeColor="text1"/>
        </w:rPr>
        <w:t>7.</w:t>
      </w:r>
      <w:r>
        <w:rPr>
          <w:rFonts w:hint="default" w:ascii="宋体" w:hAnsi="宋体" w:cs="Times New Roman"/>
          <w:color w:val="000000" w:themeColor="text1"/>
        </w:rPr>
        <w:t>个人所得税允许增量更正和部分更正:</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如纳税人已完成年度申报，不允许更正预缴申报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hint="default" w:ascii="宋体" w:hAnsi="宋体" w:cs="Times New Roman"/>
          <w:color w:val="000000" w:themeColor="text1"/>
        </w:rPr>
        <w:t>年度综合所得申报中有上年度的结转时，如更正上年度的综合所得年度申报，应提醒纳税人一并更正本年年度综合所得申报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w:t>
      </w:r>
      <w:r>
        <w:rPr>
          <w:rFonts w:hint="default" w:ascii="宋体" w:hAnsi="宋体" w:cs="Times New Roman"/>
          <w:color w:val="000000" w:themeColor="text1"/>
        </w:rPr>
        <w:t>同一扣缴义务人连续性综合所得已有下期预缴申报的，可采用部分、增量更正方式进行更正，更正时需采集扣缴义务人更正申报的原因等信息，如年中更正预缴的，也需连带更正后期的预缴申报，并作相应更正的提示信息，对未进行后期更正的，不允许进行正常预缴申报，对更正涉及的纳税人，在更正完成后通知相应的纳税人更正的情况</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w:t>
      </w:r>
      <w:r>
        <w:rPr>
          <w:rFonts w:hint="default" w:ascii="宋体" w:hAnsi="宋体" w:cs="Times New Roman"/>
          <w:color w:val="000000" w:themeColor="text1"/>
        </w:rPr>
        <w:t>限售股已进行清算时，不能更正该人的限售股的扣缴申报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cs="Times New Roman"/>
          <w:color w:val="000000" w:themeColor="text1"/>
        </w:rPr>
        <w:t>8.</w:t>
      </w:r>
      <w:r>
        <w:rPr>
          <w:rFonts w:hint="default" w:ascii="宋体" w:hAnsi="宋体" w:cs="Times New Roman"/>
          <w:color w:val="000000" w:themeColor="text1"/>
        </w:rPr>
        <w:t>社保费申报错误需要更正时，在满足条件的情况下，可以通过作废原申报表，重新申报。针对企业申报后的是否已开票或入库的不同情况，能否作废的规定如下:</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当月已申报未开票未入库的，可以作废申报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hint="default" w:ascii="宋体" w:hAnsi="宋体" w:cs="Times New Roman"/>
          <w:color w:val="000000" w:themeColor="text1"/>
        </w:rPr>
        <w:t>当月已申报已开票未入库的，应当作废已开票信息，再进行作废申报</w:t>
      </w:r>
      <w:r>
        <w:rPr>
          <w:rFonts w:ascii="宋体" w:hAnsi="宋体" w:cs="Times New Roman"/>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w:t>
      </w:r>
      <w:r>
        <w:rPr>
          <w:rFonts w:hint="default" w:ascii="宋体" w:hAnsi="宋体" w:cs="Times New Roman"/>
          <w:color w:val="000000" w:themeColor="text1"/>
        </w:rPr>
        <w:t>当月已申报已开票已入库的，不可以作废申报，可以补充申报。</w:t>
      </w:r>
    </w:p>
    <w:p>
      <w:pPr>
        <w:wordWrap w:val="0"/>
        <w:spacing w:line="360" w:lineRule="auto"/>
        <w:ind w:firstLine="480"/>
        <w:rPr>
          <w:rFonts w:hint="default" w:ascii="宋体" w:hAnsi="宋体" w:cs="Times New Roman"/>
          <w:color w:val="000000" w:themeColor="text1"/>
        </w:rPr>
      </w:pPr>
      <w:r>
        <w:rPr>
          <w:rFonts w:cs="Times New Roman"/>
          <w:color w:val="000000" w:themeColor="text1"/>
        </w:rPr>
        <w:t>9.</w:t>
      </w:r>
      <w:r>
        <w:rPr>
          <w:rFonts w:hint="default" w:ascii="宋体" w:hAnsi="宋体" w:cs="Times New Roman"/>
          <w:color w:val="000000" w:themeColor="text1"/>
        </w:rPr>
        <w:t>申报错误更正后，如涉及补缴税款，应按规定加收滞纳金。</w:t>
      </w:r>
    </w:p>
    <w:p>
      <w:pPr>
        <w:pStyle w:val="31"/>
        <w:wordWrap w:val="0"/>
        <w:adjustRightInd/>
        <w:snapToGrid/>
        <w:rPr>
          <w:color w:val="000000" w:themeColor="text1"/>
        </w:rPr>
      </w:pPr>
      <w:r>
        <w:rPr>
          <w:rFonts w:hint="eastAsia"/>
          <w:color w:val="000000" w:themeColor="text1"/>
        </w:rPr>
        <w:t>【基本规范】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）不得违规受理申报错误更正。</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办理</w:t>
      </w:r>
    </w:p>
    <w:p>
      <w:pPr>
        <w:wordWrap w:val="0"/>
        <w:spacing w:line="360" w:lineRule="auto"/>
        <w:ind w:firstLine="420" w:firstLineChars="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hint="default" w:ascii="宋体" w:hAnsi="宋体" w:cs="Times New Roman"/>
          <w:color w:val="000000" w:themeColor="text1"/>
        </w:rPr>
        <w:t>按照纳税人报送材料录入数据。根据信息系统的提示信息，提醒纳税人更正纠错。</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）申请材料齐全、符合法定受理条件时，从受理申请、到做出办理决定、最后形成办理结果，全过程一次上门或零上门。</w:t>
      </w:r>
    </w:p>
    <w:p>
      <w:pPr>
        <w:wordWrap w:val="0"/>
        <w:spacing w:line="360" w:lineRule="auto"/>
        <w:ind w:firstLine="480"/>
        <w:rPr>
          <w:rFonts w:hint="default" w:ascii="宋体" w:hAnsi="宋体" w:cs="Times New Roman"/>
          <w:color w:val="000000" w:themeColor="text1"/>
        </w:rPr>
      </w:pPr>
      <w:r>
        <w:rPr>
          <w:rFonts w:cs="Times New Roman"/>
          <w:color w:val="000000" w:themeColor="text1"/>
        </w:rPr>
        <w:t>3.</w:t>
      </w:r>
      <w:r>
        <w:rPr>
          <w:rFonts w:hint="default" w:ascii="宋体" w:hAnsi="宋体" w:cs="Times New Roman"/>
          <w:color w:val="000000" w:themeColor="text1"/>
        </w:rPr>
        <w:t>反馈</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办理结束后，在申报表上加盖印章，一份返还纳税人；电子税务局办理的，将办理结果通过电子税务局反馈给纳税人。</w:t>
      </w:r>
    </w:p>
    <w:p>
      <w:pPr>
        <w:wordWrap w:val="0"/>
        <w:spacing w:line="360" w:lineRule="auto"/>
        <w:ind w:firstLine="480"/>
        <w:rPr>
          <w:rFonts w:hint="default" w:ascii="宋体" w:hAnsi="宋体" w:cs="Times New Roman"/>
          <w:color w:val="000000" w:themeColor="text1"/>
        </w:rPr>
      </w:pPr>
      <w:r>
        <w:rPr>
          <w:rFonts w:cs="Times New Roman"/>
          <w:color w:val="000000" w:themeColor="text1"/>
        </w:rPr>
        <w:t>4.</w:t>
      </w:r>
      <w:r>
        <w:rPr>
          <w:rFonts w:hint="default" w:ascii="宋体" w:hAnsi="宋体" w:cs="Times New Roman"/>
          <w:color w:val="000000" w:themeColor="text1"/>
        </w:rPr>
        <w:t>归档</w:t>
      </w:r>
    </w:p>
    <w:p>
      <w:pPr>
        <w:wordWrap w:val="0"/>
        <w:spacing w:line="360" w:lineRule="auto"/>
        <w:ind w:firstLine="480"/>
        <w:rPr>
          <w:rFonts w:hint="default" w:ascii="宋体" w:hAnsi="宋体" w:cs="Times New Roman"/>
          <w:color w:val="000000" w:themeColor="text1"/>
        </w:rPr>
      </w:pPr>
      <w:r>
        <w:rPr>
          <w:rFonts w:hint="default" w:ascii="宋体" w:hAnsi="宋体" w:cs="Times New Roman"/>
          <w:color w:val="000000" w:themeColor="text1"/>
        </w:rPr>
        <w:t>将资料进行归档。不得将纳税人的办理材料用于与政务服务无关的用途。</w:t>
      </w:r>
    </w:p>
    <w:p>
      <w:pPr>
        <w:pStyle w:val="31"/>
        <w:wordWrap w:val="0"/>
        <w:adjustRightInd/>
        <w:snapToGrid/>
        <w:rPr>
          <w:color w:val="000000" w:themeColor="text1"/>
        </w:rPr>
      </w:pPr>
      <w:r>
        <w:rPr>
          <w:rFonts w:hint="eastAsia"/>
          <w:color w:val="000000" w:themeColor="text1"/>
        </w:rPr>
        <w:t>【升级规范】</w:t>
      </w:r>
    </w:p>
    <w:p>
      <w:pPr>
        <w:wordWrap w:val="0"/>
        <w:spacing w:line="360" w:lineRule="auto"/>
        <w:ind w:firstLine="480"/>
        <w:rPr>
          <w:rFonts w:hint="default" w:ascii="宋体" w:hAnsi="宋体" w:cs="Times New Roman"/>
          <w:color w:val="000000" w:themeColor="text1"/>
        </w:rPr>
      </w:pPr>
      <w:r>
        <w:rPr>
          <w:rFonts w:cs="Times New Roman"/>
          <w:color w:val="000000" w:themeColor="text1"/>
        </w:rPr>
        <w:t>1.</w:t>
      </w:r>
      <w:r>
        <w:rPr>
          <w:rFonts w:hint="default" w:ascii="宋体" w:hAnsi="宋体" w:cs="Times New Roman"/>
          <w:color w:val="000000" w:themeColor="text1"/>
        </w:rPr>
        <w:t>受理增值税</w:t>
      </w:r>
      <w:r>
        <w:rPr>
          <w:rFonts w:ascii="宋体" w:hAnsi="宋体" w:cs="Times New Roman"/>
          <w:color w:val="000000" w:themeColor="text1"/>
        </w:rPr>
        <w:t>申报错误更正和消费税申报错误更正</w:t>
      </w:r>
      <w:r>
        <w:rPr>
          <w:rFonts w:hint="default" w:ascii="宋体" w:hAnsi="宋体" w:cs="Times New Roman"/>
          <w:color w:val="000000" w:themeColor="text1"/>
        </w:rPr>
        <w:t>时，</w:t>
      </w:r>
      <w:r>
        <w:rPr>
          <w:rFonts w:ascii="宋体" w:hAnsi="宋体" w:cs="Times New Roman"/>
          <w:color w:val="000000" w:themeColor="text1"/>
        </w:rPr>
        <w:t>附征的城市维护建设税、教育费附加、地方教育附加自动计算申报更正。</w:t>
      </w:r>
    </w:p>
    <w:p>
      <w:pPr>
        <w:wordWrap w:val="0"/>
        <w:spacing w:line="360" w:lineRule="auto"/>
        <w:ind w:firstLine="480"/>
        <w:rPr>
          <w:rFonts w:hint="default" w:ascii="宋体" w:hAnsi="宋体" w:cs="Times New Roman"/>
          <w:color w:val="000000" w:themeColor="text1"/>
        </w:rPr>
      </w:pPr>
      <w:r>
        <w:rPr>
          <w:rFonts w:cs="Times New Roman"/>
          <w:color w:val="000000" w:themeColor="text1"/>
        </w:rPr>
        <w:t>2.</w:t>
      </w:r>
      <w:r>
        <w:rPr>
          <w:rFonts w:hint="default" w:ascii="宋体" w:hAnsi="宋体" w:cs="Times New Roman"/>
          <w:color w:val="000000" w:themeColor="text1"/>
        </w:rPr>
        <w:t>受理申报增值税错误更正时，实行主税附加税合并申报。纳税人申报增值税、消费税，附征的城市维护建设税、教育费附加、地方教育附加自动计算申报，纳税人可以一次性完成主税附加税申报。</w:t>
      </w:r>
    </w:p>
    <w:p>
      <w:pPr>
        <w:pStyle w:val="31"/>
        <w:wordWrap w:val="0"/>
        <w:adjustRightInd/>
        <w:snapToGrid/>
      </w:pPr>
      <w:r>
        <w:rPr>
          <w:rFonts w:hint="eastAsia" w:ascii="宋体" w:hAnsi="宋体"/>
          <w:color w:val="000000" w:themeColor="text1"/>
        </w:rPr>
        <w:t>【</w:t>
      </w:r>
      <w:r>
        <w:rPr>
          <w:rFonts w:hint="eastAsia"/>
          <w:color w:val="000000" w:themeColor="text1"/>
        </w:rPr>
        <w:t>操作规范</w:t>
      </w:r>
      <w:r>
        <w:rPr>
          <w:rFonts w:hint="eastAsia" w:ascii="宋体" w:hAnsi="宋体"/>
          <w:color w:val="000000" w:themeColor="text1"/>
        </w:rPr>
        <w:t>】</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1.受理环节</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进入金三操作系统，通过申报征收岗权限，按照【申报征收】—【申报更正】—【申报错误更正】/【申报作废】的路径进入功能模块。</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2.提示事项</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进入申报错误更正界面，输入纳税人识别号（扣缴义务人识别号），回车，系统自动带出纳税人基本信息；选择申报表种类、申报日期、所属时期等条件，输入完成后，点击“查询”；系统显示出符合条件的已申报完成的所有报表；选择要进行更正的一个报表，点击“更正”；系统跳转到所选择的税种申报表页面。点击附表树，对附表信息进行修改。修改完成后附表信息自动返回主表。无附表树的报表，直接在主页面进行修改；点击【保存】，系统则对更正申报表数据逻辑关系进行校验，校验通过提示保存成功。如果有应缴纳税款产生则提示相应征收开票信息。</w:t>
      </w:r>
    </w:p>
    <w:p>
      <w:pPr>
        <w:wordWrap w:val="0"/>
        <w:spacing w:line="360" w:lineRule="auto"/>
        <w:ind w:firstLine="480"/>
        <w:rPr>
          <w:rFonts w:hint="default" w:ascii="宋体" w:hAnsi="宋体" w:cs="Times New Roman"/>
          <w:color w:val="000000" w:themeColor="text1"/>
        </w:rPr>
      </w:pPr>
      <w:r>
        <w:rPr>
          <w:rFonts w:ascii="宋体" w:hAnsi="宋体" w:cs="Times New Roman"/>
          <w:color w:val="000000" w:themeColor="text1"/>
        </w:rPr>
        <w:t>已经缴纳税款的申报表，不允许进行【申报作废】操作，只能进行【申报错误更正】。</w:t>
      </w:r>
    </w:p>
    <w:p>
      <w:pPr>
        <w:pStyle w:val="31"/>
        <w:wordWrap w:val="0"/>
        <w:adjustRightInd/>
        <w:snapToGrid/>
        <w:rPr>
          <w:rFonts w:ascii="宋体" w:hAnsi="宋体"/>
          <w:color w:val="000000" w:themeColor="text1"/>
        </w:rPr>
      </w:pPr>
      <w:r>
        <w:rPr>
          <w:rFonts w:hint="eastAsia" w:ascii="宋体" w:hAnsi="宋体"/>
          <w:color w:val="000000" w:themeColor="text1"/>
        </w:rPr>
        <w:drawing>
          <wp:anchor distT="0" distB="0" distL="114300" distR="114300" simplePos="0" relativeHeight="251654144" behindDoc="0" locked="0" layoutInCell="1" allowOverlap="1">
            <wp:simplePos x="0" y="0"/>
            <wp:positionH relativeFrom="column">
              <wp:posOffset>1057910</wp:posOffset>
            </wp:positionH>
            <wp:positionV relativeFrom="paragraph">
              <wp:posOffset>259080</wp:posOffset>
            </wp:positionV>
            <wp:extent cx="1141095" cy="1066800"/>
            <wp:effectExtent l="19050" t="0" r="2117" b="0"/>
            <wp:wrapNone/>
            <wp:docPr id="25" name="图片 1"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3595913661474679823015"/>
                    <pic:cNvPicPr>
                      <a:picLocks noChangeAspect="1"/>
                    </pic:cNvPicPr>
                  </pic:nvPicPr>
                  <pic:blipFill>
                    <a:blip r:embed="rId14"/>
                    <a:stretch>
                      <a:fillRect/>
                    </a:stretch>
                  </pic:blipFill>
                  <pic:spPr>
                    <a:xfrm>
                      <a:off x="0" y="0"/>
                      <a:ext cx="1140883" cy="1066800"/>
                    </a:xfrm>
                    <a:prstGeom prst="rect">
                      <a:avLst/>
                    </a:prstGeom>
                    <a:noFill/>
                    <a:ln>
                      <a:noFill/>
                    </a:ln>
                  </pic:spPr>
                </pic:pic>
              </a:graphicData>
            </a:graphic>
          </wp:anchor>
        </w:drawing>
      </w:r>
      <w:r>
        <w:rPr>
          <w:rFonts w:hint="eastAsia" w:ascii="宋体" w:hAnsi="宋体"/>
          <w:color w:val="000000" w:themeColor="text1"/>
        </w:rPr>
        <w:t>【表证单书填写范本】</w:t>
      </w:r>
    </w:p>
    <w:p>
      <w:pPr>
        <w:spacing w:line="400" w:lineRule="exact"/>
        <w:ind w:firstLine="723"/>
        <w:jc w:val="center"/>
        <w:rPr>
          <w:rFonts w:hint="default"/>
          <w:b/>
          <w:bCs/>
          <w:sz w:val="36"/>
          <w:szCs w:val="36"/>
        </w:rPr>
      </w:pPr>
      <w:r>
        <w:rPr>
          <w:b/>
          <w:bCs/>
          <w:sz w:val="36"/>
          <w:szCs w:val="36"/>
        </w:rPr>
        <w:t>申报表作废申请单</w:t>
      </w:r>
    </w:p>
    <w:p>
      <w:pPr>
        <w:spacing w:line="400" w:lineRule="exact"/>
        <w:ind w:firstLine="720"/>
        <w:jc w:val="center"/>
        <w:rPr>
          <w:rFonts w:hint="default" w:ascii="黑体" w:eastAsia="黑体"/>
          <w:sz w:val="36"/>
          <w:szCs w:val="36"/>
        </w:rPr>
      </w:pP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4"/>
        <w:gridCol w:w="1336"/>
        <w:gridCol w:w="82"/>
        <w:gridCol w:w="995"/>
        <w:gridCol w:w="1205"/>
        <w:gridCol w:w="70"/>
        <w:gridCol w:w="1275"/>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524" w:type="dxa"/>
            <w:noWrap/>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纳税人或扣缴义务人识别号</w:t>
            </w:r>
          </w:p>
        </w:tc>
        <w:tc>
          <w:tcPr>
            <w:tcW w:w="2413" w:type="dxa"/>
            <w:gridSpan w:val="3"/>
            <w:noWrap/>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cs="Arial" w:asciiTheme="minorEastAsia" w:hAnsiTheme="minorEastAsia" w:eastAsiaTheme="minorEastAsia"/>
                <w:b/>
                <w:color w:val="0000FF"/>
              </w:rPr>
              <w:t>税务登记证号（统一社会信用代码）</w:t>
            </w:r>
          </w:p>
        </w:tc>
        <w:tc>
          <w:tcPr>
            <w:tcW w:w="1275" w:type="dxa"/>
            <w:gridSpan w:val="2"/>
            <w:noWrap/>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纳税人或扣缴义务人名称</w:t>
            </w:r>
          </w:p>
        </w:tc>
        <w:tc>
          <w:tcPr>
            <w:tcW w:w="3310" w:type="dxa"/>
            <w:gridSpan w:val="2"/>
            <w:noWrap/>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b/>
              </w:rPr>
            </w:pPr>
            <w:r>
              <w:rPr>
                <w:rFonts w:asciiTheme="minorEastAsia" w:hAnsiTheme="minorEastAsia" w:eastAsiaTheme="minorEastAsia"/>
                <w:b/>
                <w:bCs/>
                <w:color w:val="0000FF"/>
              </w:rPr>
              <w:t>XX</w:t>
            </w:r>
            <w:r>
              <w:rPr>
                <w:rFonts w:hint="default" w:asciiTheme="minorEastAsia" w:hAnsiTheme="minorEastAsia" w:eastAsiaTheme="minorEastAsia"/>
                <w:b/>
                <w:bCs/>
                <w:color w:val="0000FF"/>
              </w:rPr>
              <w:t>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524" w:type="dxa"/>
            <w:noWrap/>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原申报日期</w:t>
            </w:r>
          </w:p>
        </w:tc>
        <w:tc>
          <w:tcPr>
            <w:tcW w:w="1418" w:type="dxa"/>
            <w:gridSpan w:val="2"/>
            <w:noWrap/>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申报表种类</w:t>
            </w:r>
          </w:p>
        </w:tc>
        <w:tc>
          <w:tcPr>
            <w:tcW w:w="995" w:type="dxa"/>
            <w:noWrap/>
            <w:tcMar>
              <w:top w:w="0" w:type="dxa"/>
              <w:left w:w="108" w:type="dxa"/>
              <w:bottom w:w="0" w:type="dxa"/>
              <w:right w:w="108" w:type="dxa"/>
            </w:tcMar>
            <w:vAlign w:val="center"/>
          </w:tcPr>
          <w:p>
            <w:pPr>
              <w:ind w:firstLine="0" w:firstLineChars="0"/>
              <w:jc w:val="center"/>
              <w:rPr>
                <w:rFonts w:hint="default" w:asciiTheme="minorEastAsia" w:hAnsiTheme="minorEastAsia" w:eastAsiaTheme="minorEastAsia"/>
              </w:rPr>
            </w:pPr>
            <w:r>
              <w:rPr>
                <w:rFonts w:asciiTheme="minorEastAsia" w:hAnsiTheme="minorEastAsia" w:eastAsiaTheme="minorEastAsia"/>
              </w:rPr>
              <w:t>征收</w:t>
            </w:r>
          </w:p>
          <w:p>
            <w:pPr>
              <w:ind w:firstLine="0" w:firstLineChars="0"/>
              <w:jc w:val="center"/>
              <w:rPr>
                <w:rFonts w:hint="default" w:asciiTheme="minorEastAsia" w:hAnsiTheme="minorEastAsia" w:eastAsiaTheme="minorEastAsia"/>
              </w:rPr>
            </w:pPr>
            <w:r>
              <w:rPr>
                <w:rFonts w:asciiTheme="minorEastAsia" w:hAnsiTheme="minorEastAsia" w:eastAsiaTheme="minorEastAsia"/>
              </w:rPr>
              <w:t>项目</w:t>
            </w:r>
          </w:p>
        </w:tc>
        <w:tc>
          <w:tcPr>
            <w:tcW w:w="1275" w:type="dxa"/>
            <w:gridSpan w:val="2"/>
            <w:noWrap/>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税款所属期起</w:t>
            </w:r>
          </w:p>
        </w:tc>
        <w:tc>
          <w:tcPr>
            <w:tcW w:w="1275" w:type="dxa"/>
            <w:noWrap/>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税款所属期止</w:t>
            </w:r>
          </w:p>
        </w:tc>
        <w:tc>
          <w:tcPr>
            <w:tcW w:w="2035" w:type="dxa"/>
            <w:noWrap/>
            <w:tcMar>
              <w:top w:w="0" w:type="dxa"/>
              <w:left w:w="108" w:type="dxa"/>
              <w:bottom w:w="0" w:type="dxa"/>
              <w:right w:w="108" w:type="dxa"/>
            </w:tcMar>
            <w:vAlign w:val="center"/>
          </w:tcPr>
          <w:p>
            <w:pPr>
              <w:ind w:firstLine="0" w:firstLineChars="0"/>
              <w:rPr>
                <w:rFonts w:hint="default" w:asciiTheme="minorEastAsia" w:hAnsiTheme="minorEastAsia" w:eastAsiaTheme="minorEastAsia"/>
              </w:rPr>
            </w:pPr>
            <w:r>
              <w:rPr>
                <w:rFonts w:asciiTheme="minorEastAsia" w:hAnsiTheme="minorEastAsia" w:eastAsiaTheme="minorEastAsia"/>
              </w:rPr>
              <w:t>原申报应纳税额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524" w:type="dxa"/>
            <w:noWrap/>
            <w:vAlign w:val="center"/>
          </w:tcPr>
          <w:p>
            <w:pPr>
              <w:ind w:firstLine="0" w:firstLineChars="0"/>
              <w:rPr>
                <w:rFonts w:hint="default" w:asciiTheme="minorEastAsia" w:hAnsiTheme="minorEastAsia" w:eastAsiaTheme="minorEastAsia"/>
                <w:b/>
                <w:bCs/>
                <w:color w:val="0000FF"/>
              </w:rPr>
            </w:pPr>
            <w:r>
              <w:rPr>
                <w:rFonts w:asciiTheme="minorEastAsia" w:hAnsiTheme="minorEastAsia" w:eastAsiaTheme="minorEastAsia"/>
                <w:b/>
                <w:bCs/>
                <w:color w:val="0000FF"/>
              </w:rPr>
              <w:t>××××年××月××日</w:t>
            </w:r>
          </w:p>
        </w:tc>
        <w:tc>
          <w:tcPr>
            <w:tcW w:w="1418" w:type="dxa"/>
            <w:gridSpan w:val="2"/>
            <w:noWrap/>
            <w:tcMar>
              <w:top w:w="0" w:type="dxa"/>
              <w:left w:w="108" w:type="dxa"/>
              <w:bottom w:w="0" w:type="dxa"/>
              <w:right w:w="108" w:type="dxa"/>
            </w:tcMar>
            <w:vAlign w:val="center"/>
          </w:tcPr>
          <w:p>
            <w:pPr>
              <w:ind w:firstLine="0" w:firstLineChars="0"/>
              <w:rPr>
                <w:rFonts w:hint="default" w:asciiTheme="minorEastAsia" w:hAnsiTheme="minorEastAsia" w:eastAsiaTheme="minorEastAsia"/>
                <w:b/>
                <w:bCs/>
                <w:color w:val="0000FF"/>
              </w:rPr>
            </w:pPr>
            <w:r>
              <w:rPr>
                <w:rFonts w:asciiTheme="minorEastAsia" w:hAnsiTheme="minorEastAsia" w:eastAsiaTheme="minorEastAsia"/>
                <w:b/>
                <w:bCs/>
                <w:color w:val="0000FF"/>
              </w:rPr>
              <w:t>×××申报表</w:t>
            </w:r>
          </w:p>
        </w:tc>
        <w:tc>
          <w:tcPr>
            <w:tcW w:w="995" w:type="dxa"/>
            <w:noWrap/>
            <w:tcMar>
              <w:top w:w="0" w:type="dxa"/>
              <w:left w:w="108" w:type="dxa"/>
              <w:bottom w:w="0" w:type="dxa"/>
              <w:right w:w="108" w:type="dxa"/>
            </w:tcMar>
            <w:vAlign w:val="center"/>
          </w:tcPr>
          <w:p>
            <w:pPr>
              <w:ind w:firstLine="0" w:firstLineChars="0"/>
              <w:rPr>
                <w:rFonts w:hint="default" w:asciiTheme="minorEastAsia" w:hAnsiTheme="minorEastAsia" w:eastAsiaTheme="minorEastAsia"/>
                <w:b/>
                <w:bCs/>
                <w:color w:val="0000FF"/>
              </w:rPr>
            </w:pPr>
            <w:r>
              <w:rPr>
                <w:rFonts w:asciiTheme="minorEastAsia" w:hAnsiTheme="minorEastAsia" w:eastAsiaTheme="minorEastAsia"/>
                <w:b/>
                <w:bCs/>
                <w:color w:val="0000FF"/>
              </w:rPr>
              <w:t>××税</w:t>
            </w:r>
          </w:p>
        </w:tc>
        <w:tc>
          <w:tcPr>
            <w:tcW w:w="1275" w:type="dxa"/>
            <w:gridSpan w:val="2"/>
            <w:noWrap/>
            <w:tcMar>
              <w:top w:w="0" w:type="dxa"/>
              <w:left w:w="108" w:type="dxa"/>
              <w:bottom w:w="0" w:type="dxa"/>
              <w:right w:w="108" w:type="dxa"/>
            </w:tcMar>
            <w:vAlign w:val="center"/>
          </w:tcPr>
          <w:p>
            <w:pPr>
              <w:ind w:firstLine="0" w:firstLineChars="0"/>
              <w:rPr>
                <w:rFonts w:hint="default" w:asciiTheme="minorEastAsia" w:hAnsiTheme="minorEastAsia" w:eastAsiaTheme="minorEastAsia"/>
                <w:b/>
                <w:bCs/>
                <w:color w:val="0000FF"/>
              </w:rPr>
            </w:pPr>
            <w:r>
              <w:rPr>
                <w:rFonts w:asciiTheme="minorEastAsia" w:hAnsiTheme="minorEastAsia" w:eastAsiaTheme="minorEastAsia"/>
                <w:b/>
                <w:bCs/>
                <w:color w:val="0000FF"/>
              </w:rPr>
              <w:t>××××年××月××日</w:t>
            </w:r>
          </w:p>
        </w:tc>
        <w:tc>
          <w:tcPr>
            <w:tcW w:w="1275" w:type="dxa"/>
            <w:noWrap/>
            <w:tcMar>
              <w:top w:w="0" w:type="dxa"/>
              <w:left w:w="108" w:type="dxa"/>
              <w:bottom w:w="0" w:type="dxa"/>
              <w:right w:w="108" w:type="dxa"/>
            </w:tcMar>
            <w:vAlign w:val="center"/>
          </w:tcPr>
          <w:p>
            <w:pPr>
              <w:ind w:firstLine="0" w:firstLineChars="0"/>
              <w:rPr>
                <w:rFonts w:hint="default" w:asciiTheme="minorEastAsia" w:hAnsiTheme="minorEastAsia" w:eastAsiaTheme="minorEastAsia"/>
                <w:b/>
                <w:bCs/>
                <w:color w:val="0000FF"/>
              </w:rPr>
            </w:pPr>
            <w:r>
              <w:rPr>
                <w:rFonts w:asciiTheme="minorEastAsia" w:hAnsiTheme="minorEastAsia" w:eastAsiaTheme="minorEastAsia"/>
                <w:b/>
                <w:bCs/>
                <w:color w:val="0000FF"/>
              </w:rPr>
              <w:t>××××年××月××日</w:t>
            </w:r>
          </w:p>
        </w:tc>
        <w:tc>
          <w:tcPr>
            <w:tcW w:w="2035" w:type="dxa"/>
            <w:noWrap/>
            <w:tcMar>
              <w:top w:w="0" w:type="dxa"/>
              <w:left w:w="108" w:type="dxa"/>
              <w:bottom w:w="0" w:type="dxa"/>
              <w:right w:w="108" w:type="dxa"/>
            </w:tcMar>
            <w:vAlign w:val="center"/>
          </w:tcPr>
          <w:p>
            <w:pPr>
              <w:ind w:firstLine="482"/>
              <w:rPr>
                <w:rFonts w:hint="default" w:asciiTheme="minorEastAsia" w:hAnsiTheme="minorEastAsia" w:eastAsiaTheme="minorEastAsia"/>
                <w:b/>
                <w:color w:val="0000FF"/>
              </w:rPr>
            </w:pPr>
            <w:r>
              <w:rPr>
                <w:rFonts w:asciiTheme="minorEastAsia" w:hAnsiTheme="minorEastAsia" w:eastAsiaTheme="minorEastAsia"/>
                <w:b/>
                <w:bCs/>
                <w:color w:val="0000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524" w:type="dxa"/>
            <w:noWrap/>
          </w:tcPr>
          <w:p>
            <w:pPr>
              <w:ind w:firstLine="480"/>
              <w:rPr>
                <w:rFonts w:hint="default" w:asciiTheme="minorEastAsia" w:hAnsiTheme="minorEastAsia" w:eastAsiaTheme="minorEastAsia"/>
              </w:rPr>
            </w:pPr>
          </w:p>
        </w:tc>
        <w:tc>
          <w:tcPr>
            <w:tcW w:w="1418"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99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2035" w:type="dxa"/>
            <w:noWrap/>
            <w:tcMar>
              <w:top w:w="0" w:type="dxa"/>
              <w:left w:w="108" w:type="dxa"/>
              <w:bottom w:w="0" w:type="dxa"/>
              <w:right w:w="108" w:type="dxa"/>
            </w:tcMar>
          </w:tcPr>
          <w:p>
            <w:pPr>
              <w:ind w:firstLine="48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524" w:type="dxa"/>
            <w:noWrap/>
          </w:tcPr>
          <w:p>
            <w:pPr>
              <w:ind w:firstLine="480"/>
              <w:rPr>
                <w:rFonts w:hint="default" w:asciiTheme="minorEastAsia" w:hAnsiTheme="minorEastAsia" w:eastAsiaTheme="minorEastAsia"/>
              </w:rPr>
            </w:pPr>
          </w:p>
        </w:tc>
        <w:tc>
          <w:tcPr>
            <w:tcW w:w="1418"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99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2035" w:type="dxa"/>
            <w:noWrap/>
            <w:tcMar>
              <w:top w:w="0" w:type="dxa"/>
              <w:left w:w="108" w:type="dxa"/>
              <w:bottom w:w="0" w:type="dxa"/>
              <w:right w:w="108" w:type="dxa"/>
            </w:tcMar>
          </w:tcPr>
          <w:p>
            <w:pPr>
              <w:ind w:firstLine="48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524" w:type="dxa"/>
            <w:noWrap/>
          </w:tcPr>
          <w:p>
            <w:pPr>
              <w:ind w:firstLine="480"/>
              <w:rPr>
                <w:rFonts w:hint="default" w:asciiTheme="minorEastAsia" w:hAnsiTheme="minorEastAsia" w:eastAsiaTheme="minorEastAsia"/>
              </w:rPr>
            </w:pPr>
          </w:p>
        </w:tc>
        <w:tc>
          <w:tcPr>
            <w:tcW w:w="1418"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99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2035" w:type="dxa"/>
            <w:noWrap/>
            <w:tcMar>
              <w:top w:w="0" w:type="dxa"/>
              <w:left w:w="108" w:type="dxa"/>
              <w:bottom w:w="0" w:type="dxa"/>
              <w:right w:w="108" w:type="dxa"/>
            </w:tcMar>
          </w:tcPr>
          <w:p>
            <w:pPr>
              <w:ind w:firstLine="48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524" w:type="dxa"/>
            <w:noWrap/>
          </w:tcPr>
          <w:p>
            <w:pPr>
              <w:ind w:firstLine="480"/>
              <w:rPr>
                <w:rFonts w:hint="default" w:asciiTheme="minorEastAsia" w:hAnsiTheme="minorEastAsia" w:eastAsiaTheme="minorEastAsia"/>
              </w:rPr>
            </w:pPr>
          </w:p>
        </w:tc>
        <w:tc>
          <w:tcPr>
            <w:tcW w:w="1418"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99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2035" w:type="dxa"/>
            <w:noWrap/>
            <w:tcMar>
              <w:top w:w="0" w:type="dxa"/>
              <w:left w:w="108" w:type="dxa"/>
              <w:bottom w:w="0" w:type="dxa"/>
              <w:right w:w="108" w:type="dxa"/>
            </w:tcMar>
          </w:tcPr>
          <w:p>
            <w:pPr>
              <w:ind w:firstLine="48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524" w:type="dxa"/>
            <w:noWrap/>
          </w:tcPr>
          <w:p>
            <w:pPr>
              <w:ind w:firstLine="480"/>
              <w:rPr>
                <w:rFonts w:hint="default" w:asciiTheme="minorEastAsia" w:hAnsiTheme="minorEastAsia" w:eastAsiaTheme="minorEastAsia"/>
              </w:rPr>
            </w:pPr>
          </w:p>
        </w:tc>
        <w:tc>
          <w:tcPr>
            <w:tcW w:w="1418"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99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gridSpan w:val="2"/>
            <w:noWrap/>
            <w:tcMar>
              <w:top w:w="0" w:type="dxa"/>
              <w:left w:w="108" w:type="dxa"/>
              <w:bottom w:w="0" w:type="dxa"/>
              <w:right w:w="108" w:type="dxa"/>
            </w:tcMar>
          </w:tcPr>
          <w:p>
            <w:pPr>
              <w:ind w:firstLine="480"/>
              <w:rPr>
                <w:rFonts w:hint="default" w:asciiTheme="minorEastAsia" w:hAnsiTheme="minorEastAsia" w:eastAsiaTheme="minorEastAsia"/>
              </w:rPr>
            </w:pPr>
          </w:p>
        </w:tc>
        <w:tc>
          <w:tcPr>
            <w:tcW w:w="1275" w:type="dxa"/>
            <w:noWrap/>
            <w:tcMar>
              <w:top w:w="0" w:type="dxa"/>
              <w:left w:w="108" w:type="dxa"/>
              <w:bottom w:w="0" w:type="dxa"/>
              <w:right w:w="108" w:type="dxa"/>
            </w:tcMar>
          </w:tcPr>
          <w:p>
            <w:pPr>
              <w:ind w:firstLine="480"/>
              <w:rPr>
                <w:rFonts w:hint="default" w:asciiTheme="minorEastAsia" w:hAnsiTheme="minorEastAsia" w:eastAsiaTheme="minorEastAsia"/>
              </w:rPr>
            </w:pPr>
          </w:p>
        </w:tc>
        <w:tc>
          <w:tcPr>
            <w:tcW w:w="2035" w:type="dxa"/>
            <w:noWrap/>
            <w:tcMar>
              <w:top w:w="0" w:type="dxa"/>
              <w:left w:w="108" w:type="dxa"/>
              <w:bottom w:w="0" w:type="dxa"/>
              <w:right w:w="108" w:type="dxa"/>
            </w:tcMar>
          </w:tcPr>
          <w:p>
            <w:pPr>
              <w:ind w:firstLine="48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8522" w:type="dxa"/>
            <w:gridSpan w:val="8"/>
            <w:noWrap/>
            <w:tcMar>
              <w:top w:w="0" w:type="dxa"/>
              <w:left w:w="108" w:type="dxa"/>
              <w:bottom w:w="0" w:type="dxa"/>
              <w:right w:w="108" w:type="dxa"/>
            </w:tcMar>
          </w:tcPr>
          <w:p>
            <w:pPr>
              <w:ind w:firstLine="480"/>
              <w:rPr>
                <w:rFonts w:hint="default" w:asciiTheme="minorEastAsia" w:hAnsiTheme="minorEastAsia" w:eastAsiaTheme="minorEastAsia"/>
              </w:rPr>
            </w:pPr>
            <w:r>
              <w:rPr>
                <w:rFonts w:asciiTheme="minorEastAsia" w:hAnsiTheme="minorEastAsia" w:eastAsiaTheme="minorEastAsia"/>
              </w:rPr>
              <w:t>申请作废的理由：</w:t>
            </w:r>
          </w:p>
          <w:p>
            <w:pPr>
              <w:ind w:firstLine="482"/>
              <w:rPr>
                <w:rFonts w:hint="default" w:asciiTheme="minorEastAsia" w:hAnsiTheme="minorEastAsia" w:eastAsiaTheme="minorEastAsia"/>
                <w:b/>
                <w:color w:val="0000FF"/>
              </w:rPr>
            </w:pPr>
            <w:r>
              <w:rPr>
                <w:rFonts w:asciiTheme="minorEastAsia" w:hAnsiTheme="minorEastAsia" w:eastAsiaTheme="minorEastAsia"/>
                <w:b/>
                <w:bCs/>
                <w:color w:val="0000FF"/>
              </w:rPr>
              <w:t>因××××原因，申请作废××××申报表。</w:t>
            </w:r>
          </w:p>
          <w:p>
            <w:pPr>
              <w:ind w:firstLine="482"/>
              <w:rPr>
                <w:rFonts w:hint="default" w:asciiTheme="minorEastAsia" w:hAnsiTheme="minorEastAsia" w:eastAsiaTheme="minorEastAsia"/>
                <w:b/>
                <w:color w:val="0000FF"/>
              </w:rPr>
            </w:pPr>
          </w:p>
          <w:p>
            <w:pPr>
              <w:ind w:firstLine="480"/>
              <w:rPr>
                <w:rFonts w:hint="default"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2860" w:type="dxa"/>
            <w:gridSpan w:val="2"/>
            <w:noWrap/>
          </w:tcPr>
          <w:p>
            <w:pPr>
              <w:ind w:firstLine="480"/>
              <w:rPr>
                <w:rFonts w:hint="default" w:asciiTheme="minorEastAsia" w:hAnsiTheme="minorEastAsia" w:eastAsiaTheme="minorEastAsia"/>
              </w:rPr>
            </w:pPr>
            <w:r>
              <w:rPr>
                <w:rFonts w:asciiTheme="minorEastAsia" w:hAnsiTheme="minorEastAsia" w:eastAsiaTheme="minorEastAsia"/>
              </w:rPr>
              <w:t>申请人：</w:t>
            </w:r>
            <w:r>
              <w:rPr>
                <w:rFonts w:asciiTheme="minorEastAsia" w:hAnsiTheme="minorEastAsia" w:eastAsiaTheme="minorEastAsia"/>
                <w:b/>
                <w:bCs/>
                <w:color w:val="0000FF"/>
              </w:rPr>
              <w:t>某某</w:t>
            </w:r>
          </w:p>
        </w:tc>
        <w:tc>
          <w:tcPr>
            <w:tcW w:w="2282" w:type="dxa"/>
            <w:gridSpan w:val="3"/>
            <w:noWrap/>
            <w:tcMar>
              <w:top w:w="0" w:type="dxa"/>
              <w:left w:w="108" w:type="dxa"/>
              <w:bottom w:w="0" w:type="dxa"/>
              <w:right w:w="108" w:type="dxa"/>
            </w:tcMar>
          </w:tcPr>
          <w:p>
            <w:pPr>
              <w:ind w:firstLine="0" w:firstLineChars="0"/>
              <w:rPr>
                <w:rFonts w:hint="default" w:asciiTheme="minorEastAsia" w:hAnsiTheme="minorEastAsia" w:eastAsiaTheme="minorEastAsia"/>
              </w:rPr>
            </w:pPr>
            <w:r>
              <w:rPr>
                <w:rFonts w:asciiTheme="minorEastAsia" w:hAnsiTheme="minorEastAsia" w:eastAsiaTheme="minorEastAsia"/>
              </w:rPr>
              <w:t>法定代表人（负责人）：</w:t>
            </w:r>
            <w:r>
              <w:rPr>
                <w:rFonts w:asciiTheme="minorEastAsia" w:hAnsiTheme="minorEastAsia" w:eastAsiaTheme="minorEastAsia"/>
                <w:b/>
                <w:bCs/>
                <w:color w:val="0000FF"/>
              </w:rPr>
              <w:t>某某</w:t>
            </w:r>
          </w:p>
        </w:tc>
        <w:tc>
          <w:tcPr>
            <w:tcW w:w="3380" w:type="dxa"/>
            <w:gridSpan w:val="3"/>
            <w:noWrap/>
            <w:tcMar>
              <w:top w:w="0" w:type="dxa"/>
              <w:left w:w="108" w:type="dxa"/>
              <w:bottom w:w="0" w:type="dxa"/>
              <w:right w:w="108" w:type="dxa"/>
            </w:tcMar>
          </w:tcPr>
          <w:p>
            <w:pPr>
              <w:ind w:firstLine="0" w:firstLineChars="0"/>
              <w:rPr>
                <w:rFonts w:hint="default" w:asciiTheme="minorEastAsia" w:hAnsiTheme="minorEastAsia" w:eastAsiaTheme="minorEastAsia"/>
              </w:rPr>
            </w:pPr>
            <w:r>
              <w:rPr>
                <w:rFonts w:asciiTheme="minorEastAsia" w:hAnsiTheme="minorEastAsia" w:eastAsiaTheme="minorEastAsia"/>
              </w:rPr>
              <w:t>申请日期</w:t>
            </w:r>
          </w:p>
          <w:p>
            <w:pPr>
              <w:ind w:firstLine="0" w:firstLineChars="0"/>
              <w:rPr>
                <w:rFonts w:hint="default" w:asciiTheme="minorEastAsia" w:hAnsiTheme="minorEastAsia" w:eastAsiaTheme="minorEastAsia"/>
                <w:b/>
                <w:bCs/>
                <w:color w:val="0000FF"/>
              </w:rPr>
            </w:pPr>
            <w:r>
              <w:rPr>
                <w:rFonts w:asciiTheme="minorEastAsia" w:hAnsiTheme="minorEastAsia" w:eastAsiaTheme="minorEastAsia"/>
                <w:b/>
                <w:bCs/>
                <w:color w:val="0000FF"/>
              </w:rPr>
              <w:t>××××</w:t>
            </w:r>
            <w:r>
              <w:rPr>
                <w:rFonts w:cs="宋体" w:asciiTheme="minorEastAsia" w:hAnsiTheme="minorEastAsia" w:eastAsiaTheme="minorEastAsia"/>
                <w:b/>
                <w:bCs/>
                <w:color w:val="0000FF"/>
              </w:rPr>
              <w:t>年</w:t>
            </w:r>
            <w:r>
              <w:rPr>
                <w:rFonts w:asciiTheme="minorEastAsia" w:hAnsiTheme="minorEastAsia" w:eastAsiaTheme="minorEastAsia"/>
                <w:b/>
                <w:bCs/>
                <w:color w:val="0000FF"/>
              </w:rPr>
              <w:t>××</w:t>
            </w:r>
            <w:r>
              <w:rPr>
                <w:rFonts w:cs="宋体" w:asciiTheme="minorEastAsia" w:hAnsiTheme="minorEastAsia" w:eastAsiaTheme="minorEastAsia"/>
                <w:b/>
                <w:bCs/>
                <w:color w:val="0000FF"/>
              </w:rPr>
              <w:t>月</w:t>
            </w:r>
            <w:r>
              <w:rPr>
                <w:rFonts w:asciiTheme="minorEastAsia" w:hAnsiTheme="minorEastAsia" w:eastAsiaTheme="minorEastAsia"/>
                <w:b/>
                <w:bCs/>
                <w:color w:val="0000FF"/>
              </w:rPr>
              <w:t>××</w:t>
            </w:r>
            <w:r>
              <w:rPr>
                <w:rFonts w:cs="宋体" w:asciiTheme="minorEastAsia" w:hAnsiTheme="minorEastAsia" w:eastAsiaTheme="minorEastAsia"/>
                <w:b/>
                <w:bCs/>
                <w:color w:val="0000FF"/>
              </w:rPr>
              <w:t>日</w:t>
            </w:r>
          </w:p>
        </w:tc>
      </w:tr>
    </w:tbl>
    <w:p>
      <w:pPr>
        <w:spacing w:line="460" w:lineRule="exact"/>
        <w:ind w:firstLine="420"/>
        <w:rPr>
          <w:rFonts w:hint="default"/>
        </w:rPr>
      </w:pPr>
      <w:r>
        <w:rPr>
          <w:sz w:val="21"/>
        </w:rPr>
        <w:t>受理人：                  受理日期：            受理税务机关：</w:t>
      </w:r>
    </w:p>
    <w:p>
      <w:pPr>
        <w:wordWrap w:val="0"/>
        <w:spacing w:line="360" w:lineRule="auto"/>
        <w:ind w:firstLine="480"/>
        <w:rPr>
          <w:rFonts w:hint="default" w:ascii="宋体" w:hAnsi="宋体" w:cs="Times New Roman"/>
          <w:color w:val="000000" w:themeColor="text1"/>
        </w:rPr>
      </w:pPr>
    </w:p>
    <w:p>
      <w:pPr>
        <w:pStyle w:val="31"/>
        <w:adjustRightInd/>
        <w:snapToGrid/>
      </w:pPr>
      <w:bookmarkStart w:id="293" w:name="_Hlk12605023"/>
      <w:r>
        <w:rPr>
          <w:rFonts w:hint="eastAsia"/>
        </w:rPr>
        <w:t>【政策依据】</w:t>
      </w:r>
    </w:p>
    <w:tbl>
      <w:tblPr>
        <w:tblStyle w:val="18"/>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5955"/>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pStyle w:val="33"/>
              <w:adjustRightInd/>
              <w:snapToGrid/>
              <w:spacing w:line="276" w:lineRule="auto"/>
            </w:pPr>
            <w:r>
              <w:rPr>
                <w:rFonts w:hint="eastAsia"/>
              </w:rPr>
              <w:t>序号</w:t>
            </w:r>
          </w:p>
        </w:tc>
        <w:tc>
          <w:tcPr>
            <w:tcW w:w="5955" w:type="dxa"/>
            <w:vAlign w:val="center"/>
          </w:tcPr>
          <w:p>
            <w:pPr>
              <w:pStyle w:val="33"/>
              <w:adjustRightInd/>
              <w:snapToGrid/>
              <w:spacing w:line="276" w:lineRule="auto"/>
            </w:pPr>
            <w:r>
              <w:rPr>
                <w:rFonts w:hint="eastAsia"/>
              </w:rPr>
              <w:t>文件名称</w:t>
            </w:r>
          </w:p>
        </w:tc>
        <w:tc>
          <w:tcPr>
            <w:tcW w:w="1558" w:type="dxa"/>
            <w:vAlign w:val="center"/>
          </w:tcPr>
          <w:p>
            <w:pPr>
              <w:pStyle w:val="33"/>
              <w:adjustRightInd/>
              <w:snapToGrid/>
              <w:spacing w:line="276" w:lineRule="auto"/>
            </w:pPr>
            <w:r>
              <w:rPr>
                <w:rFonts w:hint="eastAsia"/>
              </w:rPr>
              <w:t>信息公开选项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pStyle w:val="50"/>
              <w:adjustRightInd/>
              <w:snapToGrid/>
              <w:spacing w:line="276" w:lineRule="auto"/>
            </w:pPr>
            <w:r>
              <w:rPr>
                <w:rFonts w:hint="eastAsia"/>
              </w:rPr>
              <w:t>1</w:t>
            </w:r>
          </w:p>
        </w:tc>
        <w:tc>
          <w:tcPr>
            <w:tcW w:w="5955" w:type="dxa"/>
            <w:vAlign w:val="center"/>
          </w:tcPr>
          <w:p>
            <w:pPr>
              <w:pStyle w:val="50"/>
              <w:adjustRightInd/>
              <w:snapToGrid/>
              <w:spacing w:line="276" w:lineRule="auto"/>
            </w:pPr>
            <w:r>
              <w:rPr>
                <w:rFonts w:hint="eastAsia"/>
              </w:rPr>
              <w:t>《中华人民共和国税收征收管理法》</w:t>
            </w:r>
          </w:p>
        </w:tc>
        <w:tc>
          <w:tcPr>
            <w:tcW w:w="155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pStyle w:val="50"/>
              <w:adjustRightInd/>
              <w:snapToGrid/>
              <w:spacing w:line="276" w:lineRule="auto"/>
            </w:pPr>
            <w:r>
              <w:t>2</w:t>
            </w:r>
          </w:p>
        </w:tc>
        <w:tc>
          <w:tcPr>
            <w:tcW w:w="5955" w:type="dxa"/>
            <w:vAlign w:val="center"/>
          </w:tcPr>
          <w:p>
            <w:pPr>
              <w:pStyle w:val="50"/>
              <w:adjustRightInd/>
              <w:snapToGrid/>
              <w:spacing w:line="276" w:lineRule="auto"/>
            </w:pPr>
            <w:r>
              <w:rPr>
                <w:rFonts w:hint="eastAsia"/>
              </w:rPr>
              <w:t>《国家税务总局关于发布&lt;办税事项“最多跑一次”清单&gt;的公告》（国家税务总局公告2018年第12号）</w:t>
            </w:r>
          </w:p>
        </w:tc>
        <w:tc>
          <w:tcPr>
            <w:tcW w:w="1558" w:type="dxa"/>
            <w:vAlign w:val="center"/>
          </w:tcPr>
          <w:p>
            <w:pPr>
              <w:pStyle w:val="50"/>
              <w:adjustRightInd/>
              <w:snapToGrid/>
              <w:spacing w:line="276" w:lineRule="auto"/>
            </w:pPr>
            <w:r>
              <w:rPr>
                <w:rFonts w:hint="eastAsia"/>
              </w:rPr>
              <w:t>主动公开</w:t>
            </w:r>
          </w:p>
        </w:tc>
      </w:tr>
      <w:bookmarkEnd w:id="29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pStyle w:val="50"/>
              <w:adjustRightInd/>
              <w:snapToGrid/>
              <w:spacing w:line="276" w:lineRule="auto"/>
            </w:pPr>
            <w:r>
              <w:t>3</w:t>
            </w:r>
          </w:p>
        </w:tc>
        <w:tc>
          <w:tcPr>
            <w:tcW w:w="5955" w:type="dxa"/>
            <w:vAlign w:val="center"/>
          </w:tcPr>
          <w:p>
            <w:pPr>
              <w:pStyle w:val="50"/>
              <w:adjustRightInd/>
              <w:snapToGrid/>
              <w:spacing w:line="276" w:lineRule="auto"/>
            </w:pPr>
            <w:r>
              <w:t>《国家税务总局关于创新税收服务和管理的意见》（税总发〔2014〕85号）</w:t>
            </w:r>
          </w:p>
        </w:tc>
        <w:tc>
          <w:tcPr>
            <w:tcW w:w="1558" w:type="dxa"/>
            <w:vAlign w:val="center"/>
          </w:tcPr>
          <w:p>
            <w:pPr>
              <w:pStyle w:val="50"/>
              <w:adjustRightInd/>
              <w:snapToGrid/>
              <w:spacing w:line="276" w:lineRule="auto"/>
            </w:pPr>
            <w:r>
              <w:rPr>
                <w:rFonts w:hint="eastAsia"/>
              </w:rPr>
              <w:t>主动公开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pStyle w:val="50"/>
              <w:adjustRightInd/>
              <w:snapToGrid/>
              <w:spacing w:line="276" w:lineRule="auto"/>
            </w:pPr>
            <w:r>
              <w:rPr>
                <w:rFonts w:hint="eastAsia"/>
              </w:rPr>
              <w:t>4</w:t>
            </w:r>
          </w:p>
        </w:tc>
        <w:tc>
          <w:tcPr>
            <w:tcW w:w="5955" w:type="dxa"/>
            <w:vAlign w:val="center"/>
          </w:tcPr>
          <w:p>
            <w:pPr>
              <w:pStyle w:val="50"/>
              <w:adjustRightInd/>
              <w:snapToGrid/>
              <w:spacing w:line="276" w:lineRule="auto"/>
            </w:pPr>
            <w:r>
              <w:rPr>
                <w:rFonts w:hint="eastAsia"/>
              </w:rPr>
              <w:t>《国家税务总局关于印发&lt;全国税务系统进一步优化税收营商环境行动方案（</w:t>
            </w:r>
            <w:r>
              <w:t>2018年</w:t>
            </w:r>
            <w:r>
              <w:rPr>
                <w:rFonts w:hint="eastAsia"/>
              </w:rPr>
              <w:t>—</w:t>
            </w:r>
            <w:r>
              <w:t>2022年）</w:t>
            </w:r>
            <w:r>
              <w:rPr>
                <w:rFonts w:hint="eastAsia"/>
              </w:rPr>
              <w:t>&gt;</w:t>
            </w:r>
            <w:r>
              <w:t>的通知</w:t>
            </w:r>
            <w:r>
              <w:rPr>
                <w:rFonts w:hint="eastAsia"/>
              </w:rPr>
              <w:t>》（税总发〔</w:t>
            </w:r>
            <w:r>
              <w:t>2018〕145号</w:t>
            </w:r>
            <w:r>
              <w:rPr>
                <w:rFonts w:hint="eastAsia"/>
              </w:rPr>
              <w:t>）</w:t>
            </w:r>
          </w:p>
        </w:tc>
        <w:tc>
          <w:tcPr>
            <w:tcW w:w="1558"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pStyle w:val="50"/>
              <w:adjustRightInd/>
              <w:snapToGrid/>
              <w:spacing w:line="276" w:lineRule="auto"/>
            </w:pPr>
            <w:r>
              <w:rPr>
                <w:rFonts w:hint="eastAsia"/>
              </w:rPr>
              <w:t>5</w:t>
            </w:r>
          </w:p>
        </w:tc>
        <w:tc>
          <w:tcPr>
            <w:tcW w:w="5955" w:type="dxa"/>
            <w:vAlign w:val="center"/>
          </w:tcPr>
          <w:p>
            <w:pPr>
              <w:pStyle w:val="50"/>
              <w:adjustRightInd/>
              <w:snapToGrid/>
              <w:spacing w:line="276" w:lineRule="auto"/>
            </w:pPr>
            <w:r>
              <w:rPr>
                <w:rFonts w:hint="eastAsia"/>
              </w:rPr>
              <w:t>《国家税务总局关于印发&lt;办税服务厅管理办法</w:t>
            </w:r>
            <w:r>
              <w:t>&gt;</w:t>
            </w:r>
            <w:r>
              <w:rPr>
                <w:rFonts w:hint="eastAsia"/>
              </w:rPr>
              <w:t>的通知》（税总发〔201</w:t>
            </w:r>
            <w:r>
              <w:t>8</w:t>
            </w:r>
            <w:r>
              <w:rPr>
                <w:rFonts w:hint="eastAsia"/>
              </w:rPr>
              <w:t>〕1</w:t>
            </w:r>
            <w:r>
              <w:t>89</w:t>
            </w:r>
            <w:r>
              <w:rPr>
                <w:rFonts w:hint="eastAsia"/>
              </w:rPr>
              <w:t>号）</w:t>
            </w:r>
          </w:p>
        </w:tc>
        <w:tc>
          <w:tcPr>
            <w:tcW w:w="1558" w:type="dxa"/>
            <w:vAlign w:val="center"/>
          </w:tcPr>
          <w:p>
            <w:pPr>
              <w:pStyle w:val="50"/>
              <w:adjustRightInd/>
              <w:snapToGrid/>
              <w:spacing w:line="276" w:lineRule="auto"/>
            </w:pPr>
            <w:r>
              <w:rPr>
                <w:rFonts w:hint="eastAsia"/>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pStyle w:val="50"/>
              <w:adjustRightInd/>
              <w:snapToGrid/>
              <w:spacing w:line="276" w:lineRule="auto"/>
            </w:pPr>
            <w:r>
              <w:rPr>
                <w:rFonts w:hint="eastAsia"/>
              </w:rPr>
              <w:t>6</w:t>
            </w:r>
          </w:p>
        </w:tc>
        <w:tc>
          <w:tcPr>
            <w:tcW w:w="5955" w:type="dxa"/>
            <w:vAlign w:val="center"/>
          </w:tcPr>
          <w:p>
            <w:pPr>
              <w:pStyle w:val="50"/>
              <w:adjustRightInd/>
              <w:snapToGrid/>
              <w:spacing w:line="276" w:lineRule="auto"/>
            </w:pPr>
            <w:r>
              <w:rPr>
                <w:rFonts w:hint="eastAsia"/>
              </w:rPr>
              <w:t>《国家税务总局关于印发&lt;全国税务系统深化“放管服”改革五年工作方案（</w:t>
            </w:r>
            <w:r>
              <w:t>2018年</w:t>
            </w:r>
            <w:r>
              <w:rPr>
                <w:rFonts w:hint="eastAsia"/>
              </w:rPr>
              <w:t>—</w:t>
            </w:r>
            <w:r>
              <w:t>2022年）</w:t>
            </w:r>
            <w:r>
              <w:rPr>
                <w:rFonts w:hint="eastAsia"/>
              </w:rPr>
              <w:t>&gt;</w:t>
            </w:r>
            <w:r>
              <w:t>的通知</w:t>
            </w:r>
            <w:r>
              <w:rPr>
                <w:rFonts w:hint="eastAsia"/>
              </w:rPr>
              <w:t>》（税总发〔</w:t>
            </w:r>
            <w:r>
              <w:t>2018〕199号）</w:t>
            </w:r>
          </w:p>
        </w:tc>
        <w:tc>
          <w:tcPr>
            <w:tcW w:w="1558" w:type="dxa"/>
            <w:vAlign w:val="center"/>
          </w:tcPr>
          <w:p>
            <w:pPr>
              <w:pStyle w:val="50"/>
              <w:adjustRightInd/>
              <w:snapToGrid/>
              <w:spacing w:line="276" w:lineRule="auto"/>
            </w:pPr>
            <w:r>
              <w:rPr>
                <w:rFonts w:hint="eastAsia"/>
              </w:rPr>
              <w:t>依申请公开</w:t>
            </w:r>
          </w:p>
        </w:tc>
      </w:tr>
    </w:tbl>
    <w:p>
      <w:pPr>
        <w:wordWrap w:val="0"/>
        <w:ind w:firstLine="0" w:firstLineChars="0"/>
        <w:rPr>
          <w:rFonts w:hint="default" w:ascii="黑体" w:hAnsi="黑体" w:eastAsia="黑体" w:cs="黑体"/>
          <w:b/>
          <w:bCs/>
          <w:color w:val="000000" w:themeColor="text1"/>
          <w:kern w:val="24"/>
          <w:sz w:val="32"/>
          <w:szCs w:val="32"/>
        </w:rPr>
      </w:pPr>
    </w:p>
    <w:sectPr>
      <w:footerReference r:id="rId9" w:type="default"/>
      <w:pgSz w:w="11906" w:h="16838"/>
      <w:pgMar w:top="1440" w:right="1417" w:bottom="1440" w:left="1417" w:header="851" w:footer="624" w:gutter="0"/>
      <w:cols w:space="0" w:num="1"/>
      <w:docGrid w:type="lines" w:linePitch="3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icrosoft Himalaya">
    <w:panose1 w:val="01010100010101010101"/>
    <w:charset w:val="00"/>
    <w:family w:val="auto"/>
    <w:pitch w:val="default"/>
    <w:sig w:usb0="80000003" w:usb1="00010000" w:usb2="00000040" w:usb3="00000000" w:csb0="0000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0991040"/>
      <w:docPartObj>
        <w:docPartGallery w:val="AutoText"/>
      </w:docPartObj>
    </w:sdtPr>
    <w:sdtContent>
      <w:p>
        <w:pPr>
          <w:pStyle w:val="12"/>
          <w:spacing w:before="240" w:after="240"/>
          <w:ind w:firstLine="360"/>
          <w:jc w:val="center"/>
          <w:rPr>
            <w:rFonts w:hint="default"/>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8509440"/>
      <w:docPartObj>
        <w:docPartGallery w:val="AutoText"/>
      </w:docPartObj>
    </w:sdtPr>
    <w:sdtContent>
      <w:p>
        <w:pPr>
          <w:pStyle w:val="12"/>
          <w:spacing w:before="240" w:after="240"/>
          <w:ind w:firstLine="360"/>
          <w:jc w:val="center"/>
          <w:rPr>
            <w:rFonts w:hint="default"/>
          </w:rP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hideSpellingErrors/>
  <w:documentProtection w:enforcement="0"/>
  <w:defaultTabStop w:val="420"/>
  <w:drawingGridHorizontalSpacing w:val="120"/>
  <w:drawingGridVerticalSpacing w:val="168"/>
  <w:displayHorizontalDrawingGridEvery w:val="0"/>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A8B7E08"/>
    <w:rsid w:val="0000704E"/>
    <w:rsid w:val="00011FFA"/>
    <w:rsid w:val="000472A7"/>
    <w:rsid w:val="00063717"/>
    <w:rsid w:val="0007705C"/>
    <w:rsid w:val="000826BF"/>
    <w:rsid w:val="000A28CA"/>
    <w:rsid w:val="000B515D"/>
    <w:rsid w:val="000C7CCE"/>
    <w:rsid w:val="000D671D"/>
    <w:rsid w:val="00117D3D"/>
    <w:rsid w:val="00131AC4"/>
    <w:rsid w:val="001362EF"/>
    <w:rsid w:val="00144E02"/>
    <w:rsid w:val="001828E6"/>
    <w:rsid w:val="00192244"/>
    <w:rsid w:val="001977E2"/>
    <w:rsid w:val="001A2694"/>
    <w:rsid w:val="001B31D8"/>
    <w:rsid w:val="001B774A"/>
    <w:rsid w:val="001D7DD0"/>
    <w:rsid w:val="001E3A1F"/>
    <w:rsid w:val="001E5D24"/>
    <w:rsid w:val="001F1481"/>
    <w:rsid w:val="001F66D7"/>
    <w:rsid w:val="00203A1B"/>
    <w:rsid w:val="00203E1A"/>
    <w:rsid w:val="00207904"/>
    <w:rsid w:val="002111CB"/>
    <w:rsid w:val="00220F3E"/>
    <w:rsid w:val="002242AD"/>
    <w:rsid w:val="00233136"/>
    <w:rsid w:val="002356B8"/>
    <w:rsid w:val="002619ED"/>
    <w:rsid w:val="00265131"/>
    <w:rsid w:val="00270258"/>
    <w:rsid w:val="00270CCE"/>
    <w:rsid w:val="0027550F"/>
    <w:rsid w:val="00281CCB"/>
    <w:rsid w:val="002829CC"/>
    <w:rsid w:val="00285D39"/>
    <w:rsid w:val="0029467E"/>
    <w:rsid w:val="002A6C79"/>
    <w:rsid w:val="002A7F0A"/>
    <w:rsid w:val="002B5AD1"/>
    <w:rsid w:val="002B7111"/>
    <w:rsid w:val="002D5A6F"/>
    <w:rsid w:val="002E10A4"/>
    <w:rsid w:val="002E5609"/>
    <w:rsid w:val="00306197"/>
    <w:rsid w:val="00320599"/>
    <w:rsid w:val="00352EE5"/>
    <w:rsid w:val="00355B6C"/>
    <w:rsid w:val="00357E4C"/>
    <w:rsid w:val="00360F65"/>
    <w:rsid w:val="00364350"/>
    <w:rsid w:val="0037124D"/>
    <w:rsid w:val="0037284C"/>
    <w:rsid w:val="003802F8"/>
    <w:rsid w:val="00387BB1"/>
    <w:rsid w:val="00393BD9"/>
    <w:rsid w:val="00394FD6"/>
    <w:rsid w:val="003A6D59"/>
    <w:rsid w:val="003D36A1"/>
    <w:rsid w:val="003E2EFE"/>
    <w:rsid w:val="003F7F77"/>
    <w:rsid w:val="004045F3"/>
    <w:rsid w:val="00424695"/>
    <w:rsid w:val="00431CC3"/>
    <w:rsid w:val="00447290"/>
    <w:rsid w:val="00447BAD"/>
    <w:rsid w:val="00460251"/>
    <w:rsid w:val="00464203"/>
    <w:rsid w:val="00483196"/>
    <w:rsid w:val="00483432"/>
    <w:rsid w:val="004A736B"/>
    <w:rsid w:val="004A7DB1"/>
    <w:rsid w:val="004B357A"/>
    <w:rsid w:val="004F17C6"/>
    <w:rsid w:val="004F1BEF"/>
    <w:rsid w:val="004F496E"/>
    <w:rsid w:val="004F7513"/>
    <w:rsid w:val="00501DE5"/>
    <w:rsid w:val="00502D11"/>
    <w:rsid w:val="00507C6F"/>
    <w:rsid w:val="00512EE9"/>
    <w:rsid w:val="005236E6"/>
    <w:rsid w:val="0052628A"/>
    <w:rsid w:val="00552EDD"/>
    <w:rsid w:val="005530F0"/>
    <w:rsid w:val="0055412C"/>
    <w:rsid w:val="00577789"/>
    <w:rsid w:val="005818D2"/>
    <w:rsid w:val="005848D0"/>
    <w:rsid w:val="00584B26"/>
    <w:rsid w:val="00585834"/>
    <w:rsid w:val="00586194"/>
    <w:rsid w:val="00590A59"/>
    <w:rsid w:val="005A06F8"/>
    <w:rsid w:val="005A5A3E"/>
    <w:rsid w:val="005B4225"/>
    <w:rsid w:val="005F39D4"/>
    <w:rsid w:val="005F77B5"/>
    <w:rsid w:val="006007E8"/>
    <w:rsid w:val="00613315"/>
    <w:rsid w:val="006462BC"/>
    <w:rsid w:val="00663D96"/>
    <w:rsid w:val="00664569"/>
    <w:rsid w:val="006751EA"/>
    <w:rsid w:val="00681CE8"/>
    <w:rsid w:val="006822A2"/>
    <w:rsid w:val="006827CB"/>
    <w:rsid w:val="00691DB1"/>
    <w:rsid w:val="006B72D8"/>
    <w:rsid w:val="006C35ED"/>
    <w:rsid w:val="006C3F18"/>
    <w:rsid w:val="006E027D"/>
    <w:rsid w:val="006F13E0"/>
    <w:rsid w:val="006F21C1"/>
    <w:rsid w:val="006F30F7"/>
    <w:rsid w:val="00724BC8"/>
    <w:rsid w:val="00731229"/>
    <w:rsid w:val="00734FBB"/>
    <w:rsid w:val="00742FE1"/>
    <w:rsid w:val="00746FFC"/>
    <w:rsid w:val="007530F6"/>
    <w:rsid w:val="00770309"/>
    <w:rsid w:val="00782892"/>
    <w:rsid w:val="00784822"/>
    <w:rsid w:val="007A5F08"/>
    <w:rsid w:val="007C4BEC"/>
    <w:rsid w:val="007E2EE5"/>
    <w:rsid w:val="007E4C42"/>
    <w:rsid w:val="007E684F"/>
    <w:rsid w:val="007F470C"/>
    <w:rsid w:val="00800B44"/>
    <w:rsid w:val="00813850"/>
    <w:rsid w:val="008455FA"/>
    <w:rsid w:val="00847CC2"/>
    <w:rsid w:val="00865B0A"/>
    <w:rsid w:val="008740EB"/>
    <w:rsid w:val="00875788"/>
    <w:rsid w:val="008955C8"/>
    <w:rsid w:val="008B2C9F"/>
    <w:rsid w:val="008C36F4"/>
    <w:rsid w:val="008C60EB"/>
    <w:rsid w:val="00900365"/>
    <w:rsid w:val="00900B26"/>
    <w:rsid w:val="00902772"/>
    <w:rsid w:val="009054E9"/>
    <w:rsid w:val="00911CEF"/>
    <w:rsid w:val="0091219B"/>
    <w:rsid w:val="00915A6F"/>
    <w:rsid w:val="009162B8"/>
    <w:rsid w:val="00925F77"/>
    <w:rsid w:val="00926B3D"/>
    <w:rsid w:val="00940D1E"/>
    <w:rsid w:val="00950F8F"/>
    <w:rsid w:val="00962230"/>
    <w:rsid w:val="00966CD8"/>
    <w:rsid w:val="0097199B"/>
    <w:rsid w:val="009B47B3"/>
    <w:rsid w:val="009B5A79"/>
    <w:rsid w:val="009E123E"/>
    <w:rsid w:val="009E5627"/>
    <w:rsid w:val="009F06A9"/>
    <w:rsid w:val="009F14E1"/>
    <w:rsid w:val="00A01262"/>
    <w:rsid w:val="00A02054"/>
    <w:rsid w:val="00A266BB"/>
    <w:rsid w:val="00A31E6F"/>
    <w:rsid w:val="00A3413E"/>
    <w:rsid w:val="00A53E4A"/>
    <w:rsid w:val="00A6675E"/>
    <w:rsid w:val="00A724C0"/>
    <w:rsid w:val="00A73059"/>
    <w:rsid w:val="00AA0619"/>
    <w:rsid w:val="00AA216E"/>
    <w:rsid w:val="00AA3D24"/>
    <w:rsid w:val="00AA690E"/>
    <w:rsid w:val="00AD56DF"/>
    <w:rsid w:val="00AE7BCA"/>
    <w:rsid w:val="00B04F1F"/>
    <w:rsid w:val="00B20349"/>
    <w:rsid w:val="00B227EC"/>
    <w:rsid w:val="00B42EF6"/>
    <w:rsid w:val="00B446DE"/>
    <w:rsid w:val="00B5242B"/>
    <w:rsid w:val="00B53F97"/>
    <w:rsid w:val="00B54F15"/>
    <w:rsid w:val="00B70E1A"/>
    <w:rsid w:val="00B74D9C"/>
    <w:rsid w:val="00B77F2C"/>
    <w:rsid w:val="00B91486"/>
    <w:rsid w:val="00B9461A"/>
    <w:rsid w:val="00B94EE9"/>
    <w:rsid w:val="00BA06EC"/>
    <w:rsid w:val="00BA78D8"/>
    <w:rsid w:val="00BD2BFF"/>
    <w:rsid w:val="00BE51A3"/>
    <w:rsid w:val="00C104AB"/>
    <w:rsid w:val="00C11E74"/>
    <w:rsid w:val="00C12E30"/>
    <w:rsid w:val="00C1454C"/>
    <w:rsid w:val="00C26E5A"/>
    <w:rsid w:val="00C42D1C"/>
    <w:rsid w:val="00C47F75"/>
    <w:rsid w:val="00C53DFF"/>
    <w:rsid w:val="00C5722D"/>
    <w:rsid w:val="00C70101"/>
    <w:rsid w:val="00C71EE7"/>
    <w:rsid w:val="00C83B6D"/>
    <w:rsid w:val="00C941C9"/>
    <w:rsid w:val="00C95910"/>
    <w:rsid w:val="00C97E72"/>
    <w:rsid w:val="00CA6FDD"/>
    <w:rsid w:val="00CD393C"/>
    <w:rsid w:val="00CE15D0"/>
    <w:rsid w:val="00CE2839"/>
    <w:rsid w:val="00CF4608"/>
    <w:rsid w:val="00D021F8"/>
    <w:rsid w:val="00D03D58"/>
    <w:rsid w:val="00D16C1C"/>
    <w:rsid w:val="00D22D3E"/>
    <w:rsid w:val="00D2734C"/>
    <w:rsid w:val="00D31583"/>
    <w:rsid w:val="00D431A2"/>
    <w:rsid w:val="00D4358B"/>
    <w:rsid w:val="00D44BBB"/>
    <w:rsid w:val="00D574BD"/>
    <w:rsid w:val="00D6072E"/>
    <w:rsid w:val="00D72594"/>
    <w:rsid w:val="00D740DB"/>
    <w:rsid w:val="00D75B71"/>
    <w:rsid w:val="00D80114"/>
    <w:rsid w:val="00D9573B"/>
    <w:rsid w:val="00DF4AF3"/>
    <w:rsid w:val="00DF605B"/>
    <w:rsid w:val="00DF75B8"/>
    <w:rsid w:val="00E26A5E"/>
    <w:rsid w:val="00E2791D"/>
    <w:rsid w:val="00E33894"/>
    <w:rsid w:val="00E5154C"/>
    <w:rsid w:val="00E578D0"/>
    <w:rsid w:val="00E70CF0"/>
    <w:rsid w:val="00E76CE9"/>
    <w:rsid w:val="00E86CC2"/>
    <w:rsid w:val="00E9561F"/>
    <w:rsid w:val="00E973B2"/>
    <w:rsid w:val="00EA4112"/>
    <w:rsid w:val="00EB08BD"/>
    <w:rsid w:val="00EC6E41"/>
    <w:rsid w:val="00ED6FD8"/>
    <w:rsid w:val="00F02FA0"/>
    <w:rsid w:val="00F050D2"/>
    <w:rsid w:val="00F1104F"/>
    <w:rsid w:val="00F23573"/>
    <w:rsid w:val="00F244B8"/>
    <w:rsid w:val="00F51202"/>
    <w:rsid w:val="00F65D1C"/>
    <w:rsid w:val="00F708F3"/>
    <w:rsid w:val="00F7232C"/>
    <w:rsid w:val="00F810F6"/>
    <w:rsid w:val="00F905BA"/>
    <w:rsid w:val="00F90F21"/>
    <w:rsid w:val="00F950B0"/>
    <w:rsid w:val="00F96DD4"/>
    <w:rsid w:val="00FB5B68"/>
    <w:rsid w:val="00FC0B53"/>
    <w:rsid w:val="00FD1D16"/>
    <w:rsid w:val="00FE45BF"/>
    <w:rsid w:val="00FE5069"/>
    <w:rsid w:val="00FF1B4D"/>
    <w:rsid w:val="00FF1BFE"/>
    <w:rsid w:val="011F57C1"/>
    <w:rsid w:val="012D3A6F"/>
    <w:rsid w:val="016B02D2"/>
    <w:rsid w:val="02922B48"/>
    <w:rsid w:val="030B306C"/>
    <w:rsid w:val="03674550"/>
    <w:rsid w:val="03887ADC"/>
    <w:rsid w:val="03C42E30"/>
    <w:rsid w:val="03EE55E5"/>
    <w:rsid w:val="05007948"/>
    <w:rsid w:val="05124002"/>
    <w:rsid w:val="052154B4"/>
    <w:rsid w:val="05686275"/>
    <w:rsid w:val="05893989"/>
    <w:rsid w:val="05E242C7"/>
    <w:rsid w:val="05F22039"/>
    <w:rsid w:val="06467983"/>
    <w:rsid w:val="066B686A"/>
    <w:rsid w:val="06D14380"/>
    <w:rsid w:val="07126600"/>
    <w:rsid w:val="078B6D16"/>
    <w:rsid w:val="07AF09FA"/>
    <w:rsid w:val="07FB3333"/>
    <w:rsid w:val="082F5085"/>
    <w:rsid w:val="09734BBF"/>
    <w:rsid w:val="09863012"/>
    <w:rsid w:val="09A122A7"/>
    <w:rsid w:val="0A7115B6"/>
    <w:rsid w:val="0A7A4B10"/>
    <w:rsid w:val="0A7E1746"/>
    <w:rsid w:val="0A8712BC"/>
    <w:rsid w:val="0AA7608A"/>
    <w:rsid w:val="0B01303A"/>
    <w:rsid w:val="0B041C3B"/>
    <w:rsid w:val="0B896272"/>
    <w:rsid w:val="0C0870D9"/>
    <w:rsid w:val="0CC104E6"/>
    <w:rsid w:val="0DDF2CDD"/>
    <w:rsid w:val="0E1F6E46"/>
    <w:rsid w:val="0E240B1B"/>
    <w:rsid w:val="0E401448"/>
    <w:rsid w:val="0E587598"/>
    <w:rsid w:val="0E756A9A"/>
    <w:rsid w:val="0ED54422"/>
    <w:rsid w:val="0EEA4978"/>
    <w:rsid w:val="0EF96504"/>
    <w:rsid w:val="0F987CB5"/>
    <w:rsid w:val="0FE7274E"/>
    <w:rsid w:val="10543C0E"/>
    <w:rsid w:val="107E7624"/>
    <w:rsid w:val="114D1E98"/>
    <w:rsid w:val="11894F40"/>
    <w:rsid w:val="11994404"/>
    <w:rsid w:val="11B04A3F"/>
    <w:rsid w:val="11B2390F"/>
    <w:rsid w:val="11FE02FA"/>
    <w:rsid w:val="1224154D"/>
    <w:rsid w:val="124E6404"/>
    <w:rsid w:val="127C2159"/>
    <w:rsid w:val="12A25296"/>
    <w:rsid w:val="12A362B9"/>
    <w:rsid w:val="12B748E9"/>
    <w:rsid w:val="12E858EC"/>
    <w:rsid w:val="13645044"/>
    <w:rsid w:val="13702FEB"/>
    <w:rsid w:val="14AB33D3"/>
    <w:rsid w:val="1545007B"/>
    <w:rsid w:val="155E441F"/>
    <w:rsid w:val="15806599"/>
    <w:rsid w:val="162024D1"/>
    <w:rsid w:val="1688565E"/>
    <w:rsid w:val="17164885"/>
    <w:rsid w:val="171C76B0"/>
    <w:rsid w:val="18346DFB"/>
    <w:rsid w:val="192A4300"/>
    <w:rsid w:val="19AE2604"/>
    <w:rsid w:val="1A0F10B9"/>
    <w:rsid w:val="1A661678"/>
    <w:rsid w:val="1A8A70DE"/>
    <w:rsid w:val="1A8B7E08"/>
    <w:rsid w:val="1AA976D1"/>
    <w:rsid w:val="1B0E225F"/>
    <w:rsid w:val="1B8A5FB7"/>
    <w:rsid w:val="1BBF56F9"/>
    <w:rsid w:val="1C0E5505"/>
    <w:rsid w:val="1CED1C98"/>
    <w:rsid w:val="1CF44107"/>
    <w:rsid w:val="1D3730EB"/>
    <w:rsid w:val="1E06298F"/>
    <w:rsid w:val="1E120D49"/>
    <w:rsid w:val="1E144057"/>
    <w:rsid w:val="1E852A64"/>
    <w:rsid w:val="1EDF54E0"/>
    <w:rsid w:val="1F303000"/>
    <w:rsid w:val="2069026F"/>
    <w:rsid w:val="21306E73"/>
    <w:rsid w:val="21692F0F"/>
    <w:rsid w:val="216D7AE9"/>
    <w:rsid w:val="218E18A2"/>
    <w:rsid w:val="224621DD"/>
    <w:rsid w:val="227D4507"/>
    <w:rsid w:val="22B81CCB"/>
    <w:rsid w:val="22BF6F77"/>
    <w:rsid w:val="23836D99"/>
    <w:rsid w:val="2405053C"/>
    <w:rsid w:val="24350526"/>
    <w:rsid w:val="24D24CF8"/>
    <w:rsid w:val="24F854E5"/>
    <w:rsid w:val="25045130"/>
    <w:rsid w:val="252B5F86"/>
    <w:rsid w:val="2560662B"/>
    <w:rsid w:val="263F1633"/>
    <w:rsid w:val="268E2453"/>
    <w:rsid w:val="26A15C72"/>
    <w:rsid w:val="26A773E0"/>
    <w:rsid w:val="26B93FDA"/>
    <w:rsid w:val="26EA44B3"/>
    <w:rsid w:val="27014565"/>
    <w:rsid w:val="27303083"/>
    <w:rsid w:val="276E3CEE"/>
    <w:rsid w:val="278C7AA4"/>
    <w:rsid w:val="28816B9D"/>
    <w:rsid w:val="28A60108"/>
    <w:rsid w:val="28A70585"/>
    <w:rsid w:val="28A72978"/>
    <w:rsid w:val="29660C86"/>
    <w:rsid w:val="29AF1442"/>
    <w:rsid w:val="2A195091"/>
    <w:rsid w:val="2AD01641"/>
    <w:rsid w:val="2B180DEB"/>
    <w:rsid w:val="2B376C5F"/>
    <w:rsid w:val="2B4B6865"/>
    <w:rsid w:val="2B5F5891"/>
    <w:rsid w:val="2BAE15B9"/>
    <w:rsid w:val="2C040EBD"/>
    <w:rsid w:val="2CC63223"/>
    <w:rsid w:val="2CC77AF5"/>
    <w:rsid w:val="2D353328"/>
    <w:rsid w:val="2D8B12B9"/>
    <w:rsid w:val="2DB36B65"/>
    <w:rsid w:val="2E2F49BA"/>
    <w:rsid w:val="2E5B5FEC"/>
    <w:rsid w:val="2E5C18A9"/>
    <w:rsid w:val="2E826C37"/>
    <w:rsid w:val="2F5255D4"/>
    <w:rsid w:val="2F893466"/>
    <w:rsid w:val="30527FC6"/>
    <w:rsid w:val="306001FD"/>
    <w:rsid w:val="3074475D"/>
    <w:rsid w:val="30A770E6"/>
    <w:rsid w:val="30BC601F"/>
    <w:rsid w:val="311A21C2"/>
    <w:rsid w:val="313C405A"/>
    <w:rsid w:val="31CC4810"/>
    <w:rsid w:val="32864F2E"/>
    <w:rsid w:val="33A279C2"/>
    <w:rsid w:val="33F36B98"/>
    <w:rsid w:val="3461642D"/>
    <w:rsid w:val="34BF12A2"/>
    <w:rsid w:val="354011DA"/>
    <w:rsid w:val="356B3838"/>
    <w:rsid w:val="35E44E9C"/>
    <w:rsid w:val="369D205A"/>
    <w:rsid w:val="36B70756"/>
    <w:rsid w:val="370A1A8B"/>
    <w:rsid w:val="3750247C"/>
    <w:rsid w:val="3773390B"/>
    <w:rsid w:val="3791054E"/>
    <w:rsid w:val="38BD72EA"/>
    <w:rsid w:val="38FE6EE9"/>
    <w:rsid w:val="39BB6011"/>
    <w:rsid w:val="39F921CF"/>
    <w:rsid w:val="3A2E6AA7"/>
    <w:rsid w:val="3A534285"/>
    <w:rsid w:val="3AFF2E4A"/>
    <w:rsid w:val="3B580F7E"/>
    <w:rsid w:val="3B770DC0"/>
    <w:rsid w:val="3B7C2247"/>
    <w:rsid w:val="3CC2224F"/>
    <w:rsid w:val="3CEC7B9C"/>
    <w:rsid w:val="3D344164"/>
    <w:rsid w:val="3D4D06C2"/>
    <w:rsid w:val="3D597397"/>
    <w:rsid w:val="3D7B528D"/>
    <w:rsid w:val="3E297BF6"/>
    <w:rsid w:val="3E365157"/>
    <w:rsid w:val="3ECA4B64"/>
    <w:rsid w:val="3ECF5E5C"/>
    <w:rsid w:val="3EEF2771"/>
    <w:rsid w:val="3FC21F6B"/>
    <w:rsid w:val="40011C12"/>
    <w:rsid w:val="40403645"/>
    <w:rsid w:val="405A3824"/>
    <w:rsid w:val="40883A3D"/>
    <w:rsid w:val="40CF3142"/>
    <w:rsid w:val="41A207AD"/>
    <w:rsid w:val="42CB6790"/>
    <w:rsid w:val="43EC567E"/>
    <w:rsid w:val="44407A9E"/>
    <w:rsid w:val="4534276B"/>
    <w:rsid w:val="455C21A5"/>
    <w:rsid w:val="456A762D"/>
    <w:rsid w:val="458617C7"/>
    <w:rsid w:val="46D31A99"/>
    <w:rsid w:val="476B2282"/>
    <w:rsid w:val="47DD6AE8"/>
    <w:rsid w:val="48183D7F"/>
    <w:rsid w:val="481E2FEB"/>
    <w:rsid w:val="48463D52"/>
    <w:rsid w:val="48744384"/>
    <w:rsid w:val="48C02409"/>
    <w:rsid w:val="48C86AC8"/>
    <w:rsid w:val="492B4F5A"/>
    <w:rsid w:val="495F249D"/>
    <w:rsid w:val="498C6592"/>
    <w:rsid w:val="499E693F"/>
    <w:rsid w:val="49F65BB1"/>
    <w:rsid w:val="4A3D111A"/>
    <w:rsid w:val="4A73644C"/>
    <w:rsid w:val="4A761620"/>
    <w:rsid w:val="4AE35AF4"/>
    <w:rsid w:val="4AE93139"/>
    <w:rsid w:val="4B7E56C4"/>
    <w:rsid w:val="4B983043"/>
    <w:rsid w:val="4C0A29CF"/>
    <w:rsid w:val="4CD17C11"/>
    <w:rsid w:val="4D086A70"/>
    <w:rsid w:val="4D124E44"/>
    <w:rsid w:val="4D6A3856"/>
    <w:rsid w:val="4DCB634C"/>
    <w:rsid w:val="4E11257B"/>
    <w:rsid w:val="4E7074F7"/>
    <w:rsid w:val="4EDB3643"/>
    <w:rsid w:val="4F573CD0"/>
    <w:rsid w:val="4F99108C"/>
    <w:rsid w:val="4FA7380D"/>
    <w:rsid w:val="4FAD037F"/>
    <w:rsid w:val="50160541"/>
    <w:rsid w:val="50D31CB7"/>
    <w:rsid w:val="51AC7619"/>
    <w:rsid w:val="51E548C4"/>
    <w:rsid w:val="51EE6376"/>
    <w:rsid w:val="521C0449"/>
    <w:rsid w:val="524E0537"/>
    <w:rsid w:val="52587F50"/>
    <w:rsid w:val="525E6EC7"/>
    <w:rsid w:val="52B21609"/>
    <w:rsid w:val="52DB29AC"/>
    <w:rsid w:val="53415286"/>
    <w:rsid w:val="53A7242C"/>
    <w:rsid w:val="53B5677C"/>
    <w:rsid w:val="53C47A68"/>
    <w:rsid w:val="53FF06CD"/>
    <w:rsid w:val="544E6C8D"/>
    <w:rsid w:val="54941233"/>
    <w:rsid w:val="54A043B6"/>
    <w:rsid w:val="54C014FC"/>
    <w:rsid w:val="54CE4A4E"/>
    <w:rsid w:val="54E70BCD"/>
    <w:rsid w:val="54EC3B80"/>
    <w:rsid w:val="556C7926"/>
    <w:rsid w:val="5685534D"/>
    <w:rsid w:val="56873254"/>
    <w:rsid w:val="575E6B54"/>
    <w:rsid w:val="578F06DD"/>
    <w:rsid w:val="579959CA"/>
    <w:rsid w:val="57E71A1D"/>
    <w:rsid w:val="57FB7195"/>
    <w:rsid w:val="581933BF"/>
    <w:rsid w:val="581C3D88"/>
    <w:rsid w:val="58AF5194"/>
    <w:rsid w:val="58B557D4"/>
    <w:rsid w:val="58E85983"/>
    <w:rsid w:val="599326AC"/>
    <w:rsid w:val="5A375E04"/>
    <w:rsid w:val="5A737EBD"/>
    <w:rsid w:val="5B581C3E"/>
    <w:rsid w:val="5B7C766D"/>
    <w:rsid w:val="5B8105BF"/>
    <w:rsid w:val="5BCB1B3A"/>
    <w:rsid w:val="5C032D16"/>
    <w:rsid w:val="5C293FB8"/>
    <w:rsid w:val="5C3B1E55"/>
    <w:rsid w:val="5C925FC8"/>
    <w:rsid w:val="5CDD1FA9"/>
    <w:rsid w:val="5D081D5E"/>
    <w:rsid w:val="5D635476"/>
    <w:rsid w:val="5D744F94"/>
    <w:rsid w:val="5D7C3286"/>
    <w:rsid w:val="5E375987"/>
    <w:rsid w:val="5EF709EE"/>
    <w:rsid w:val="5F34511C"/>
    <w:rsid w:val="5F5742AD"/>
    <w:rsid w:val="60034139"/>
    <w:rsid w:val="60360B96"/>
    <w:rsid w:val="60552C44"/>
    <w:rsid w:val="60B83790"/>
    <w:rsid w:val="60D62F0A"/>
    <w:rsid w:val="611575AD"/>
    <w:rsid w:val="61740D49"/>
    <w:rsid w:val="62D06D59"/>
    <w:rsid w:val="634F27B0"/>
    <w:rsid w:val="636D0FCB"/>
    <w:rsid w:val="63B26D9D"/>
    <w:rsid w:val="63F57DC0"/>
    <w:rsid w:val="63FE3F1E"/>
    <w:rsid w:val="643B4441"/>
    <w:rsid w:val="64893045"/>
    <w:rsid w:val="64D25D62"/>
    <w:rsid w:val="64E9702B"/>
    <w:rsid w:val="652236F2"/>
    <w:rsid w:val="655F18A8"/>
    <w:rsid w:val="65741DE2"/>
    <w:rsid w:val="65CD141D"/>
    <w:rsid w:val="65E72612"/>
    <w:rsid w:val="65ED5EC0"/>
    <w:rsid w:val="66602E97"/>
    <w:rsid w:val="66B17B5B"/>
    <w:rsid w:val="67341209"/>
    <w:rsid w:val="674471C3"/>
    <w:rsid w:val="676A083D"/>
    <w:rsid w:val="67C32ACF"/>
    <w:rsid w:val="67F52361"/>
    <w:rsid w:val="68075032"/>
    <w:rsid w:val="68151882"/>
    <w:rsid w:val="683400E9"/>
    <w:rsid w:val="69091976"/>
    <w:rsid w:val="692A7723"/>
    <w:rsid w:val="6A316435"/>
    <w:rsid w:val="6AA03EEE"/>
    <w:rsid w:val="6AD505F4"/>
    <w:rsid w:val="6AEE3217"/>
    <w:rsid w:val="6B652944"/>
    <w:rsid w:val="6B67028E"/>
    <w:rsid w:val="6B827092"/>
    <w:rsid w:val="6BCF3F8E"/>
    <w:rsid w:val="6C443279"/>
    <w:rsid w:val="6CBC71C3"/>
    <w:rsid w:val="6D5B6888"/>
    <w:rsid w:val="6D893761"/>
    <w:rsid w:val="6E111473"/>
    <w:rsid w:val="6E2625AA"/>
    <w:rsid w:val="6EF0318D"/>
    <w:rsid w:val="6F362C0E"/>
    <w:rsid w:val="70564E96"/>
    <w:rsid w:val="70771B94"/>
    <w:rsid w:val="70963B50"/>
    <w:rsid w:val="71097E92"/>
    <w:rsid w:val="712A4643"/>
    <w:rsid w:val="72445883"/>
    <w:rsid w:val="729C4F05"/>
    <w:rsid w:val="72AA265B"/>
    <w:rsid w:val="7333669D"/>
    <w:rsid w:val="736946D1"/>
    <w:rsid w:val="73C76742"/>
    <w:rsid w:val="75632FE7"/>
    <w:rsid w:val="75B334C8"/>
    <w:rsid w:val="75BA7322"/>
    <w:rsid w:val="75E33E36"/>
    <w:rsid w:val="75E823F0"/>
    <w:rsid w:val="75FB5BAD"/>
    <w:rsid w:val="761A3952"/>
    <w:rsid w:val="765B7DD0"/>
    <w:rsid w:val="768239DA"/>
    <w:rsid w:val="770C52BC"/>
    <w:rsid w:val="77A90504"/>
    <w:rsid w:val="783F7278"/>
    <w:rsid w:val="785228C3"/>
    <w:rsid w:val="78936A85"/>
    <w:rsid w:val="789F08D3"/>
    <w:rsid w:val="78D557C5"/>
    <w:rsid w:val="793763E3"/>
    <w:rsid w:val="7ABE63FE"/>
    <w:rsid w:val="7C2344AA"/>
    <w:rsid w:val="7CA54F19"/>
    <w:rsid w:val="7CB23158"/>
    <w:rsid w:val="7D2649DA"/>
    <w:rsid w:val="7DF820AD"/>
    <w:rsid w:val="7E2209F9"/>
    <w:rsid w:val="7E340C6A"/>
    <w:rsid w:val="7EB26B01"/>
    <w:rsid w:val="7EDC16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ind w:firstLine="562" w:firstLineChars="200"/>
      <w:jc w:val="both"/>
    </w:pPr>
    <w:rPr>
      <w:rFonts w:hint="eastAsia" w:ascii="Times New Roman" w:hAnsi="Times New Roman" w:eastAsia="宋体" w:cstheme="minorBidi"/>
      <w:kern w:val="2"/>
      <w:sz w:val="24"/>
      <w:szCs w:val="24"/>
      <w:lang w:val="en-US" w:eastAsia="zh-CN" w:bidi="ar-SA"/>
    </w:rPr>
  </w:style>
  <w:style w:type="paragraph" w:styleId="2">
    <w:name w:val="heading 1"/>
    <w:basedOn w:val="1"/>
    <w:next w:val="1"/>
    <w:qFormat/>
    <w:uiPriority w:val="0"/>
    <w:pPr>
      <w:topLinePunct/>
      <w:autoSpaceDE w:val="0"/>
      <w:autoSpaceDN w:val="0"/>
      <w:adjustRightInd w:val="0"/>
      <w:snapToGrid w:val="0"/>
      <w:spacing w:beforeLines="100" w:afterLines="100" w:line="360" w:lineRule="auto"/>
      <w:ind w:firstLine="0" w:firstLineChars="0"/>
      <w:jc w:val="center"/>
      <w:outlineLvl w:val="0"/>
    </w:pPr>
    <w:rPr>
      <w:rFonts w:ascii="黑体" w:hAnsi="黑体" w:eastAsia="黑体" w:cs="Times New Roman"/>
      <w:b/>
      <w:kern w:val="24"/>
      <w:sz w:val="36"/>
      <w:szCs w:val="36"/>
    </w:rPr>
  </w:style>
  <w:style w:type="paragraph" w:styleId="3">
    <w:name w:val="heading 2"/>
    <w:basedOn w:val="1"/>
    <w:next w:val="1"/>
    <w:qFormat/>
    <w:uiPriority w:val="9"/>
    <w:pPr>
      <w:keepNext/>
      <w:keepLines/>
      <w:topLinePunct/>
      <w:adjustRightInd w:val="0"/>
      <w:snapToGrid w:val="0"/>
      <w:spacing w:before="300" w:after="300" w:line="360" w:lineRule="auto"/>
      <w:ind w:firstLine="643"/>
      <w:outlineLvl w:val="1"/>
    </w:pPr>
    <w:rPr>
      <w:rFonts w:ascii="Arial" w:hAnsi="Arial" w:eastAsia="黑体" w:cs="Times New Roman"/>
      <w:b/>
      <w:bCs/>
      <w:kern w:val="24"/>
      <w:sz w:val="32"/>
      <w:szCs w:val="32"/>
    </w:rPr>
  </w:style>
  <w:style w:type="paragraph" w:styleId="4">
    <w:name w:val="heading 3"/>
    <w:next w:val="1"/>
    <w:qFormat/>
    <w:uiPriority w:val="9"/>
    <w:pPr>
      <w:keepNext/>
      <w:widowControl w:val="0"/>
      <w:topLinePunct/>
      <w:adjustRightInd w:val="0"/>
      <w:snapToGrid w:val="0"/>
      <w:spacing w:beforeLines="125" w:afterLines="125" w:line="360" w:lineRule="auto"/>
      <w:ind w:firstLine="510" w:firstLineChars="200"/>
      <w:jc w:val="both"/>
      <w:outlineLvl w:val="2"/>
    </w:pPr>
    <w:rPr>
      <w:rFonts w:ascii="Times New Roman" w:hAnsi="Times New Roman" w:eastAsia="黑体" w:cs="Times New Roman"/>
      <w:b/>
      <w:bCs/>
      <w:kern w:val="24"/>
      <w:sz w:val="28"/>
      <w:szCs w:val="28"/>
      <w:lang w:val="en-US" w:eastAsia="zh-CN" w:bidi="ar-SA"/>
    </w:rPr>
  </w:style>
  <w:style w:type="paragraph" w:styleId="5">
    <w:name w:val="heading 4"/>
    <w:basedOn w:val="1"/>
    <w:next w:val="1"/>
    <w:link w:val="23"/>
    <w:semiHidden/>
    <w:unhideWhenUsed/>
    <w:qFormat/>
    <w:uiPriority w:val="0"/>
    <w:pPr>
      <w:keepNext/>
      <w:keepLines/>
      <w:widowControl/>
      <w:tabs>
        <w:tab w:val="left" w:pos="377"/>
      </w:tabs>
      <w:spacing w:before="280" w:after="290" w:line="360" w:lineRule="auto"/>
      <w:jc w:val="left"/>
      <w:outlineLvl w:val="3"/>
    </w:pPr>
    <w:rPr>
      <w:rFonts w:ascii="Cambria" w:hAnsi="Cambria" w:eastAsia="黑体" w:cs="Times New Roman"/>
      <w:bCs/>
      <w:kern w:val="0"/>
      <w:szCs w:val="28"/>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6">
    <w:name w:val="Document Map"/>
    <w:basedOn w:val="1"/>
    <w:link w:val="46"/>
    <w:qFormat/>
    <w:uiPriority w:val="0"/>
    <w:rPr>
      <w:rFonts w:ascii="宋体"/>
      <w:sz w:val="18"/>
      <w:szCs w:val="18"/>
    </w:rPr>
  </w:style>
  <w:style w:type="paragraph" w:styleId="7">
    <w:name w:val="annotation text"/>
    <w:link w:val="48"/>
    <w:qFormat/>
    <w:uiPriority w:val="0"/>
    <w:pPr>
      <w:widowControl w:val="0"/>
      <w:adjustRightInd w:val="0"/>
      <w:snapToGrid w:val="0"/>
      <w:spacing w:line="360" w:lineRule="auto"/>
      <w:ind w:firstLine="480" w:firstLineChars="200"/>
    </w:pPr>
    <w:rPr>
      <w:rFonts w:ascii="宋体" w:hAnsi="宋体" w:eastAsia="宋体" w:cs="Times New Roman"/>
      <w:kern w:val="2"/>
      <w:sz w:val="24"/>
      <w:szCs w:val="24"/>
      <w:lang w:val="en-US" w:eastAsia="zh-CN" w:bidi="ar-SA"/>
    </w:rPr>
  </w:style>
  <w:style w:type="paragraph" w:styleId="8">
    <w:name w:val="Body Text"/>
    <w:basedOn w:val="1"/>
    <w:qFormat/>
    <w:uiPriority w:val="0"/>
    <w:pPr>
      <w:spacing w:line="360" w:lineRule="auto"/>
      <w:ind w:firstLine="643"/>
    </w:pPr>
    <w:rPr>
      <w:color w:val="000000" w:themeColor="text1"/>
      <w:kern w:val="21"/>
    </w:rPr>
  </w:style>
  <w:style w:type="paragraph" w:styleId="9">
    <w:name w:val="Body Text Indent"/>
    <w:basedOn w:val="1"/>
    <w:link w:val="24"/>
    <w:qFormat/>
    <w:uiPriority w:val="0"/>
    <w:pPr>
      <w:widowControl/>
      <w:tabs>
        <w:tab w:val="left" w:pos="377"/>
      </w:tabs>
      <w:spacing w:after="120" w:line="300" w:lineRule="auto"/>
      <w:ind w:left="420" w:leftChars="200" w:firstLine="200"/>
    </w:pPr>
  </w:style>
  <w:style w:type="paragraph" w:styleId="10">
    <w:name w:val="toc 3"/>
    <w:basedOn w:val="1"/>
    <w:next w:val="1"/>
    <w:qFormat/>
    <w:uiPriority w:val="39"/>
    <w:pPr>
      <w:ind w:left="840" w:leftChars="400"/>
    </w:pPr>
  </w:style>
  <w:style w:type="paragraph" w:styleId="11">
    <w:name w:val="Balloon Text"/>
    <w:basedOn w:val="1"/>
    <w:link w:val="47"/>
    <w:qFormat/>
    <w:uiPriority w:val="0"/>
    <w:pPr>
      <w:spacing w:line="240" w:lineRule="auto"/>
    </w:pPr>
    <w:rPr>
      <w:sz w:val="18"/>
      <w:szCs w:val="18"/>
    </w:rPr>
  </w:style>
  <w:style w:type="paragraph" w:styleId="12">
    <w:name w:val="footer"/>
    <w:basedOn w:val="1"/>
    <w:link w:val="57"/>
    <w:qFormat/>
    <w:uiPriority w:val="99"/>
    <w:pPr>
      <w:tabs>
        <w:tab w:val="center" w:pos="4153"/>
        <w:tab w:val="right" w:pos="8306"/>
      </w:tabs>
      <w:adjustRightInd w:val="0"/>
      <w:snapToGrid w:val="0"/>
      <w:spacing w:line="360" w:lineRule="auto"/>
      <w:ind w:firstLine="480"/>
    </w:pPr>
    <w:rPr>
      <w:rFonts w:ascii="Calibri" w:hAnsi="Calibri" w:cs="Times New Roman"/>
      <w:sz w:val="18"/>
      <w:szCs w:val="18"/>
    </w:rPr>
  </w:style>
  <w:style w:type="paragraph" w:styleId="13">
    <w:name w:val="header"/>
    <w:basedOn w:val="1"/>
    <w:qFormat/>
    <w:uiPriority w:val="0"/>
    <w:pPr>
      <w:pBdr>
        <w:bottom w:val="single" w:color="auto" w:sz="6" w:space="1"/>
      </w:pBdr>
      <w:tabs>
        <w:tab w:val="center" w:pos="4153"/>
        <w:tab w:val="right" w:pos="8306"/>
      </w:tabs>
      <w:adjustRightInd w:val="0"/>
      <w:snapToGrid w:val="0"/>
      <w:spacing w:line="360" w:lineRule="auto"/>
      <w:ind w:firstLine="480"/>
      <w:jc w:val="center"/>
    </w:pPr>
    <w:rPr>
      <w:rFonts w:ascii="Calibri" w:hAnsi="Calibri" w:cs="Times New Roman"/>
      <w:sz w:val="18"/>
      <w:szCs w:val="18"/>
    </w:rPr>
  </w:style>
  <w:style w:type="paragraph" w:styleId="14">
    <w:name w:val="toc 1"/>
    <w:basedOn w:val="1"/>
    <w:next w:val="1"/>
    <w:qFormat/>
    <w:uiPriority w:val="39"/>
  </w:style>
  <w:style w:type="paragraph" w:styleId="15">
    <w:name w:val="toc 2"/>
    <w:basedOn w:val="1"/>
    <w:next w:val="1"/>
    <w:qFormat/>
    <w:uiPriority w:val="39"/>
    <w:pPr>
      <w:ind w:left="420" w:leftChars="200"/>
    </w:pPr>
  </w:style>
  <w:style w:type="paragraph" w:styleId="16">
    <w:name w:val="Normal (Web)"/>
    <w:unhideWhenUsed/>
    <w:qFormat/>
    <w:uiPriority w:val="99"/>
    <w:pPr>
      <w:widowControl w:val="0"/>
      <w:wordWrap w:val="0"/>
      <w:spacing w:beforeLines="100" w:afterLines="100" w:line="360" w:lineRule="auto"/>
      <w:ind w:firstLine="480" w:firstLineChars="200"/>
    </w:pPr>
    <w:rPr>
      <w:rFonts w:ascii="宋体" w:hAnsi="宋体" w:eastAsia="宋体" w:cs="宋体"/>
      <w:sz w:val="24"/>
      <w:szCs w:val="24"/>
      <w:lang w:val="en-US" w:eastAsia="zh-CN" w:bidi="ar-SA"/>
    </w:rPr>
  </w:style>
  <w:style w:type="paragraph" w:styleId="17">
    <w:name w:val="annotation subject"/>
    <w:basedOn w:val="7"/>
    <w:next w:val="7"/>
    <w:link w:val="49"/>
    <w:qFormat/>
    <w:uiPriority w:val="0"/>
    <w:pPr>
      <w:adjustRightInd/>
      <w:snapToGrid/>
      <w:spacing w:line="276" w:lineRule="auto"/>
      <w:ind w:firstLine="562"/>
    </w:pPr>
    <w:rPr>
      <w:rFonts w:hint="eastAsia" w:ascii="Times New Roman" w:hAnsi="Times New Roman" w:cstheme="minorBidi"/>
      <w:b/>
      <w:bCs/>
    </w:rPr>
  </w:style>
  <w:style w:type="table" w:styleId="1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unhideWhenUsed/>
    <w:uiPriority w:val="99"/>
    <w:rPr>
      <w:color w:val="0563C1" w:themeColor="hyperlink"/>
      <w:u w:val="single"/>
    </w:rPr>
  </w:style>
  <w:style w:type="character" w:styleId="22">
    <w:name w:val="annotation reference"/>
    <w:basedOn w:val="20"/>
    <w:qFormat/>
    <w:uiPriority w:val="0"/>
    <w:rPr>
      <w:sz w:val="21"/>
      <w:szCs w:val="21"/>
    </w:rPr>
  </w:style>
  <w:style w:type="character" w:customStyle="1" w:styleId="23">
    <w:name w:val="标题 4 字符"/>
    <w:link w:val="5"/>
    <w:qFormat/>
    <w:uiPriority w:val="0"/>
    <w:rPr>
      <w:rFonts w:ascii="Cambria" w:hAnsi="Cambria" w:eastAsia="黑体" w:cs="Times New Roman"/>
      <w:bCs/>
      <w:sz w:val="24"/>
      <w:szCs w:val="28"/>
      <w:lang w:val="en-US" w:eastAsia="zh-CN" w:bidi="ar-SA"/>
    </w:rPr>
  </w:style>
  <w:style w:type="character" w:customStyle="1" w:styleId="24">
    <w:name w:val="正文文本缩进 字符"/>
    <w:link w:val="9"/>
    <w:qFormat/>
    <w:uiPriority w:val="0"/>
    <w:rPr>
      <w:rFonts w:eastAsia="宋体"/>
      <w:sz w:val="24"/>
      <w:szCs w:val="24"/>
      <w:lang w:val="en-US" w:eastAsia="zh-CN" w:bidi="ar-SA"/>
    </w:rPr>
  </w:style>
  <w:style w:type="paragraph" w:customStyle="1" w:styleId="25">
    <w:name w:val="英文摘要"/>
    <w:basedOn w:val="1"/>
    <w:qFormat/>
    <w:uiPriority w:val="0"/>
  </w:style>
  <w:style w:type="paragraph" w:customStyle="1" w:styleId="26">
    <w:name w:val="参考文献正文"/>
    <w:basedOn w:val="1"/>
    <w:qFormat/>
    <w:uiPriority w:val="0"/>
    <w:pPr>
      <w:ind w:firstLine="0" w:firstLineChars="0"/>
    </w:pPr>
    <w:rPr>
      <w:rFonts w:cs="宋体"/>
    </w:rPr>
  </w:style>
  <w:style w:type="paragraph" w:customStyle="1" w:styleId="27">
    <w:name w:val="事项名称"/>
    <w:basedOn w:val="1"/>
    <w:next w:val="1"/>
    <w:qFormat/>
    <w:uiPriority w:val="0"/>
    <w:rPr>
      <w:b/>
      <w:bCs/>
    </w:rPr>
  </w:style>
  <w:style w:type="paragraph" w:customStyle="1" w:styleId="28">
    <w:name w:val="样式1【标准】"/>
    <w:qFormat/>
    <w:uiPriority w:val="0"/>
    <w:pPr>
      <w:keepNext/>
      <w:keepLines/>
      <w:widowControl w:val="0"/>
      <w:tabs>
        <w:tab w:val="center" w:pos="4153"/>
        <w:tab w:val="left" w:pos="6771"/>
      </w:tabs>
      <w:topLinePunct/>
      <w:autoSpaceDE w:val="0"/>
      <w:autoSpaceDN w:val="0"/>
      <w:adjustRightInd w:val="0"/>
      <w:spacing w:beforeLines="100" w:afterLines="100" w:line="360" w:lineRule="auto"/>
      <w:ind w:firstLine="723" w:firstLineChars="200"/>
      <w:jc w:val="center"/>
      <w:outlineLvl w:val="0"/>
    </w:pPr>
    <w:rPr>
      <w:rFonts w:ascii="Times New Roman" w:hAnsi="Times New Roman" w:eastAsia="黑体" w:cs="Times New Roman"/>
      <w:b/>
      <w:kern w:val="24"/>
      <w:sz w:val="36"/>
      <w:szCs w:val="36"/>
      <w:lang w:val="en-US" w:eastAsia="zh-CN" w:bidi="ar-SA"/>
    </w:rPr>
  </w:style>
  <w:style w:type="paragraph" w:customStyle="1" w:styleId="29">
    <w:name w:val="二级标题"/>
    <w:qFormat/>
    <w:uiPriority w:val="0"/>
    <w:pPr>
      <w:widowControl w:val="0"/>
      <w:spacing w:beforeLines="300" w:afterLines="150" w:line="360" w:lineRule="auto"/>
      <w:ind w:firstLine="643" w:firstLineChars="200"/>
      <w:jc w:val="both"/>
      <w:outlineLvl w:val="1"/>
    </w:pPr>
    <w:rPr>
      <w:rFonts w:ascii="Times New Roman" w:hAnsi="Times New Roman" w:eastAsia="黑体" w:cs="Times New Roman"/>
      <w:b/>
      <w:bCs/>
      <w:kern w:val="2"/>
      <w:sz w:val="32"/>
      <w:szCs w:val="32"/>
      <w:lang w:val="en-US" w:eastAsia="zh-CN" w:bidi="ar-SA"/>
    </w:rPr>
  </w:style>
  <w:style w:type="paragraph" w:customStyle="1" w:styleId="30">
    <w:name w:val="3 sunshine"/>
    <w:qFormat/>
    <w:uiPriority w:val="0"/>
    <w:pPr>
      <w:widowControl w:val="0"/>
      <w:topLinePunct/>
      <w:spacing w:beforeLines="100" w:afterLines="100" w:line="360" w:lineRule="auto"/>
      <w:ind w:firstLine="562" w:firstLineChars="200"/>
      <w:jc w:val="both"/>
      <w:outlineLvl w:val="2"/>
    </w:pPr>
    <w:rPr>
      <w:rFonts w:ascii="Times New Roman" w:hAnsi="Times New Roman" w:eastAsia="黑体" w:cs="Times New Roman"/>
      <w:b/>
      <w:bCs/>
      <w:kern w:val="24"/>
      <w:sz w:val="28"/>
      <w:szCs w:val="28"/>
      <w:lang w:val="en-US" w:eastAsia="zh-CN" w:bidi="ar-SA"/>
    </w:rPr>
  </w:style>
  <w:style w:type="paragraph" w:customStyle="1" w:styleId="31">
    <w:name w:val="【事项名称】"/>
    <w:qFormat/>
    <w:uiPriority w:val="0"/>
    <w:pPr>
      <w:widowControl w:val="0"/>
      <w:adjustRightInd w:val="0"/>
      <w:snapToGrid w:val="0"/>
      <w:spacing w:line="360" w:lineRule="auto"/>
      <w:ind w:firstLine="480" w:firstLineChars="200"/>
      <w:jc w:val="both"/>
    </w:pPr>
    <w:rPr>
      <w:rFonts w:ascii="黑体" w:hAnsi="黑体" w:eastAsia="黑体" w:cs="Times New Roman"/>
      <w:bCs/>
      <w:kern w:val="2"/>
      <w:sz w:val="24"/>
      <w:szCs w:val="24"/>
      <w:lang w:val="en-US" w:eastAsia="zh-CN" w:bidi="ar-SA"/>
    </w:rPr>
  </w:style>
  <w:style w:type="paragraph" w:customStyle="1" w:styleId="32">
    <w:name w:val="材料 表头"/>
    <w:qFormat/>
    <w:uiPriority w:val="0"/>
    <w:pPr>
      <w:widowControl w:val="0"/>
      <w:adjustRightInd w:val="0"/>
      <w:snapToGrid w:val="0"/>
      <w:spacing w:line="360" w:lineRule="auto"/>
      <w:jc w:val="center"/>
    </w:pPr>
    <w:rPr>
      <w:rFonts w:ascii="黑体" w:hAnsi="黑体" w:eastAsia="黑体" w:cs="Times New Roman"/>
      <w:kern w:val="2"/>
      <w:sz w:val="21"/>
      <w:szCs w:val="21"/>
      <w:lang w:val="zh-CN" w:eastAsia="zh-CN" w:bidi="ar-SA"/>
    </w:rPr>
  </w:style>
  <w:style w:type="paragraph" w:customStyle="1" w:styleId="33">
    <w:name w:val="政策 表头"/>
    <w:qFormat/>
    <w:uiPriority w:val="0"/>
    <w:pPr>
      <w:widowControl w:val="0"/>
      <w:adjustRightInd w:val="0"/>
      <w:snapToGrid w:val="0"/>
      <w:spacing w:line="360" w:lineRule="auto"/>
      <w:jc w:val="center"/>
    </w:pPr>
    <w:rPr>
      <w:rFonts w:ascii="黑体" w:hAnsi="黑体" w:eastAsia="黑体" w:cs="Times New Roman"/>
      <w:kern w:val="2"/>
      <w:sz w:val="21"/>
      <w:szCs w:val="21"/>
      <w:lang w:val="zh-CN" w:eastAsia="zh-CN" w:bidi="ar-SA"/>
    </w:rPr>
  </w:style>
  <w:style w:type="paragraph" w:customStyle="1" w:styleId="34">
    <w:name w:val="材料 文本"/>
    <w:qFormat/>
    <w:uiPriority w:val="0"/>
    <w:pPr>
      <w:widowControl w:val="0"/>
      <w:adjustRightInd w:val="0"/>
      <w:snapToGrid w:val="0"/>
      <w:spacing w:line="360" w:lineRule="auto"/>
      <w:jc w:val="center"/>
    </w:pPr>
    <w:rPr>
      <w:rFonts w:ascii="黑体" w:hAnsi="黑体" w:eastAsia="黑体" w:cs="Times New Roman"/>
      <w:kern w:val="2"/>
      <w:sz w:val="18"/>
      <w:szCs w:val="18"/>
      <w:lang w:val="en-US" w:eastAsia="zh-CN" w:bidi="ar-SA"/>
    </w:rPr>
  </w:style>
  <w:style w:type="paragraph" w:customStyle="1" w:styleId="35">
    <w:name w:val="3.1.1 增值税一般纳税人申报"/>
    <w:qFormat/>
    <w:uiPriority w:val="0"/>
    <w:pPr>
      <w:keepNext/>
      <w:widowControl w:val="0"/>
      <w:topLinePunct/>
      <w:adjustRightInd w:val="0"/>
      <w:snapToGrid w:val="0"/>
      <w:spacing w:beforeLines="150" w:afterLines="150" w:line="360" w:lineRule="auto"/>
      <w:ind w:firstLine="562" w:firstLineChars="200"/>
      <w:jc w:val="both"/>
      <w:outlineLvl w:val="2"/>
    </w:pPr>
    <w:rPr>
      <w:rFonts w:ascii="Times New Roman" w:hAnsi="Times New Roman" w:eastAsia="黑体" w:cs="Times New Roman"/>
      <w:b/>
      <w:bCs/>
      <w:kern w:val="24"/>
      <w:sz w:val="28"/>
      <w:szCs w:val="28"/>
      <w:lang w:val="en-US" w:eastAsia="zh-CN" w:bidi="ar-SA"/>
    </w:rPr>
  </w:style>
  <w:style w:type="paragraph" w:customStyle="1" w:styleId="36">
    <w:name w:val="目录3"/>
    <w:unhideWhenUsed/>
    <w:qFormat/>
    <w:uiPriority w:val="0"/>
    <w:pPr>
      <w:widowControl w:val="0"/>
      <w:tabs>
        <w:tab w:val="right" w:leader="dot" w:pos="8278"/>
      </w:tabs>
      <w:adjustRightInd w:val="0"/>
      <w:snapToGrid w:val="0"/>
      <w:spacing w:line="360" w:lineRule="auto"/>
      <w:ind w:left="964" w:firstLine="200" w:firstLineChars="200"/>
      <w:jc w:val="both"/>
    </w:pPr>
    <w:rPr>
      <w:rFonts w:ascii="宋体" w:hAnsi="宋体" w:eastAsia="黑体" w:cs="Times New Roman"/>
      <w:kern w:val="2"/>
      <w:sz w:val="24"/>
      <w:szCs w:val="24"/>
      <w:lang w:val="en-US" w:eastAsia="zh-CN" w:bidi="ar-SA"/>
    </w:rPr>
  </w:style>
  <w:style w:type="paragraph" w:customStyle="1" w:styleId="37">
    <w:name w:val="中间 式样"/>
    <w:qFormat/>
    <w:uiPriority w:val="0"/>
    <w:pPr>
      <w:widowControl w:val="0"/>
      <w:topLinePunct/>
      <w:spacing w:beforeLines="100" w:afterLines="100" w:line="360" w:lineRule="auto"/>
      <w:ind w:firstLine="562" w:firstLineChars="200"/>
      <w:jc w:val="both"/>
      <w:outlineLvl w:val="2"/>
    </w:pPr>
    <w:rPr>
      <w:rFonts w:ascii="Times New Roman" w:hAnsi="Times New Roman" w:eastAsia="黑体" w:cs="Times New Roman"/>
      <w:b/>
      <w:bCs/>
      <w:kern w:val="24"/>
      <w:sz w:val="28"/>
      <w:szCs w:val="28"/>
      <w:lang w:val="en-US" w:eastAsia="zh-CN" w:bidi="ar-SA"/>
    </w:rPr>
  </w:style>
  <w:style w:type="paragraph" w:customStyle="1" w:styleId="3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9">
    <w:name w:val="正文部分 字符"/>
    <w:link w:val="40"/>
    <w:qFormat/>
    <w:uiPriority w:val="0"/>
    <w:rPr>
      <w:rFonts w:ascii="宋体" w:hAnsi="宋体" w:eastAsia="宋体" w:cs="Times New Roman"/>
      <w:kern w:val="0"/>
      <w:sz w:val="24"/>
      <w:szCs w:val="24"/>
      <w:lang w:val="en-US" w:eastAsia="zh-CN" w:bidi="ar-SA"/>
    </w:rPr>
  </w:style>
  <w:style w:type="paragraph" w:customStyle="1" w:styleId="40">
    <w:name w:val="正文部分"/>
    <w:link w:val="39"/>
    <w:qFormat/>
    <w:uiPriority w:val="0"/>
    <w:pPr>
      <w:widowControl w:val="0"/>
      <w:adjustRightInd w:val="0"/>
      <w:snapToGrid w:val="0"/>
      <w:spacing w:line="360" w:lineRule="auto"/>
      <w:ind w:firstLine="480" w:firstLineChars="200"/>
      <w:jc w:val="both"/>
    </w:pPr>
    <w:rPr>
      <w:rFonts w:ascii="宋体" w:hAnsi="宋体" w:eastAsia="宋体" w:cs="Times New Roman"/>
      <w:sz w:val="24"/>
      <w:szCs w:val="24"/>
      <w:lang w:val="en-US" w:eastAsia="zh-CN" w:bidi="ar-SA"/>
    </w:rPr>
  </w:style>
  <w:style w:type="paragraph" w:customStyle="1" w:styleId="41">
    <w:name w:val="正文正文"/>
    <w:qFormat/>
    <w:uiPriority w:val="0"/>
    <w:pPr>
      <w:widowControl w:val="0"/>
      <w:adjustRightInd w:val="0"/>
      <w:snapToGrid w:val="0"/>
      <w:spacing w:line="360" w:lineRule="auto"/>
      <w:ind w:firstLine="480" w:firstLineChars="200"/>
      <w:jc w:val="both"/>
    </w:pPr>
    <w:rPr>
      <w:rFonts w:ascii="宋体" w:hAnsi="宋体" w:eastAsia="宋体" w:cs="Times New Roman"/>
      <w:kern w:val="2"/>
      <w:sz w:val="24"/>
      <w:szCs w:val="24"/>
      <w:lang w:val="en-US" w:eastAsia="zh-CN" w:bidi="ar-SA"/>
    </w:rPr>
  </w:style>
  <w:style w:type="paragraph" w:customStyle="1" w:styleId="42">
    <w:name w:val="WPSOffice手动目录 1"/>
    <w:qFormat/>
    <w:uiPriority w:val="0"/>
    <w:rPr>
      <w:rFonts w:ascii="Times New Roman" w:hAnsi="Times New Roman" w:eastAsia="宋体" w:cs="Times New Roman"/>
      <w:lang w:val="en-US" w:eastAsia="zh-CN" w:bidi="ar-SA"/>
    </w:rPr>
  </w:style>
  <w:style w:type="paragraph" w:customStyle="1" w:styleId="4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5">
    <w:name w:val="目录2"/>
    <w:qFormat/>
    <w:uiPriority w:val="0"/>
    <w:pPr>
      <w:widowControl w:val="0"/>
      <w:tabs>
        <w:tab w:val="right" w:leader="dot" w:pos="8278"/>
      </w:tabs>
      <w:ind w:firstLine="397"/>
      <w:jc w:val="both"/>
    </w:pPr>
    <w:rPr>
      <w:rFonts w:ascii="Arial" w:hAnsi="Arial" w:eastAsia="黑体" w:cs="Times New Roman"/>
      <w:kern w:val="2"/>
      <w:sz w:val="21"/>
      <w:szCs w:val="22"/>
      <w:lang w:val="en-US" w:eastAsia="zh-CN" w:bidi="ar-SA"/>
    </w:rPr>
  </w:style>
  <w:style w:type="character" w:customStyle="1" w:styleId="46">
    <w:name w:val="文档结构图 字符"/>
    <w:basedOn w:val="20"/>
    <w:link w:val="6"/>
    <w:qFormat/>
    <w:uiPriority w:val="0"/>
    <w:rPr>
      <w:rFonts w:ascii="宋体" w:hAnsi="Times New Roman" w:cstheme="minorBidi"/>
      <w:kern w:val="2"/>
      <w:sz w:val="18"/>
      <w:szCs w:val="18"/>
    </w:rPr>
  </w:style>
  <w:style w:type="character" w:customStyle="1" w:styleId="47">
    <w:name w:val="批注框文本 字符"/>
    <w:basedOn w:val="20"/>
    <w:link w:val="11"/>
    <w:qFormat/>
    <w:uiPriority w:val="0"/>
    <w:rPr>
      <w:rFonts w:ascii="Times New Roman" w:hAnsi="Times New Roman" w:cstheme="minorBidi"/>
      <w:kern w:val="2"/>
      <w:sz w:val="18"/>
      <w:szCs w:val="18"/>
    </w:rPr>
  </w:style>
  <w:style w:type="character" w:customStyle="1" w:styleId="48">
    <w:name w:val="批注文字 字符"/>
    <w:basedOn w:val="20"/>
    <w:link w:val="7"/>
    <w:qFormat/>
    <w:uiPriority w:val="0"/>
    <w:rPr>
      <w:rFonts w:ascii="宋体" w:hAnsi="宋体"/>
      <w:kern w:val="2"/>
      <w:sz w:val="24"/>
      <w:szCs w:val="24"/>
    </w:rPr>
  </w:style>
  <w:style w:type="character" w:customStyle="1" w:styleId="49">
    <w:name w:val="批注主题 字符"/>
    <w:basedOn w:val="48"/>
    <w:link w:val="17"/>
    <w:qFormat/>
    <w:uiPriority w:val="0"/>
    <w:rPr>
      <w:rFonts w:ascii="宋体" w:hAnsi="宋体"/>
      <w:kern w:val="2"/>
      <w:sz w:val="24"/>
      <w:szCs w:val="24"/>
    </w:rPr>
  </w:style>
  <w:style w:type="paragraph" w:customStyle="1" w:styleId="50">
    <w:name w:val="政策 文本"/>
    <w:qFormat/>
    <w:uiPriority w:val="0"/>
    <w:pPr>
      <w:widowControl w:val="0"/>
      <w:adjustRightInd w:val="0"/>
      <w:snapToGrid w:val="0"/>
      <w:spacing w:line="312" w:lineRule="auto"/>
      <w:jc w:val="center"/>
    </w:pPr>
    <w:rPr>
      <w:rFonts w:ascii="宋体" w:hAnsi="宋体" w:eastAsia="宋体" w:cs="Times New Roman"/>
      <w:kern w:val="2"/>
      <w:sz w:val="21"/>
      <w:szCs w:val="21"/>
      <w:lang w:val="en-US" w:eastAsia="zh-CN" w:bidi="ar-SA"/>
    </w:rPr>
  </w:style>
  <w:style w:type="table" w:customStyle="1" w:styleId="51">
    <w:name w:val="网格型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52">
    <w:name w:val="这是正文"/>
    <w:basedOn w:val="1"/>
    <w:qFormat/>
    <w:uiPriority w:val="0"/>
  </w:style>
  <w:style w:type="paragraph" w:customStyle="1" w:styleId="53">
    <w:name w:val="Table Paragraph"/>
    <w:basedOn w:val="1"/>
    <w:qFormat/>
    <w:uiPriority w:val="1"/>
    <w:rPr>
      <w:rFonts w:ascii="宋体" w:hAnsi="宋体" w:cs="宋体"/>
      <w:lang w:val="zh-CN" w:bidi="zh-CN"/>
    </w:rPr>
  </w:style>
  <w:style w:type="paragraph" w:styleId="54">
    <w:name w:val="List Paragraph"/>
    <w:basedOn w:val="1"/>
    <w:qFormat/>
    <w:uiPriority w:val="1"/>
    <w:pPr>
      <w:spacing w:before="22"/>
      <w:ind w:left="952" w:hanging="421"/>
    </w:pPr>
    <w:rPr>
      <w:rFonts w:ascii="宋体" w:hAnsi="宋体" w:cs="宋体"/>
      <w:lang w:val="zh-CN" w:bidi="zh-CN"/>
    </w:rPr>
  </w:style>
  <w:style w:type="paragraph" w:customStyle="1" w:styleId="55">
    <w:name w:val="正文1"/>
    <w:qFormat/>
    <w:uiPriority w:val="0"/>
    <w:pPr>
      <w:widowControl w:val="0"/>
      <w:jc w:val="both"/>
    </w:pPr>
    <w:rPr>
      <w:rFonts w:ascii="Calibri" w:hAnsi="Calibri" w:eastAsia="宋体" w:cs="Times New Roman"/>
      <w:kern w:val="2"/>
      <w:sz w:val="21"/>
      <w:szCs w:val="24"/>
      <w:lang w:val="en-US" w:eastAsia="zh-CN" w:bidi="ar-SA"/>
    </w:rPr>
  </w:style>
  <w:style w:type="paragraph" w:customStyle="1" w:styleId="56">
    <w:name w:val="【事项描】"/>
    <w:basedOn w:val="1"/>
    <w:qFormat/>
    <w:uiPriority w:val="0"/>
    <w:pPr>
      <w:adjustRightInd w:val="0"/>
      <w:snapToGrid w:val="0"/>
      <w:spacing w:line="360" w:lineRule="auto"/>
      <w:ind w:firstLine="482"/>
    </w:pPr>
    <w:rPr>
      <w:rFonts w:hint="default" w:ascii="宋体" w:hAnsi="宋体" w:eastAsiaTheme="minorEastAsia"/>
      <w:b/>
    </w:rPr>
  </w:style>
  <w:style w:type="character" w:customStyle="1" w:styleId="57">
    <w:name w:val="页脚 字符"/>
    <w:basedOn w:val="20"/>
    <w:link w:val="12"/>
    <w:uiPriority w:val="99"/>
    <w:rPr>
      <w:rFonts w:ascii="Calibri" w:hAnsi="Calibri" w:eastAsia="宋体"/>
      <w:kern w:val="2"/>
      <w:sz w:val="18"/>
      <w:szCs w:val="18"/>
    </w:rPr>
  </w:style>
  <w:style w:type="character" w:customStyle="1" w:styleId="58">
    <w:name w:val="hao11"/>
    <w:basedOn w:val="20"/>
    <w:uiPriority w:val="0"/>
    <w:rPr>
      <w:color w:val="DF0000"/>
      <w:sz w:val="21"/>
      <w:szCs w:val="21"/>
    </w:rPr>
  </w:style>
  <w:style w:type="character" w:customStyle="1" w:styleId="59">
    <w:name w:val="dhgao2"/>
    <w:basedOn w:val="20"/>
    <w:uiPriority w:val="0"/>
  </w:style>
  <w:style w:type="paragraph" w:customStyle="1" w:styleId="60">
    <w:name w:val="TOC Heading"/>
    <w:basedOn w:val="2"/>
    <w:next w:val="1"/>
    <w:unhideWhenUsed/>
    <w:qFormat/>
    <w:uiPriority w:val="39"/>
    <w:pPr>
      <w:keepNext/>
      <w:keepLines/>
      <w:widowControl/>
      <w:topLinePunct w:val="0"/>
      <w:autoSpaceDE/>
      <w:autoSpaceDN/>
      <w:adjustRightInd/>
      <w:snapToGrid/>
      <w:spacing w:before="240" w:beforeLines="0" w:afterLines="0" w:line="259" w:lineRule="auto"/>
      <w:jc w:val="left"/>
      <w:outlineLvl w:val="9"/>
    </w:pPr>
    <w:rPr>
      <w:rFonts w:hint="default" w:asciiTheme="majorHAnsi" w:hAnsiTheme="majorHAnsi" w:eastAsiaTheme="majorEastAsia" w:cstheme="majorBidi"/>
      <w:b w:val="0"/>
      <w:color w:val="2E75B5"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35"/>
    <customShpInfo spid="_x0000_s1036"/>
    <customShpInfo spid="_x0000_s1037"/>
    <customShpInfo spid="_x0000_s1038"/>
    <customShpInfo spid="_x0000_s1039"/>
    <customShpInfo spid="_x0000_s1055"/>
    <customShpInfo spid="_x0000_s1054"/>
    <customShpInfo spid="_x0000_s1053"/>
    <customShpInfo spid="_x0000_s1052"/>
    <customShpInfo spid="_x0000_s105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A50038-2426-43A9-8D05-C1781A041E98}">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28555</Words>
  <Characters>162764</Characters>
  <Lines>1356</Lines>
  <Paragraphs>381</Paragraphs>
  <TotalTime>103</TotalTime>
  <ScaleCrop>false</ScaleCrop>
  <LinksUpToDate>false</LinksUpToDate>
  <CharactersWithSpaces>190938</CharactersWithSpaces>
  <Application>WPS Office_11.1.0.9292_F1E327BC-269C-435d-A152-05C5408002CA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2019-08-14T07:46:00Z</dcterms:created>
  <dc:creator>周周</dc:creator>
  <cp:lastModifiedBy>微波凌步(邓小波)</cp:lastModifiedBy>
  <dcterms:modified xsi:type="dcterms:W3CDTF">2020-03-26T14:43:39Z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