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Times New Roman"/>
          <w:b/>
          <w:szCs w:val="24"/>
        </w:rPr>
      </w:pPr>
      <w:bookmarkStart w:id="107" w:name="_GoBack"/>
      <w:bookmarkEnd w:id="107"/>
    </w:p>
    <w:p>
      <w:pPr>
        <w:spacing w:line="360" w:lineRule="auto"/>
        <w:jc w:val="center"/>
        <w:rPr>
          <w:rFonts w:cs="Times New Roman"/>
          <w:b/>
          <w:szCs w:val="24"/>
        </w:rPr>
      </w:pPr>
    </w:p>
    <w:p>
      <w:pPr>
        <w:spacing w:line="360" w:lineRule="auto"/>
        <w:jc w:val="center"/>
        <w:rPr>
          <w:rFonts w:cs="Times New Roman"/>
          <w:b/>
          <w:szCs w:val="24"/>
        </w:rPr>
      </w:pPr>
    </w:p>
    <w:p>
      <w:pPr>
        <w:spacing w:line="360" w:lineRule="auto"/>
        <w:jc w:val="center"/>
        <w:rPr>
          <w:rFonts w:cs="Times New Roman"/>
          <w:b/>
          <w:szCs w:val="24"/>
        </w:rPr>
      </w:pPr>
    </w:p>
    <w:p>
      <w:pPr>
        <w:spacing w:line="360" w:lineRule="auto"/>
        <w:jc w:val="center"/>
        <w:rPr>
          <w:rFonts w:cs="Times New Roman"/>
          <w:b/>
          <w:szCs w:val="24"/>
        </w:rPr>
      </w:pPr>
    </w:p>
    <w:p>
      <w:pPr>
        <w:adjustRightInd w:val="0"/>
        <w:snapToGrid w:val="0"/>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永州市辐射事故应急预案</w:t>
      </w: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spacing w:line="360" w:lineRule="auto"/>
        <w:jc w:val="center"/>
        <w:rPr>
          <w:rFonts w:cs="Times New Roman"/>
          <w:b/>
          <w:sz w:val="48"/>
          <w:szCs w:val="48"/>
        </w:rPr>
      </w:pPr>
    </w:p>
    <w:p>
      <w:pPr>
        <w:adjustRightInd w:val="0"/>
        <w:snapToGrid w:val="0"/>
        <w:spacing w:line="360" w:lineRule="auto"/>
        <w:jc w:val="center"/>
        <w:rPr>
          <w:rFonts w:eastAsia="黑体" w:cs="Times New Roman"/>
          <w:sz w:val="36"/>
          <w:szCs w:val="36"/>
        </w:rPr>
      </w:pPr>
    </w:p>
    <w:p>
      <w:pPr>
        <w:adjustRightInd w:val="0"/>
        <w:snapToGrid w:val="0"/>
        <w:spacing w:line="360" w:lineRule="auto"/>
        <w:jc w:val="center"/>
        <w:rPr>
          <w:rFonts w:eastAsia="黑体" w:cs="Times New Roman"/>
          <w:sz w:val="36"/>
          <w:szCs w:val="36"/>
        </w:rPr>
      </w:pPr>
      <w:bookmarkStart w:id="0" w:name="_Toc90475085"/>
      <w:bookmarkStart w:id="1" w:name="_Toc90642859"/>
      <w:bookmarkStart w:id="2" w:name="_Toc79143515"/>
      <w:r>
        <w:rPr>
          <w:rFonts w:eastAsia="黑体" w:cs="Times New Roman"/>
          <w:sz w:val="36"/>
          <w:szCs w:val="36"/>
        </w:rPr>
        <w:t>202</w:t>
      </w:r>
      <w:r>
        <w:rPr>
          <w:rFonts w:hint="eastAsia" w:eastAsia="黑体" w:cs="Times New Roman"/>
          <w:sz w:val="36"/>
          <w:szCs w:val="36"/>
          <w:lang w:val="en-US" w:eastAsia="zh-CN"/>
        </w:rPr>
        <w:t>3</w:t>
      </w:r>
      <w:r>
        <w:rPr>
          <w:rFonts w:eastAsia="黑体" w:cs="Times New Roman"/>
          <w:sz w:val="36"/>
          <w:szCs w:val="36"/>
        </w:rPr>
        <w:t>年</w:t>
      </w:r>
      <w:r>
        <w:rPr>
          <w:rFonts w:hint="eastAsia" w:eastAsia="黑体" w:cs="Times New Roman"/>
          <w:sz w:val="36"/>
          <w:szCs w:val="36"/>
          <w:lang w:val="en-US" w:eastAsia="zh-CN"/>
        </w:rPr>
        <w:t>1</w:t>
      </w:r>
      <w:r>
        <w:rPr>
          <w:rFonts w:eastAsia="黑体" w:cs="Times New Roman"/>
          <w:sz w:val="36"/>
          <w:szCs w:val="36"/>
        </w:rPr>
        <w:t>月</w:t>
      </w:r>
      <w:bookmarkEnd w:id="0"/>
      <w:bookmarkEnd w:id="1"/>
      <w:bookmarkEnd w:id="2"/>
    </w:p>
    <w:p>
      <w:pPr>
        <w:adjustRightInd w:val="0"/>
        <w:snapToGrid w:val="0"/>
        <w:spacing w:line="360" w:lineRule="auto"/>
        <w:jc w:val="center"/>
        <w:rPr>
          <w:rFonts w:eastAsia="黑体" w:cs="Times New Roman"/>
          <w:sz w:val="36"/>
          <w:szCs w:val="36"/>
        </w:rPr>
      </w:pPr>
    </w:p>
    <w:p>
      <w:pPr>
        <w:adjustRightInd w:val="0"/>
        <w:snapToGrid w:val="0"/>
        <w:spacing w:line="360" w:lineRule="auto"/>
        <w:jc w:val="center"/>
        <w:rPr>
          <w:rFonts w:eastAsia="黑体" w:cs="Times New Roman"/>
          <w:sz w:val="36"/>
          <w:szCs w:val="36"/>
        </w:rPr>
        <w:sectPr>
          <w:footerReference r:id="rId5" w:type="default"/>
          <w:pgSz w:w="11907" w:h="16840"/>
          <w:pgMar w:top="1440" w:right="1758" w:bottom="1440" w:left="1758" w:header="851" w:footer="992" w:gutter="0"/>
          <w:pgNumType w:fmt="upperRoman" w:start="1"/>
          <w:cols w:space="720" w:num="1"/>
          <w:docGrid w:linePitch="312" w:charSpace="0"/>
        </w:sect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目  录</w:t>
      </w:r>
    </w:p>
    <w:p>
      <w:pPr>
        <w:pStyle w:val="13"/>
        <w:spacing w:before="120" w:after="120"/>
        <w:rPr>
          <w:rFonts w:asciiTheme="minorHAnsi" w:hAnsiTheme="minorHAnsi" w:eastAsiaTheme="minorEastAsia"/>
          <w:b w:val="0"/>
          <w:sz w:val="21"/>
        </w:rPr>
      </w:pPr>
      <w:r>
        <w:rPr>
          <w:rFonts w:eastAsia="黑体" w:cs="Times New Roman"/>
          <w:sz w:val="36"/>
          <w:szCs w:val="36"/>
        </w:rPr>
        <w:fldChar w:fldCharType="begin"/>
      </w:r>
      <w:r>
        <w:rPr>
          <w:rFonts w:eastAsia="黑体" w:cs="Times New Roman"/>
          <w:sz w:val="36"/>
          <w:szCs w:val="36"/>
        </w:rPr>
        <w:instrText xml:space="preserve"> TOC \o "1-2" \h \z \u </w:instrText>
      </w:r>
      <w:r>
        <w:rPr>
          <w:rFonts w:eastAsia="黑体" w:cs="Times New Roman"/>
          <w:sz w:val="36"/>
          <w:szCs w:val="36"/>
        </w:rPr>
        <w:fldChar w:fldCharType="separate"/>
      </w:r>
      <w:r>
        <w:rPr>
          <w:rStyle w:val="18"/>
        </w:rPr>
        <w:fldChar w:fldCharType="begin"/>
      </w:r>
      <w:r>
        <w:rPr>
          <w:rStyle w:val="18"/>
        </w:rPr>
        <w:instrText xml:space="preserve"> </w:instrText>
      </w:r>
      <w:r>
        <w:instrText xml:space="preserve">HYPERLINK \l "_Toc108453111"</w:instrText>
      </w:r>
      <w:r>
        <w:rPr>
          <w:rStyle w:val="18"/>
        </w:rPr>
        <w:instrText xml:space="preserve"> </w:instrText>
      </w:r>
      <w:r>
        <w:rPr>
          <w:rStyle w:val="18"/>
        </w:rPr>
        <w:fldChar w:fldCharType="separate"/>
      </w:r>
      <w:r>
        <w:rPr>
          <w:rStyle w:val="18"/>
          <w:rFonts w:cs="Times New Roman"/>
        </w:rPr>
        <w:t>1</w:t>
      </w:r>
      <w:r>
        <w:rPr>
          <w:rStyle w:val="18"/>
          <w:rFonts w:hint="eastAsia" w:cs="Times New Roman"/>
        </w:rPr>
        <w:t>总则</w:t>
      </w:r>
      <w:r>
        <w:tab/>
      </w:r>
      <w:r>
        <w:fldChar w:fldCharType="begin"/>
      </w:r>
      <w:r>
        <w:instrText xml:space="preserve"> PAGEREF _Toc108453111 \h </w:instrText>
      </w:r>
      <w:r>
        <w:fldChar w:fldCharType="separate"/>
      </w:r>
      <w:r>
        <w:t>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"_Toc108453112"</w:instrText>
      </w:r>
      <w:r>
        <w:rPr>
          <w:rStyle w:val="18"/>
        </w:rPr>
        <w:instrText xml:space="preserve"> </w:instrText>
      </w:r>
      <w:r>
        <w:rPr>
          <w:rStyle w:val="18"/>
        </w:rPr>
        <w:fldChar w:fldCharType="separate"/>
      </w:r>
      <w:r>
        <w:rPr>
          <w:rStyle w:val="18"/>
        </w:rPr>
        <w:t>1.1</w:t>
      </w:r>
      <w:r>
        <w:rPr>
          <w:rStyle w:val="18"/>
          <w:rFonts w:hint="eastAsia"/>
        </w:rPr>
        <w:t>编制目的</w:t>
      </w:r>
      <w:r>
        <w:tab/>
      </w:r>
      <w:r>
        <w:fldChar w:fldCharType="begin"/>
      </w:r>
      <w:r>
        <w:instrText xml:space="preserve"> PAGEREF _Toc108453112 \h </w:instrText>
      </w:r>
      <w:r>
        <w:fldChar w:fldCharType="separate"/>
      </w:r>
      <w:r>
        <w:t>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"_Toc108453113"</w:instrText>
      </w:r>
      <w:r>
        <w:rPr>
          <w:rStyle w:val="18"/>
        </w:rPr>
        <w:instrText xml:space="preserve"> </w:instrText>
      </w:r>
      <w:r>
        <w:rPr>
          <w:rStyle w:val="18"/>
        </w:rPr>
        <w:fldChar w:fldCharType="separate"/>
      </w:r>
      <w:r>
        <w:rPr>
          <w:rStyle w:val="18"/>
        </w:rPr>
        <w:t>1.2</w:t>
      </w:r>
      <w:r>
        <w:rPr>
          <w:rStyle w:val="18"/>
          <w:rFonts w:hint="eastAsia"/>
        </w:rPr>
        <w:t>编制依据</w:t>
      </w:r>
      <w:r>
        <w:tab/>
      </w:r>
      <w:r>
        <w:fldChar w:fldCharType="begin"/>
      </w:r>
      <w:r>
        <w:instrText xml:space="preserve"> PAGEREF _Toc108453113 \h </w:instrText>
      </w:r>
      <w:r>
        <w:fldChar w:fldCharType="separate"/>
      </w:r>
      <w:r>
        <w:t>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"_Toc108453114"</w:instrText>
      </w:r>
      <w:r>
        <w:rPr>
          <w:rStyle w:val="18"/>
        </w:rPr>
        <w:instrText xml:space="preserve"> </w:instrText>
      </w:r>
      <w:r>
        <w:rPr>
          <w:rStyle w:val="18"/>
        </w:rPr>
        <w:fldChar w:fldCharType="separate"/>
      </w:r>
      <w:r>
        <w:rPr>
          <w:rStyle w:val="18"/>
        </w:rPr>
        <w:t>1.3</w:t>
      </w:r>
      <w:r>
        <w:rPr>
          <w:rStyle w:val="18"/>
          <w:rFonts w:hint="eastAsia"/>
        </w:rPr>
        <w:t>适用范围</w:t>
      </w:r>
      <w:r>
        <w:tab/>
      </w:r>
      <w:r>
        <w:fldChar w:fldCharType="begin"/>
      </w:r>
      <w:r>
        <w:instrText xml:space="preserve"> PAGEREF _Toc108453114 \h </w:instrText>
      </w:r>
      <w:r>
        <w:fldChar w:fldCharType="separate"/>
      </w:r>
      <w:r>
        <w:t>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"_Toc108453115"</w:instrText>
      </w:r>
      <w:r>
        <w:rPr>
          <w:rStyle w:val="18"/>
        </w:rPr>
        <w:instrText xml:space="preserve"> </w:instrText>
      </w:r>
      <w:r>
        <w:rPr>
          <w:rStyle w:val="18"/>
        </w:rPr>
        <w:fldChar w:fldCharType="separate"/>
      </w:r>
      <w:r>
        <w:rPr>
          <w:rStyle w:val="18"/>
        </w:rPr>
        <w:t>1.4</w:t>
      </w:r>
      <w:r>
        <w:rPr>
          <w:rStyle w:val="18"/>
          <w:rFonts w:hint="eastAsia"/>
        </w:rPr>
        <w:t>工作原则</w:t>
      </w:r>
      <w:r>
        <w:tab/>
      </w:r>
      <w:r>
        <w:fldChar w:fldCharType="begin"/>
      </w:r>
      <w:r>
        <w:instrText xml:space="preserve"> PAGEREF _Toc108453115 \h </w:instrText>
      </w:r>
      <w:r>
        <w:fldChar w:fldCharType="separate"/>
      </w:r>
      <w:r>
        <w:t>2</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"_Toc108453116"</w:instrText>
      </w:r>
      <w:r>
        <w:rPr>
          <w:rStyle w:val="18"/>
        </w:rPr>
        <w:instrText xml:space="preserve"> </w:instrText>
      </w:r>
      <w:r>
        <w:rPr>
          <w:rStyle w:val="18"/>
        </w:rPr>
        <w:fldChar w:fldCharType="separate"/>
      </w:r>
      <w:r>
        <w:rPr>
          <w:rStyle w:val="18"/>
          <w:rFonts w:cs="Times New Roman"/>
        </w:rPr>
        <w:t>2</w:t>
      </w:r>
      <w:r>
        <w:rPr>
          <w:rStyle w:val="18"/>
          <w:rFonts w:hint="eastAsia" w:cs="Times New Roman"/>
        </w:rPr>
        <w:t>辐射事故定义与分级</w:t>
      </w:r>
      <w:r>
        <w:tab/>
      </w:r>
      <w:r>
        <w:fldChar w:fldCharType="begin"/>
      </w:r>
      <w:r>
        <w:instrText xml:space="preserve"> PAGEREF _Toc108453116 \h </w:instrText>
      </w:r>
      <w:r>
        <w:fldChar w:fldCharType="separate"/>
      </w:r>
      <w:r>
        <w:t>2</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"_Toc108453117"</w:instrText>
      </w:r>
      <w:r>
        <w:rPr>
          <w:rStyle w:val="18"/>
        </w:rPr>
        <w:instrText xml:space="preserve"> </w:instrText>
      </w:r>
      <w:r>
        <w:rPr>
          <w:rStyle w:val="18"/>
        </w:rPr>
        <w:fldChar w:fldCharType="separate"/>
      </w:r>
      <w:r>
        <w:rPr>
          <w:rStyle w:val="18"/>
        </w:rPr>
        <w:t>2.1</w:t>
      </w:r>
      <w:r>
        <w:rPr>
          <w:rStyle w:val="18"/>
          <w:rFonts w:hint="eastAsia"/>
        </w:rPr>
        <w:t>辐射事故定义</w:t>
      </w:r>
      <w:r>
        <w:tab/>
      </w:r>
      <w:r>
        <w:fldChar w:fldCharType="begin"/>
      </w:r>
      <w:r>
        <w:instrText xml:space="preserve"> PAGEREF _Toc108453117 \h </w:instrText>
      </w:r>
      <w:r>
        <w:fldChar w:fldCharType="separate"/>
      </w:r>
      <w:r>
        <w:t>2</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"_Toc108453118"</w:instrText>
      </w:r>
      <w:r>
        <w:rPr>
          <w:rStyle w:val="18"/>
        </w:rPr>
        <w:instrText xml:space="preserve"> </w:instrText>
      </w:r>
      <w:r>
        <w:rPr>
          <w:rStyle w:val="18"/>
        </w:rPr>
        <w:fldChar w:fldCharType="separate"/>
      </w:r>
      <w:r>
        <w:rPr>
          <w:rStyle w:val="18"/>
        </w:rPr>
        <w:t>2.2</w:t>
      </w:r>
      <w:r>
        <w:rPr>
          <w:rStyle w:val="18"/>
          <w:rFonts w:hint="eastAsia"/>
        </w:rPr>
        <w:t>辐射事故分级</w:t>
      </w:r>
      <w:r>
        <w:tab/>
      </w:r>
      <w:r>
        <w:fldChar w:fldCharType="begin"/>
      </w:r>
      <w:r>
        <w:instrText xml:space="preserve"> PAGEREF _Toc108453118 \h </w:instrText>
      </w:r>
      <w:r>
        <w:fldChar w:fldCharType="separate"/>
      </w:r>
      <w:r>
        <w:t>2</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"_Toc108453119"</w:instrText>
      </w:r>
      <w:r>
        <w:rPr>
          <w:rStyle w:val="18"/>
        </w:rPr>
        <w:instrText xml:space="preserve"> </w:instrText>
      </w:r>
      <w:r>
        <w:rPr>
          <w:rStyle w:val="18"/>
        </w:rPr>
        <w:fldChar w:fldCharType="separate"/>
      </w:r>
      <w:r>
        <w:rPr>
          <w:rStyle w:val="18"/>
          <w:rFonts w:cs="Times New Roman"/>
        </w:rPr>
        <w:t>3</w:t>
      </w:r>
      <w:r>
        <w:rPr>
          <w:rStyle w:val="18"/>
          <w:rFonts w:hint="eastAsia" w:cs="Times New Roman"/>
        </w:rPr>
        <w:t>组织体系及职责</w:t>
      </w:r>
      <w:r>
        <w:tab/>
      </w:r>
      <w:r>
        <w:fldChar w:fldCharType="begin"/>
      </w:r>
      <w:r>
        <w:instrText xml:space="preserve"> PAGEREF _Toc108453119 \h </w:instrText>
      </w:r>
      <w:r>
        <w:fldChar w:fldCharType="separate"/>
      </w:r>
      <w:r>
        <w:t>3</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"_Toc108453120"</w:instrText>
      </w:r>
      <w:r>
        <w:rPr>
          <w:rStyle w:val="18"/>
        </w:rPr>
        <w:instrText xml:space="preserve"> </w:instrText>
      </w:r>
      <w:r>
        <w:rPr>
          <w:rStyle w:val="18"/>
        </w:rPr>
        <w:fldChar w:fldCharType="separate"/>
      </w:r>
      <w:r>
        <w:rPr>
          <w:rStyle w:val="18"/>
        </w:rPr>
        <w:t>3.1</w:t>
      </w:r>
      <w:r>
        <w:rPr>
          <w:rStyle w:val="18"/>
          <w:rFonts w:hint="eastAsia"/>
        </w:rPr>
        <w:t>市生态环境应急指挥部</w:t>
      </w:r>
      <w:r>
        <w:tab/>
      </w:r>
      <w:r>
        <w:fldChar w:fldCharType="begin"/>
      </w:r>
      <w:r>
        <w:instrText xml:space="preserve"> PAGEREF _Toc108453120 \h </w:instrText>
      </w:r>
      <w:r>
        <w:fldChar w:fldCharType="separate"/>
      </w:r>
      <w:r>
        <w:t>4</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"_Toc108453121"</w:instrText>
      </w:r>
      <w:r>
        <w:rPr>
          <w:rStyle w:val="18"/>
        </w:rPr>
        <w:instrText xml:space="preserve"> </w:instrText>
      </w:r>
      <w:r>
        <w:rPr>
          <w:rStyle w:val="18"/>
        </w:rPr>
        <w:fldChar w:fldCharType="separate"/>
      </w:r>
      <w:r>
        <w:rPr>
          <w:rStyle w:val="18"/>
        </w:rPr>
        <w:t>3.2</w:t>
      </w:r>
      <w:r>
        <w:rPr>
          <w:rStyle w:val="18"/>
          <w:rFonts w:hint="eastAsia"/>
        </w:rPr>
        <w:t>永州市生态环境应急指挥部办公室</w:t>
      </w:r>
      <w:r>
        <w:tab/>
      </w:r>
      <w:r>
        <w:fldChar w:fldCharType="begin"/>
      </w:r>
      <w:r>
        <w:instrText xml:space="preserve"> PAGEREF _Toc108453121 \h </w:instrText>
      </w:r>
      <w:r>
        <w:fldChar w:fldCharType="separate"/>
      </w:r>
      <w:r>
        <w:t>5</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"_Toc108453122"</w:instrText>
      </w:r>
      <w:r>
        <w:rPr>
          <w:rStyle w:val="18"/>
        </w:rPr>
        <w:instrText xml:space="preserve"> </w:instrText>
      </w:r>
      <w:r>
        <w:rPr>
          <w:rStyle w:val="18"/>
        </w:rPr>
        <w:fldChar w:fldCharType="separate"/>
      </w:r>
      <w:r>
        <w:rPr>
          <w:rStyle w:val="18"/>
        </w:rPr>
        <w:t>3.3</w:t>
      </w:r>
      <w:r>
        <w:rPr>
          <w:rStyle w:val="18"/>
          <w:rFonts w:hint="eastAsia"/>
        </w:rPr>
        <w:t>成员单位及职责</w:t>
      </w:r>
      <w:r>
        <w:tab/>
      </w:r>
      <w:r>
        <w:fldChar w:fldCharType="begin"/>
      </w:r>
      <w:r>
        <w:instrText xml:space="preserve"> PAGEREF _Toc108453122 \h </w:instrText>
      </w:r>
      <w:r>
        <w:fldChar w:fldCharType="separate"/>
      </w:r>
      <w:r>
        <w:t>7</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"_Toc108453123"</w:instrText>
      </w:r>
      <w:r>
        <w:rPr>
          <w:rStyle w:val="18"/>
        </w:rPr>
        <w:instrText xml:space="preserve"> </w:instrText>
      </w:r>
      <w:r>
        <w:rPr>
          <w:rStyle w:val="18"/>
        </w:rPr>
        <w:fldChar w:fldCharType="separate"/>
      </w:r>
      <w:r>
        <w:rPr>
          <w:rStyle w:val="18"/>
          <w:rFonts w:cs="Times New Roman"/>
        </w:rPr>
        <w:t>4</w:t>
      </w:r>
      <w:r>
        <w:rPr>
          <w:rStyle w:val="18"/>
          <w:rFonts w:hint="eastAsia" w:cs="Times New Roman"/>
        </w:rPr>
        <w:t>预防监测</w:t>
      </w:r>
      <w:r>
        <w:tab/>
      </w:r>
      <w:r>
        <w:fldChar w:fldCharType="begin"/>
      </w:r>
      <w:r>
        <w:instrText xml:space="preserve"> PAGEREF _Toc108453123 \h </w:instrText>
      </w:r>
      <w:r>
        <w:fldChar w:fldCharType="separate"/>
      </w:r>
      <w:r>
        <w:t>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"_Toc108453124"</w:instrText>
      </w:r>
      <w:r>
        <w:rPr>
          <w:rStyle w:val="18"/>
        </w:rPr>
        <w:instrText xml:space="preserve"> </w:instrText>
      </w:r>
      <w:r>
        <w:rPr>
          <w:rStyle w:val="18"/>
        </w:rPr>
        <w:fldChar w:fldCharType="separate"/>
      </w:r>
      <w:r>
        <w:rPr>
          <w:rStyle w:val="18"/>
        </w:rPr>
        <w:t>4.1</w:t>
      </w:r>
      <w:r>
        <w:rPr>
          <w:rStyle w:val="18"/>
          <w:rFonts w:hint="eastAsia"/>
        </w:rPr>
        <w:t>预防</w:t>
      </w:r>
      <w:r>
        <w:tab/>
      </w:r>
      <w:r>
        <w:fldChar w:fldCharType="begin"/>
      </w:r>
      <w:r>
        <w:instrText xml:space="preserve"> PAGEREF _Toc108453124 \h </w:instrText>
      </w:r>
      <w:r>
        <w:fldChar w:fldCharType="separate"/>
      </w:r>
      <w:r>
        <w:t>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"_Toc108453125"</w:instrText>
      </w:r>
      <w:r>
        <w:rPr>
          <w:rStyle w:val="18"/>
        </w:rPr>
        <w:instrText xml:space="preserve"> </w:instrText>
      </w:r>
      <w:r>
        <w:rPr>
          <w:rStyle w:val="18"/>
        </w:rPr>
        <w:fldChar w:fldCharType="separate"/>
      </w:r>
      <w:r>
        <w:rPr>
          <w:rStyle w:val="18"/>
        </w:rPr>
        <w:t>4.2</w:t>
      </w:r>
      <w:r>
        <w:rPr>
          <w:rStyle w:val="18"/>
          <w:rFonts w:hint="eastAsia"/>
        </w:rPr>
        <w:t>监测</w:t>
      </w:r>
      <w:r>
        <w:tab/>
      </w:r>
      <w:r>
        <w:fldChar w:fldCharType="begin"/>
      </w:r>
      <w:r>
        <w:instrText xml:space="preserve"> PAGEREF _Toc108453125 \h </w:instrText>
      </w:r>
      <w:r>
        <w:fldChar w:fldCharType="separate"/>
      </w:r>
      <w:r>
        <w:t>9</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"_Toc108453126"</w:instrText>
      </w:r>
      <w:r>
        <w:rPr>
          <w:rStyle w:val="18"/>
        </w:rPr>
        <w:instrText xml:space="preserve"> </w:instrText>
      </w:r>
      <w:r>
        <w:rPr>
          <w:rStyle w:val="18"/>
        </w:rPr>
        <w:fldChar w:fldCharType="separate"/>
      </w:r>
      <w:r>
        <w:rPr>
          <w:rStyle w:val="18"/>
          <w:rFonts w:cs="Times New Roman"/>
        </w:rPr>
        <w:t>5</w:t>
      </w:r>
      <w:r>
        <w:rPr>
          <w:rStyle w:val="18"/>
          <w:rFonts w:hint="eastAsia" w:cs="Times New Roman"/>
        </w:rPr>
        <w:t>应急行动</w:t>
      </w:r>
      <w:r>
        <w:tab/>
      </w:r>
      <w:r>
        <w:fldChar w:fldCharType="begin"/>
      </w:r>
      <w:r>
        <w:instrText xml:space="preserve"> PAGEREF _Toc108453126 \h </w:instrText>
      </w:r>
      <w:r>
        <w:fldChar w:fldCharType="separate"/>
      </w:r>
      <w:r>
        <w:t>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"_Toc108453127"</w:instrText>
      </w:r>
      <w:r>
        <w:rPr>
          <w:rStyle w:val="18"/>
        </w:rPr>
        <w:instrText xml:space="preserve"> </w:instrText>
      </w:r>
      <w:r>
        <w:rPr>
          <w:rStyle w:val="18"/>
        </w:rPr>
        <w:fldChar w:fldCharType="separate"/>
      </w:r>
      <w:r>
        <w:rPr>
          <w:rStyle w:val="18"/>
        </w:rPr>
        <w:t>5.1</w:t>
      </w:r>
      <w:r>
        <w:rPr>
          <w:rStyle w:val="18"/>
          <w:rFonts w:hint="eastAsia"/>
        </w:rPr>
        <w:t>通知与启动</w:t>
      </w:r>
      <w:r>
        <w:tab/>
      </w:r>
      <w:r>
        <w:fldChar w:fldCharType="begin"/>
      </w:r>
      <w:r>
        <w:instrText xml:space="preserve"> PAGEREF _Toc108453127 \h </w:instrText>
      </w:r>
      <w:r>
        <w:fldChar w:fldCharType="separate"/>
      </w:r>
      <w:r>
        <w:t>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"_Toc108453128"</w:instrText>
      </w:r>
      <w:r>
        <w:rPr>
          <w:rStyle w:val="18"/>
        </w:rPr>
        <w:instrText xml:space="preserve"> </w:instrText>
      </w:r>
      <w:r>
        <w:rPr>
          <w:rStyle w:val="18"/>
        </w:rPr>
        <w:fldChar w:fldCharType="separate"/>
      </w:r>
      <w:r>
        <w:rPr>
          <w:rStyle w:val="18"/>
        </w:rPr>
        <w:t>5.2</w:t>
      </w:r>
      <w:r>
        <w:rPr>
          <w:rStyle w:val="18"/>
          <w:rFonts w:hint="eastAsia"/>
        </w:rPr>
        <w:t>事故报告</w:t>
      </w:r>
      <w:r>
        <w:tab/>
      </w:r>
      <w:r>
        <w:fldChar w:fldCharType="begin"/>
      </w:r>
      <w:r>
        <w:instrText xml:space="preserve"> PAGEREF _Toc108453128 \h </w:instrText>
      </w:r>
      <w:r>
        <w:fldChar w:fldCharType="separate"/>
      </w:r>
      <w:r>
        <w:t>10</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"_Toc108453129"</w:instrText>
      </w:r>
      <w:r>
        <w:rPr>
          <w:rStyle w:val="18"/>
        </w:rPr>
        <w:instrText xml:space="preserve"> </w:instrText>
      </w:r>
      <w:r>
        <w:rPr>
          <w:rStyle w:val="18"/>
        </w:rPr>
        <w:fldChar w:fldCharType="separate"/>
      </w:r>
      <w:r>
        <w:rPr>
          <w:rStyle w:val="18"/>
        </w:rPr>
        <w:t>5.3</w:t>
      </w:r>
      <w:r>
        <w:rPr>
          <w:rStyle w:val="18"/>
          <w:rFonts w:hint="eastAsia"/>
        </w:rPr>
        <w:t>联络与信息交换</w:t>
      </w:r>
      <w:r>
        <w:tab/>
      </w:r>
      <w:r>
        <w:fldChar w:fldCharType="begin"/>
      </w:r>
      <w:r>
        <w:instrText xml:space="preserve"> PAGEREF _Toc108453129 \h </w:instrText>
      </w:r>
      <w:r>
        <w:fldChar w:fldCharType="separate"/>
      </w:r>
      <w:r>
        <w:t>10</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"_Toc108453130"</w:instrText>
      </w:r>
      <w:r>
        <w:rPr>
          <w:rStyle w:val="18"/>
        </w:rPr>
        <w:instrText xml:space="preserve"> </w:instrText>
      </w:r>
      <w:r>
        <w:rPr>
          <w:rStyle w:val="18"/>
        </w:rPr>
        <w:fldChar w:fldCharType="separate"/>
      </w:r>
      <w:r>
        <w:rPr>
          <w:rStyle w:val="18"/>
        </w:rPr>
        <w:t>5.4</w:t>
      </w:r>
      <w:r>
        <w:rPr>
          <w:rStyle w:val="18"/>
          <w:rFonts w:hint="eastAsia"/>
        </w:rPr>
        <w:t>指挥</w:t>
      </w:r>
      <w:r>
        <w:tab/>
      </w:r>
      <w:r>
        <w:fldChar w:fldCharType="begin"/>
      </w:r>
      <w:r>
        <w:instrText xml:space="preserve"> PAGEREF _Toc108453130 \h </w:instrText>
      </w:r>
      <w:r>
        <w:fldChar w:fldCharType="separate"/>
      </w:r>
      <w:r>
        <w:t>11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"_Toc108453131"</w:instrText>
      </w:r>
      <w:r>
        <w:rPr>
          <w:rStyle w:val="18"/>
        </w:rPr>
        <w:instrText xml:space="preserve"> </w:instrText>
      </w:r>
      <w:r>
        <w:rPr>
          <w:rStyle w:val="18"/>
        </w:rPr>
        <w:fldChar w:fldCharType="separate"/>
      </w:r>
      <w:r>
        <w:rPr>
          <w:rStyle w:val="18"/>
        </w:rPr>
        <w:t>5.5</w:t>
      </w:r>
      <w:r>
        <w:rPr>
          <w:rStyle w:val="18"/>
          <w:rFonts w:hint="eastAsia"/>
        </w:rPr>
        <w:t>对外协调</w:t>
      </w:r>
      <w:r>
        <w:tab/>
      </w:r>
      <w:r>
        <w:fldChar w:fldCharType="begin"/>
      </w:r>
      <w:r>
        <w:instrText xml:space="preserve"> PAGEREF _Toc108453131 \h </w:instrText>
      </w:r>
      <w:r>
        <w:fldChar w:fldCharType="separate"/>
      </w:r>
      <w:r>
        <w:t>11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"_Toc108453132"</w:instrText>
      </w:r>
      <w:r>
        <w:rPr>
          <w:rStyle w:val="18"/>
        </w:rPr>
        <w:instrText xml:space="preserve"> </w:instrText>
      </w:r>
      <w:r>
        <w:rPr>
          <w:rStyle w:val="18"/>
        </w:rPr>
        <w:fldChar w:fldCharType="separate"/>
      </w:r>
      <w:r>
        <w:rPr>
          <w:rStyle w:val="18"/>
        </w:rPr>
        <w:t>5.6</w:t>
      </w:r>
      <w:r>
        <w:rPr>
          <w:rStyle w:val="18"/>
          <w:rFonts w:hint="eastAsia"/>
        </w:rPr>
        <w:t>应急监测</w:t>
      </w:r>
      <w:r>
        <w:tab/>
      </w:r>
      <w:r>
        <w:fldChar w:fldCharType="begin"/>
      </w:r>
      <w:r>
        <w:instrText xml:space="preserve"> PAGEREF _Toc108453132 \h </w:instrText>
      </w:r>
      <w:r>
        <w:fldChar w:fldCharType="separate"/>
      </w:r>
      <w:r>
        <w:t>11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"_Toc108453133"</w:instrText>
      </w:r>
      <w:r>
        <w:rPr>
          <w:rStyle w:val="18"/>
        </w:rPr>
        <w:instrText xml:space="preserve"> </w:instrText>
      </w:r>
      <w:r>
        <w:rPr>
          <w:rStyle w:val="18"/>
        </w:rPr>
        <w:fldChar w:fldCharType="separate"/>
      </w:r>
      <w:r>
        <w:rPr>
          <w:rStyle w:val="18"/>
        </w:rPr>
        <w:t>5.7</w:t>
      </w:r>
      <w:r>
        <w:rPr>
          <w:rStyle w:val="18"/>
          <w:rFonts w:hint="eastAsia"/>
        </w:rPr>
        <w:t>安全防护</w:t>
      </w:r>
      <w:r>
        <w:tab/>
      </w:r>
      <w:r>
        <w:fldChar w:fldCharType="begin"/>
      </w:r>
      <w:r>
        <w:instrText xml:space="preserve"> PAGEREF _Toc108453133 \h </w:instrText>
      </w:r>
      <w:r>
        <w:fldChar w:fldCharType="separate"/>
      </w:r>
      <w:r>
        <w:t>11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"_Toc108453134"</w:instrText>
      </w:r>
      <w:r>
        <w:rPr>
          <w:rStyle w:val="18"/>
        </w:rPr>
        <w:instrText xml:space="preserve"> </w:instrText>
      </w:r>
      <w:r>
        <w:rPr>
          <w:rStyle w:val="18"/>
        </w:rPr>
        <w:fldChar w:fldCharType="separate"/>
      </w:r>
      <w:r>
        <w:rPr>
          <w:rStyle w:val="18"/>
        </w:rPr>
        <w:t>5.8</w:t>
      </w:r>
      <w:r>
        <w:rPr>
          <w:rStyle w:val="18"/>
          <w:rFonts w:hint="eastAsia"/>
        </w:rPr>
        <w:t>信息公开</w:t>
      </w:r>
      <w:r>
        <w:tab/>
      </w:r>
      <w:r>
        <w:fldChar w:fldCharType="begin"/>
      </w:r>
      <w:r>
        <w:instrText xml:space="preserve"> PAGEREF _Toc108453134 \h </w:instrText>
      </w:r>
      <w:r>
        <w:fldChar w:fldCharType="separate"/>
      </w:r>
      <w:r>
        <w:t>12</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"_Toc108453135"</w:instrText>
      </w:r>
      <w:r>
        <w:rPr>
          <w:rStyle w:val="18"/>
        </w:rPr>
        <w:instrText xml:space="preserve"> </w:instrText>
      </w:r>
      <w:r>
        <w:rPr>
          <w:rStyle w:val="18"/>
        </w:rPr>
        <w:fldChar w:fldCharType="separate"/>
      </w:r>
      <w:r>
        <w:rPr>
          <w:rStyle w:val="18"/>
          <w:rFonts w:cs="Times New Roman"/>
        </w:rPr>
        <w:t>6</w:t>
      </w:r>
      <w:r>
        <w:rPr>
          <w:rStyle w:val="18"/>
          <w:rFonts w:hint="eastAsia" w:cs="Times New Roman"/>
        </w:rPr>
        <w:t>应急处置</w:t>
      </w:r>
      <w:r>
        <w:tab/>
      </w:r>
      <w:r>
        <w:fldChar w:fldCharType="begin"/>
      </w:r>
      <w:r>
        <w:instrText xml:space="preserve"> PAGEREF _Toc108453135 \h </w:instrText>
      </w:r>
      <w:r>
        <w:fldChar w:fldCharType="separate"/>
      </w:r>
      <w:r>
        <w:t>12</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"_Toc108453136"</w:instrText>
      </w:r>
      <w:r>
        <w:rPr>
          <w:rStyle w:val="18"/>
        </w:rPr>
        <w:instrText xml:space="preserve"> </w:instrText>
      </w:r>
      <w:r>
        <w:rPr>
          <w:rStyle w:val="18"/>
        </w:rPr>
        <w:fldChar w:fldCharType="separate"/>
      </w:r>
      <w:r>
        <w:rPr>
          <w:rStyle w:val="18"/>
        </w:rPr>
        <w:t>6.1</w:t>
      </w:r>
      <w:r>
        <w:rPr>
          <w:rStyle w:val="18"/>
          <w:rFonts w:hint="eastAsia"/>
        </w:rPr>
        <w:t>先期处置</w:t>
      </w:r>
      <w:r>
        <w:tab/>
      </w:r>
      <w:r>
        <w:fldChar w:fldCharType="begin"/>
      </w:r>
      <w:r>
        <w:instrText xml:space="preserve"> PAGEREF _Toc108453136 \h </w:instrText>
      </w:r>
      <w:r>
        <w:fldChar w:fldCharType="separate"/>
      </w:r>
      <w:r>
        <w:t>12</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"_Toc108453137"</w:instrText>
      </w:r>
      <w:r>
        <w:rPr>
          <w:rStyle w:val="18"/>
        </w:rPr>
        <w:instrText xml:space="preserve"> </w:instrText>
      </w:r>
      <w:r>
        <w:rPr>
          <w:rStyle w:val="18"/>
        </w:rPr>
        <w:fldChar w:fldCharType="separate"/>
      </w:r>
      <w:r>
        <w:rPr>
          <w:rStyle w:val="18"/>
        </w:rPr>
        <w:t>6.2</w:t>
      </w:r>
      <w:r>
        <w:rPr>
          <w:rStyle w:val="18"/>
          <w:rFonts w:hint="eastAsia"/>
        </w:rPr>
        <w:t>应急响应</w:t>
      </w:r>
      <w:r>
        <w:tab/>
      </w:r>
      <w:r>
        <w:fldChar w:fldCharType="begin"/>
      </w:r>
      <w:r>
        <w:instrText xml:space="preserve"> PAGEREF _Toc108453137 \h </w:instrText>
      </w:r>
      <w:r>
        <w:fldChar w:fldCharType="separate"/>
      </w:r>
      <w:r>
        <w:t>12</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"_Toc108453138"</w:instrText>
      </w:r>
      <w:r>
        <w:rPr>
          <w:rStyle w:val="18"/>
        </w:rPr>
        <w:instrText xml:space="preserve"> </w:instrText>
      </w:r>
      <w:r>
        <w:rPr>
          <w:rStyle w:val="18"/>
        </w:rPr>
        <w:fldChar w:fldCharType="separate"/>
      </w:r>
      <w:r>
        <w:rPr>
          <w:rStyle w:val="18"/>
        </w:rPr>
        <w:t>6.3</w:t>
      </w:r>
      <w:r>
        <w:rPr>
          <w:rStyle w:val="18"/>
          <w:rFonts w:hint="eastAsia"/>
        </w:rPr>
        <w:t>现场指挥部</w:t>
      </w:r>
      <w:r>
        <w:tab/>
      </w:r>
      <w:r>
        <w:fldChar w:fldCharType="begin"/>
      </w:r>
      <w:r>
        <w:instrText xml:space="preserve"> PAGEREF _Toc108453138 \h </w:instrText>
      </w:r>
      <w:r>
        <w:fldChar w:fldCharType="separate"/>
      </w:r>
      <w:r>
        <w:t>14</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"_Toc108453139"</w:instrText>
      </w:r>
      <w:r>
        <w:rPr>
          <w:rStyle w:val="18"/>
        </w:rPr>
        <w:instrText xml:space="preserve"> </w:instrText>
      </w:r>
      <w:r>
        <w:rPr>
          <w:rStyle w:val="18"/>
        </w:rPr>
        <w:fldChar w:fldCharType="separate"/>
      </w:r>
      <w:r>
        <w:rPr>
          <w:rStyle w:val="18"/>
        </w:rPr>
        <w:t>6.4</w:t>
      </w:r>
      <w:r>
        <w:rPr>
          <w:rStyle w:val="18"/>
          <w:rFonts w:hint="eastAsia"/>
        </w:rPr>
        <w:t>现场处置措施</w:t>
      </w:r>
      <w:r>
        <w:tab/>
      </w:r>
      <w:r>
        <w:fldChar w:fldCharType="begin"/>
      </w:r>
      <w:r>
        <w:instrText xml:space="preserve"> PAGEREF _Toc108453139 \h </w:instrText>
      </w:r>
      <w:r>
        <w:fldChar w:fldCharType="separate"/>
      </w:r>
      <w:r>
        <w:t>14</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"_Toc108453140"</w:instrText>
      </w:r>
      <w:r>
        <w:rPr>
          <w:rStyle w:val="18"/>
        </w:rPr>
        <w:instrText xml:space="preserve"> </w:instrText>
      </w:r>
      <w:r>
        <w:rPr>
          <w:rStyle w:val="18"/>
        </w:rPr>
        <w:fldChar w:fldCharType="separate"/>
      </w:r>
      <w:r>
        <w:rPr>
          <w:rStyle w:val="18"/>
        </w:rPr>
        <w:t>6.5</w:t>
      </w:r>
      <w:r>
        <w:rPr>
          <w:rStyle w:val="18"/>
          <w:rFonts w:hint="eastAsia"/>
        </w:rPr>
        <w:t>扩大响应</w:t>
      </w:r>
      <w:r>
        <w:tab/>
      </w:r>
      <w:r>
        <w:fldChar w:fldCharType="begin"/>
      </w:r>
      <w:r>
        <w:instrText xml:space="preserve"> PAGEREF _Toc108453140 \h </w:instrText>
      </w:r>
      <w:r>
        <w:fldChar w:fldCharType="separate"/>
      </w:r>
      <w:r>
        <w:t>15</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"_Toc108453141"</w:instrText>
      </w:r>
      <w:r>
        <w:rPr>
          <w:rStyle w:val="18"/>
        </w:rPr>
        <w:instrText xml:space="preserve"> </w:instrText>
      </w:r>
      <w:r>
        <w:rPr>
          <w:rStyle w:val="18"/>
        </w:rPr>
        <w:fldChar w:fldCharType="separate"/>
      </w:r>
      <w:r>
        <w:rPr>
          <w:rStyle w:val="18"/>
        </w:rPr>
        <w:t>6.6</w:t>
      </w:r>
      <w:r>
        <w:rPr>
          <w:rStyle w:val="18"/>
          <w:rFonts w:hint="eastAsia"/>
        </w:rPr>
        <w:t>应急联动</w:t>
      </w:r>
      <w:r>
        <w:tab/>
      </w:r>
      <w:r>
        <w:fldChar w:fldCharType="begin"/>
      </w:r>
      <w:r>
        <w:instrText xml:space="preserve"> PAGEREF _Toc108453141 \h </w:instrText>
      </w:r>
      <w:r>
        <w:fldChar w:fldCharType="separate"/>
      </w:r>
      <w:r>
        <w:t>15</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"_Toc108453142"</w:instrText>
      </w:r>
      <w:r>
        <w:rPr>
          <w:rStyle w:val="18"/>
        </w:rPr>
        <w:instrText xml:space="preserve"> </w:instrText>
      </w:r>
      <w:r>
        <w:rPr>
          <w:rStyle w:val="18"/>
        </w:rPr>
        <w:fldChar w:fldCharType="separate"/>
      </w:r>
      <w:r>
        <w:rPr>
          <w:rStyle w:val="18"/>
        </w:rPr>
        <w:t>6.7</w:t>
      </w:r>
      <w:r>
        <w:rPr>
          <w:rStyle w:val="18"/>
          <w:rFonts w:hint="eastAsia"/>
        </w:rPr>
        <w:t>社会动员</w:t>
      </w:r>
      <w:r>
        <w:tab/>
      </w:r>
      <w:r>
        <w:fldChar w:fldCharType="begin"/>
      </w:r>
      <w:r>
        <w:instrText xml:space="preserve"> PAGEREF _Toc108453142 \h </w:instrText>
      </w:r>
      <w:r>
        <w:fldChar w:fldCharType="separate"/>
      </w:r>
      <w:r>
        <w:t>15</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"_Toc108453143"</w:instrText>
      </w:r>
      <w:r>
        <w:rPr>
          <w:rStyle w:val="18"/>
        </w:rPr>
        <w:instrText xml:space="preserve"> </w:instrText>
      </w:r>
      <w:r>
        <w:rPr>
          <w:rStyle w:val="18"/>
        </w:rPr>
        <w:fldChar w:fldCharType="separate"/>
      </w:r>
      <w:r>
        <w:rPr>
          <w:rStyle w:val="18"/>
        </w:rPr>
        <w:t>6.8</w:t>
      </w:r>
      <w:r>
        <w:rPr>
          <w:rStyle w:val="18"/>
          <w:rFonts w:hint="eastAsia"/>
        </w:rPr>
        <w:t>应急处置人员安全防护</w:t>
      </w:r>
      <w:r>
        <w:tab/>
      </w:r>
      <w:r>
        <w:fldChar w:fldCharType="begin"/>
      </w:r>
      <w:r>
        <w:instrText xml:space="preserve"> PAGEREF _Toc108453143 \h </w:instrText>
      </w:r>
      <w:r>
        <w:fldChar w:fldCharType="separate"/>
      </w:r>
      <w:r>
        <w:t>16</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"_Toc108453144"</w:instrText>
      </w:r>
      <w:r>
        <w:rPr>
          <w:rStyle w:val="18"/>
        </w:rPr>
        <w:instrText xml:space="preserve"> </w:instrText>
      </w:r>
      <w:r>
        <w:rPr>
          <w:rStyle w:val="18"/>
        </w:rPr>
        <w:fldChar w:fldCharType="separate"/>
      </w:r>
      <w:r>
        <w:rPr>
          <w:rStyle w:val="18"/>
        </w:rPr>
        <w:t>6.9</w:t>
      </w:r>
      <w:r>
        <w:rPr>
          <w:rStyle w:val="18"/>
          <w:rFonts w:hint="eastAsia"/>
        </w:rPr>
        <w:t>应急状态终止</w:t>
      </w:r>
      <w:r>
        <w:tab/>
      </w:r>
      <w:r>
        <w:fldChar w:fldCharType="begin"/>
      </w:r>
      <w:r>
        <w:instrText xml:space="preserve"> PAGEREF _Toc108453144 \h </w:instrText>
      </w:r>
      <w:r>
        <w:fldChar w:fldCharType="separate"/>
      </w:r>
      <w:r>
        <w:t>16</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"_Toc108453145"</w:instrText>
      </w:r>
      <w:r>
        <w:rPr>
          <w:rStyle w:val="18"/>
        </w:rPr>
        <w:instrText xml:space="preserve"> </w:instrText>
      </w:r>
      <w:r>
        <w:rPr>
          <w:rStyle w:val="18"/>
        </w:rPr>
        <w:fldChar w:fldCharType="separate"/>
      </w:r>
      <w:r>
        <w:rPr>
          <w:rStyle w:val="18"/>
        </w:rPr>
        <w:t>6.10</w:t>
      </w:r>
      <w:r>
        <w:rPr>
          <w:rStyle w:val="18"/>
          <w:rFonts w:hint="eastAsia"/>
        </w:rPr>
        <w:t>应急终止后的行动</w:t>
      </w:r>
      <w:r>
        <w:tab/>
      </w:r>
      <w:r>
        <w:fldChar w:fldCharType="begin"/>
      </w:r>
      <w:r>
        <w:instrText xml:space="preserve"> PAGEREF _Toc108453145 \h </w:instrText>
      </w:r>
      <w:r>
        <w:fldChar w:fldCharType="separate"/>
      </w:r>
      <w:r>
        <w:t>16</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"_Toc108453146"</w:instrText>
      </w:r>
      <w:r>
        <w:rPr>
          <w:rStyle w:val="18"/>
        </w:rPr>
        <w:instrText xml:space="preserve"> </w:instrText>
      </w:r>
      <w:r>
        <w:rPr>
          <w:rStyle w:val="18"/>
        </w:rPr>
        <w:fldChar w:fldCharType="separate"/>
      </w:r>
      <w:r>
        <w:rPr>
          <w:rStyle w:val="18"/>
          <w:rFonts w:cs="Times New Roman"/>
        </w:rPr>
        <w:t>7</w:t>
      </w:r>
      <w:r>
        <w:rPr>
          <w:rStyle w:val="18"/>
          <w:rFonts w:hint="eastAsia" w:cs="Times New Roman"/>
        </w:rPr>
        <w:t>应急过程记录及总结</w:t>
      </w:r>
      <w:r>
        <w:tab/>
      </w:r>
      <w:r>
        <w:fldChar w:fldCharType="begin"/>
      </w:r>
      <w:r>
        <w:instrText xml:space="preserve"> PAGEREF _Toc108453146 \h </w:instrText>
      </w:r>
      <w:r>
        <w:fldChar w:fldCharType="separate"/>
      </w:r>
      <w:r>
        <w:t>17</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"_Toc108453147"</w:instrText>
      </w:r>
      <w:r>
        <w:rPr>
          <w:rStyle w:val="18"/>
        </w:rPr>
        <w:instrText xml:space="preserve"> </w:instrText>
      </w:r>
      <w:r>
        <w:rPr>
          <w:rStyle w:val="18"/>
        </w:rPr>
        <w:fldChar w:fldCharType="separate"/>
      </w:r>
      <w:r>
        <w:rPr>
          <w:rStyle w:val="18"/>
        </w:rPr>
        <w:t>7.1</w:t>
      </w:r>
      <w:r>
        <w:rPr>
          <w:rStyle w:val="18"/>
          <w:rFonts w:hint="eastAsia"/>
        </w:rPr>
        <w:t>记录及归档</w:t>
      </w:r>
      <w:r>
        <w:tab/>
      </w:r>
      <w:r>
        <w:fldChar w:fldCharType="begin"/>
      </w:r>
      <w:r>
        <w:instrText xml:space="preserve"> PAGEREF _Toc108453147 \h </w:instrText>
      </w:r>
      <w:r>
        <w:fldChar w:fldCharType="separate"/>
      </w:r>
      <w:r>
        <w:t>17</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"_Toc108453148"</w:instrText>
      </w:r>
      <w:r>
        <w:rPr>
          <w:rStyle w:val="18"/>
        </w:rPr>
        <w:instrText xml:space="preserve"> </w:instrText>
      </w:r>
      <w:r>
        <w:rPr>
          <w:rStyle w:val="18"/>
        </w:rPr>
        <w:fldChar w:fldCharType="separate"/>
      </w:r>
      <w:r>
        <w:rPr>
          <w:rStyle w:val="18"/>
        </w:rPr>
        <w:t>7.2</w:t>
      </w:r>
      <w:r>
        <w:rPr>
          <w:rStyle w:val="18"/>
          <w:rFonts w:hint="eastAsia"/>
        </w:rPr>
        <w:t>总结报告</w:t>
      </w:r>
      <w:r>
        <w:tab/>
      </w:r>
      <w:r>
        <w:fldChar w:fldCharType="begin"/>
      </w:r>
      <w:r>
        <w:instrText xml:space="preserve"> PAGEREF _Toc108453148 \h </w:instrText>
      </w:r>
      <w:r>
        <w:fldChar w:fldCharType="separate"/>
      </w:r>
      <w:r>
        <w:t>17</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"_Toc108453149"</w:instrText>
      </w:r>
      <w:r>
        <w:rPr>
          <w:rStyle w:val="18"/>
        </w:rPr>
        <w:instrText xml:space="preserve"> </w:instrText>
      </w:r>
      <w:r>
        <w:rPr>
          <w:rStyle w:val="18"/>
        </w:rPr>
        <w:fldChar w:fldCharType="separate"/>
      </w:r>
      <w:r>
        <w:rPr>
          <w:rStyle w:val="18"/>
          <w:rFonts w:cs="Times New Roman"/>
        </w:rPr>
        <w:t>8</w:t>
      </w:r>
      <w:r>
        <w:rPr>
          <w:rStyle w:val="18"/>
          <w:rFonts w:hint="eastAsia" w:cs="Times New Roman"/>
        </w:rPr>
        <w:t>应急能力的维持与应急保障</w:t>
      </w:r>
      <w:r>
        <w:tab/>
      </w:r>
      <w:r>
        <w:fldChar w:fldCharType="begin"/>
      </w:r>
      <w:r>
        <w:instrText xml:space="preserve"> PAGEREF _Toc108453149 \h </w:instrText>
      </w:r>
      <w:r>
        <w:fldChar w:fldCharType="separate"/>
      </w:r>
      <w:r>
        <w:t>17</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"_Toc108453150"</w:instrText>
      </w:r>
      <w:r>
        <w:rPr>
          <w:rStyle w:val="18"/>
        </w:rPr>
        <w:instrText xml:space="preserve"> </w:instrText>
      </w:r>
      <w:r>
        <w:rPr>
          <w:rStyle w:val="18"/>
        </w:rPr>
        <w:fldChar w:fldCharType="separate"/>
      </w:r>
      <w:r>
        <w:rPr>
          <w:rStyle w:val="18"/>
        </w:rPr>
        <w:t>8.1</w:t>
      </w:r>
      <w:r>
        <w:rPr>
          <w:rStyle w:val="18"/>
          <w:rFonts w:hint="eastAsia"/>
        </w:rPr>
        <w:t>培训</w:t>
      </w:r>
      <w:r>
        <w:tab/>
      </w:r>
      <w:r>
        <w:fldChar w:fldCharType="begin"/>
      </w:r>
      <w:r>
        <w:instrText xml:space="preserve"> PAGEREF _Toc108453150 \h </w:instrText>
      </w:r>
      <w:r>
        <w:fldChar w:fldCharType="separate"/>
      </w:r>
      <w:r>
        <w:t>17</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"_Toc108453151"</w:instrText>
      </w:r>
      <w:r>
        <w:rPr>
          <w:rStyle w:val="18"/>
        </w:rPr>
        <w:instrText xml:space="preserve"> </w:instrText>
      </w:r>
      <w:r>
        <w:rPr>
          <w:rStyle w:val="18"/>
        </w:rPr>
        <w:fldChar w:fldCharType="separate"/>
      </w:r>
      <w:r>
        <w:rPr>
          <w:rStyle w:val="18"/>
        </w:rPr>
        <w:t>8.2</w:t>
      </w:r>
      <w:r>
        <w:rPr>
          <w:rStyle w:val="18"/>
          <w:rFonts w:hint="eastAsia"/>
        </w:rPr>
        <w:t>演练</w:t>
      </w:r>
      <w:r>
        <w:tab/>
      </w:r>
      <w:r>
        <w:fldChar w:fldCharType="begin"/>
      </w:r>
      <w:r>
        <w:instrText xml:space="preserve"> PAGEREF _Toc108453151 \h </w:instrText>
      </w:r>
      <w:r>
        <w:fldChar w:fldCharType="separate"/>
      </w:r>
      <w:r>
        <w:t>18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"_Toc108453152"</w:instrText>
      </w:r>
      <w:r>
        <w:rPr>
          <w:rStyle w:val="18"/>
        </w:rPr>
        <w:instrText xml:space="preserve"> </w:instrText>
      </w:r>
      <w:r>
        <w:rPr>
          <w:rStyle w:val="18"/>
        </w:rPr>
        <w:fldChar w:fldCharType="separate"/>
      </w:r>
      <w:r>
        <w:rPr>
          <w:rStyle w:val="18"/>
        </w:rPr>
        <w:t>8.3</w:t>
      </w:r>
      <w:r>
        <w:rPr>
          <w:rStyle w:val="18"/>
          <w:rFonts w:hint="eastAsia"/>
        </w:rPr>
        <w:t>应急设备、设施的日常维护</w:t>
      </w:r>
      <w:r>
        <w:tab/>
      </w:r>
      <w:r>
        <w:fldChar w:fldCharType="begin"/>
      </w:r>
      <w:r>
        <w:instrText xml:space="preserve"> PAGEREF _Toc108453152 \h </w:instrText>
      </w:r>
      <w:r>
        <w:fldChar w:fldCharType="separate"/>
      </w:r>
      <w:r>
        <w:t>18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"_Toc108453153"</w:instrText>
      </w:r>
      <w:r>
        <w:rPr>
          <w:rStyle w:val="18"/>
        </w:rPr>
        <w:instrText xml:space="preserve"> </w:instrText>
      </w:r>
      <w:r>
        <w:rPr>
          <w:rStyle w:val="18"/>
        </w:rPr>
        <w:fldChar w:fldCharType="separate"/>
      </w:r>
      <w:r>
        <w:rPr>
          <w:rStyle w:val="18"/>
        </w:rPr>
        <w:t>8.4</w:t>
      </w:r>
      <w:r>
        <w:rPr>
          <w:rStyle w:val="18"/>
          <w:rFonts w:hint="eastAsia"/>
        </w:rPr>
        <w:t>应急资金</w:t>
      </w:r>
      <w:r>
        <w:tab/>
      </w:r>
      <w:r>
        <w:fldChar w:fldCharType="begin"/>
      </w:r>
      <w:r>
        <w:instrText xml:space="preserve"> PAGEREF _Toc108453153 \h </w:instrText>
      </w:r>
      <w:r>
        <w:fldChar w:fldCharType="separate"/>
      </w:r>
      <w:r>
        <w:t>18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"_Toc108453154"</w:instrText>
      </w:r>
      <w:r>
        <w:rPr>
          <w:rStyle w:val="18"/>
        </w:rPr>
        <w:instrText xml:space="preserve"> </w:instrText>
      </w:r>
      <w:r>
        <w:rPr>
          <w:rStyle w:val="18"/>
        </w:rPr>
        <w:fldChar w:fldCharType="separate"/>
      </w:r>
      <w:r>
        <w:rPr>
          <w:rStyle w:val="18"/>
        </w:rPr>
        <w:t>8.5</w:t>
      </w:r>
      <w:r>
        <w:rPr>
          <w:rStyle w:val="18"/>
          <w:rFonts w:hint="eastAsia"/>
        </w:rPr>
        <w:t>应急设施设备</w:t>
      </w:r>
      <w:r>
        <w:tab/>
      </w:r>
      <w:r>
        <w:fldChar w:fldCharType="begin"/>
      </w:r>
      <w:r>
        <w:instrText xml:space="preserve"> PAGEREF _Toc108453154 \h </w:instrText>
      </w:r>
      <w:r>
        <w:fldChar w:fldCharType="separate"/>
      </w:r>
      <w:r>
        <w:t>18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"_Toc108453155"</w:instrText>
      </w:r>
      <w:r>
        <w:rPr>
          <w:rStyle w:val="18"/>
        </w:rPr>
        <w:instrText xml:space="preserve"> </w:instrText>
      </w:r>
      <w:r>
        <w:rPr>
          <w:rStyle w:val="18"/>
        </w:rPr>
        <w:fldChar w:fldCharType="separate"/>
      </w:r>
      <w:r>
        <w:rPr>
          <w:rStyle w:val="18"/>
        </w:rPr>
        <w:t>8.6</w:t>
      </w:r>
      <w:r>
        <w:rPr>
          <w:rStyle w:val="18"/>
          <w:rFonts w:hint="eastAsia"/>
        </w:rPr>
        <w:t>技术保障</w:t>
      </w:r>
      <w:r>
        <w:tab/>
      </w:r>
      <w:r>
        <w:fldChar w:fldCharType="begin"/>
      </w:r>
      <w:r>
        <w:instrText xml:space="preserve"> PAGEREF _Toc108453155 \h </w:instrText>
      </w:r>
      <w:r>
        <w:fldChar w:fldCharType="separate"/>
      </w:r>
      <w:r>
        <w:t>18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"_Toc108453156"</w:instrText>
      </w:r>
      <w:r>
        <w:rPr>
          <w:rStyle w:val="18"/>
        </w:rPr>
        <w:instrText xml:space="preserve"> </w:instrText>
      </w:r>
      <w:r>
        <w:rPr>
          <w:rStyle w:val="18"/>
        </w:rPr>
        <w:fldChar w:fldCharType="separate"/>
      </w:r>
      <w:r>
        <w:rPr>
          <w:rStyle w:val="18"/>
        </w:rPr>
        <w:t>8.7</w:t>
      </w:r>
      <w:r>
        <w:rPr>
          <w:rStyle w:val="18"/>
          <w:rFonts w:hint="eastAsia"/>
        </w:rPr>
        <w:t>通信、医疗和治安保障</w:t>
      </w:r>
      <w:r>
        <w:tab/>
      </w:r>
      <w:r>
        <w:fldChar w:fldCharType="begin"/>
      </w:r>
      <w:r>
        <w:instrText xml:space="preserve"> PAGEREF _Toc108453156 \h </w:instrText>
      </w:r>
      <w:r>
        <w:fldChar w:fldCharType="separate"/>
      </w:r>
      <w:r>
        <w:t>18</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"_Toc108453157"</w:instrText>
      </w:r>
      <w:r>
        <w:rPr>
          <w:rStyle w:val="18"/>
        </w:rPr>
        <w:instrText xml:space="preserve"> </w:instrText>
      </w:r>
      <w:r>
        <w:rPr>
          <w:rStyle w:val="18"/>
        </w:rPr>
        <w:fldChar w:fldCharType="separate"/>
      </w:r>
      <w:r>
        <w:rPr>
          <w:rStyle w:val="18"/>
          <w:rFonts w:cs="Times New Roman"/>
        </w:rPr>
        <w:t>9</w:t>
      </w:r>
      <w:r>
        <w:rPr>
          <w:rStyle w:val="18"/>
          <w:rFonts w:hint="eastAsia" w:cs="Times New Roman"/>
        </w:rPr>
        <w:t>附则</w:t>
      </w:r>
      <w:r>
        <w:tab/>
      </w:r>
      <w:r>
        <w:fldChar w:fldCharType="begin"/>
      </w:r>
      <w:r>
        <w:instrText xml:space="preserve"> PAGEREF _Toc108453157 \h </w:instrText>
      </w:r>
      <w:r>
        <w:fldChar w:fldCharType="separate"/>
      </w:r>
      <w:r>
        <w:t>19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"_Toc108453158"</w:instrText>
      </w:r>
      <w:r>
        <w:rPr>
          <w:rStyle w:val="18"/>
        </w:rPr>
        <w:instrText xml:space="preserve"> </w:instrText>
      </w:r>
      <w:r>
        <w:rPr>
          <w:rStyle w:val="18"/>
        </w:rPr>
        <w:fldChar w:fldCharType="separate"/>
      </w:r>
      <w:r>
        <w:rPr>
          <w:rStyle w:val="18"/>
        </w:rPr>
        <w:t>9.1</w:t>
      </w:r>
      <w:r>
        <w:rPr>
          <w:rStyle w:val="18"/>
          <w:rFonts w:hint="eastAsia"/>
        </w:rPr>
        <w:t>奖励与责任追究</w:t>
      </w:r>
      <w:r>
        <w:tab/>
      </w:r>
      <w:r>
        <w:fldChar w:fldCharType="begin"/>
      </w:r>
      <w:r>
        <w:instrText xml:space="preserve"> PAGEREF _Toc108453158 \h </w:instrText>
      </w:r>
      <w:r>
        <w:fldChar w:fldCharType="separate"/>
      </w:r>
      <w:r>
        <w:t>19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"_Toc108453159"</w:instrText>
      </w:r>
      <w:r>
        <w:rPr>
          <w:rStyle w:val="18"/>
        </w:rPr>
        <w:instrText xml:space="preserve"> </w:instrText>
      </w:r>
      <w:r>
        <w:rPr>
          <w:rStyle w:val="18"/>
        </w:rPr>
        <w:fldChar w:fldCharType="separate"/>
      </w:r>
      <w:r>
        <w:rPr>
          <w:rStyle w:val="18"/>
        </w:rPr>
        <w:t>9.2</w:t>
      </w:r>
      <w:r>
        <w:rPr>
          <w:rStyle w:val="18"/>
          <w:rFonts w:hint="eastAsia"/>
        </w:rPr>
        <w:t>预案管理、解释及实施</w:t>
      </w:r>
      <w:r>
        <w:tab/>
      </w:r>
      <w:r>
        <w:fldChar w:fldCharType="begin"/>
      </w:r>
      <w:r>
        <w:instrText xml:space="preserve"> PAGEREF _Toc108453159 \h </w:instrText>
      </w:r>
      <w:r>
        <w:fldChar w:fldCharType="separate"/>
      </w:r>
      <w:r>
        <w:t>19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"_Toc108453160"</w:instrText>
      </w:r>
      <w:r>
        <w:rPr>
          <w:rStyle w:val="18"/>
        </w:rPr>
        <w:instrText xml:space="preserve"> </w:instrText>
      </w:r>
      <w:r>
        <w:rPr>
          <w:rStyle w:val="18"/>
        </w:rPr>
        <w:fldChar w:fldCharType="separate"/>
      </w:r>
      <w:r>
        <w:rPr>
          <w:rStyle w:val="18"/>
        </w:rPr>
        <w:t>9.3</w:t>
      </w:r>
      <w:r>
        <w:rPr>
          <w:rStyle w:val="18"/>
          <w:rFonts w:hint="eastAsia"/>
          <w:shd w:val="clear" w:color="auto" w:fill="FFFFFF"/>
        </w:rPr>
        <w:t>预案管理与更新</w:t>
      </w:r>
      <w:r>
        <w:tab/>
      </w:r>
      <w:r>
        <w:fldChar w:fldCharType="begin"/>
      </w:r>
      <w:r>
        <w:instrText xml:space="preserve"> PAGEREF _Toc108453160 \h </w:instrText>
      </w:r>
      <w:r>
        <w:fldChar w:fldCharType="separate"/>
      </w:r>
      <w:r>
        <w:t>19</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"_Toc108453161"</w:instrText>
      </w:r>
      <w:r>
        <w:rPr>
          <w:rStyle w:val="18"/>
        </w:rPr>
        <w:instrText xml:space="preserve"> </w:instrText>
      </w:r>
      <w:r>
        <w:rPr>
          <w:rStyle w:val="18"/>
        </w:rPr>
        <w:fldChar w:fldCharType="separate"/>
      </w:r>
      <w:r>
        <w:rPr>
          <w:rStyle w:val="18"/>
          <w:shd w:val="clear" w:color="auto" w:fill="FFFFFF"/>
        </w:rPr>
        <w:t>9.4</w:t>
      </w:r>
      <w:r>
        <w:rPr>
          <w:rStyle w:val="18"/>
          <w:rFonts w:hint="eastAsia"/>
          <w:shd w:val="clear" w:color="auto" w:fill="FFFFFF"/>
        </w:rPr>
        <w:t>预案实施</w:t>
      </w:r>
      <w:r>
        <w:tab/>
      </w:r>
      <w:r>
        <w:fldChar w:fldCharType="begin"/>
      </w:r>
      <w:r>
        <w:instrText xml:space="preserve"> PAGEREF _Toc108453161 \h </w:instrText>
      </w:r>
      <w:r>
        <w:fldChar w:fldCharType="separate"/>
      </w:r>
      <w:r>
        <w:t>20</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"_Toc108453162"</w:instrText>
      </w:r>
      <w:r>
        <w:rPr>
          <w:rStyle w:val="18"/>
        </w:rPr>
        <w:instrText xml:space="preserve"> </w:instrText>
      </w:r>
      <w:r>
        <w:rPr>
          <w:rStyle w:val="18"/>
        </w:rPr>
        <w:fldChar w:fldCharType="separate"/>
      </w:r>
      <w:r>
        <w:rPr>
          <w:rStyle w:val="18"/>
          <w:rFonts w:cs="Times New Roman"/>
        </w:rPr>
        <w:t>10</w:t>
      </w:r>
      <w:r>
        <w:rPr>
          <w:rStyle w:val="18"/>
          <w:rFonts w:hint="eastAsia" w:cs="Times New Roman"/>
        </w:rPr>
        <w:t>附表</w:t>
      </w:r>
      <w:r>
        <w:tab/>
      </w:r>
      <w:r>
        <w:fldChar w:fldCharType="begin"/>
      </w:r>
      <w:r>
        <w:instrText xml:space="preserve"> PAGEREF _Toc108453162 \h </w:instrText>
      </w:r>
      <w:r>
        <w:fldChar w:fldCharType="separate"/>
      </w:r>
      <w:r>
        <w:t>21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"_Toc108453163"</w:instrText>
      </w:r>
      <w:r>
        <w:rPr>
          <w:rStyle w:val="18"/>
        </w:rPr>
        <w:instrText xml:space="preserve"> </w:instrText>
      </w:r>
      <w:r>
        <w:rPr>
          <w:rStyle w:val="18"/>
        </w:rPr>
        <w:fldChar w:fldCharType="separate"/>
      </w:r>
      <w:r>
        <w:rPr>
          <w:rStyle w:val="18"/>
          <w:shd w:val="clear" w:color="auto" w:fill="FFFFFF"/>
        </w:rPr>
        <w:t>10.1</w:t>
      </w:r>
      <w:r>
        <w:rPr>
          <w:rStyle w:val="18"/>
          <w:rFonts w:hint="eastAsia"/>
          <w:shd w:val="clear" w:color="auto" w:fill="FFFFFF"/>
        </w:rPr>
        <w:t>应急人员名单</w:t>
      </w:r>
      <w:r>
        <w:tab/>
      </w:r>
      <w:r>
        <w:fldChar w:fldCharType="begin"/>
      </w:r>
      <w:r>
        <w:instrText xml:space="preserve"> PAGEREF _Toc108453163 \h </w:instrText>
      </w:r>
      <w:r>
        <w:fldChar w:fldCharType="separate"/>
      </w:r>
      <w:r>
        <w:t>21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"_Toc108453164"</w:instrText>
      </w:r>
      <w:r>
        <w:rPr>
          <w:rStyle w:val="18"/>
        </w:rPr>
        <w:instrText xml:space="preserve"> </w:instrText>
      </w:r>
      <w:r>
        <w:rPr>
          <w:rStyle w:val="18"/>
        </w:rPr>
        <w:fldChar w:fldCharType="separate"/>
      </w:r>
      <w:r>
        <w:rPr>
          <w:rStyle w:val="18"/>
          <w:shd w:val="clear" w:color="auto" w:fill="FFFFFF"/>
        </w:rPr>
        <w:t>10.2</w:t>
      </w:r>
      <w:r>
        <w:rPr>
          <w:rStyle w:val="18"/>
          <w:rFonts w:hint="eastAsia"/>
          <w:shd w:val="clear" w:color="auto" w:fill="FFFFFF"/>
        </w:rPr>
        <w:t>辐射事故报告表</w:t>
      </w:r>
      <w:r>
        <w:tab/>
      </w:r>
      <w:r>
        <w:fldChar w:fldCharType="begin"/>
      </w:r>
      <w:r>
        <w:instrText xml:space="preserve"> PAGEREF _Toc108453164 \h </w:instrText>
      </w:r>
      <w:r>
        <w:fldChar w:fldCharType="separate"/>
      </w:r>
      <w:r>
        <w:t>23</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"_Toc108453165"</w:instrText>
      </w:r>
      <w:r>
        <w:rPr>
          <w:rStyle w:val="18"/>
        </w:rPr>
        <w:instrText xml:space="preserve"> </w:instrText>
      </w:r>
      <w:r>
        <w:rPr>
          <w:rStyle w:val="18"/>
        </w:rPr>
        <w:fldChar w:fldCharType="separate"/>
      </w:r>
      <w:r>
        <w:rPr>
          <w:rStyle w:val="18"/>
          <w:shd w:val="clear" w:color="auto" w:fill="FFFFFF"/>
        </w:rPr>
        <w:t>10.3</w:t>
      </w:r>
      <w:r>
        <w:rPr>
          <w:rStyle w:val="18"/>
          <w:rFonts w:hint="eastAsia"/>
          <w:shd w:val="clear" w:color="auto" w:fill="FFFFFF"/>
        </w:rPr>
        <w:t>培训记录表</w:t>
      </w:r>
      <w:r>
        <w:tab/>
      </w:r>
      <w:r>
        <w:fldChar w:fldCharType="begin"/>
      </w:r>
      <w:r>
        <w:instrText xml:space="preserve"> PAGEREF _Toc108453165 \h </w:instrText>
      </w:r>
      <w:r>
        <w:fldChar w:fldCharType="separate"/>
      </w:r>
      <w:r>
        <w:t>26</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"_Toc108453166"</w:instrText>
      </w:r>
      <w:r>
        <w:rPr>
          <w:rStyle w:val="18"/>
        </w:rPr>
        <w:instrText xml:space="preserve"> </w:instrText>
      </w:r>
      <w:r>
        <w:rPr>
          <w:rStyle w:val="18"/>
        </w:rPr>
        <w:fldChar w:fldCharType="separate"/>
      </w:r>
      <w:r>
        <w:rPr>
          <w:rStyle w:val="18"/>
          <w:shd w:val="clear" w:color="auto" w:fill="FFFFFF"/>
        </w:rPr>
        <w:t>10.4</w:t>
      </w:r>
      <w:r>
        <w:rPr>
          <w:rStyle w:val="18"/>
          <w:rFonts w:hint="eastAsia"/>
          <w:shd w:val="clear" w:color="auto" w:fill="FFFFFF"/>
        </w:rPr>
        <w:t>通讯对话记录单</w:t>
      </w:r>
      <w:r>
        <w:tab/>
      </w:r>
      <w:r>
        <w:fldChar w:fldCharType="begin"/>
      </w:r>
      <w:r>
        <w:instrText xml:space="preserve"> PAGEREF _Toc108453166 \h </w:instrText>
      </w:r>
      <w:r>
        <w:fldChar w:fldCharType="separate"/>
      </w:r>
      <w:r>
        <w:t>27</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"_Toc108453167"</w:instrText>
      </w:r>
      <w:r>
        <w:rPr>
          <w:rStyle w:val="18"/>
        </w:rPr>
        <w:instrText xml:space="preserve"> </w:instrText>
      </w:r>
      <w:r>
        <w:rPr>
          <w:rStyle w:val="18"/>
        </w:rPr>
        <w:fldChar w:fldCharType="separate"/>
      </w:r>
      <w:r>
        <w:rPr>
          <w:rStyle w:val="18"/>
          <w:shd w:val="clear" w:color="auto" w:fill="FFFFFF"/>
        </w:rPr>
        <w:t>10.5</w:t>
      </w:r>
      <w:r>
        <w:rPr>
          <w:rStyle w:val="18"/>
          <w:rFonts w:hint="eastAsia"/>
          <w:shd w:val="clear" w:color="auto" w:fill="FFFFFF"/>
        </w:rPr>
        <w:t>应急演习评价表</w:t>
      </w:r>
      <w:r>
        <w:tab/>
      </w:r>
      <w:r>
        <w:fldChar w:fldCharType="begin"/>
      </w:r>
      <w:r>
        <w:instrText xml:space="preserve"> PAGEREF _Toc108453167 \h </w:instrText>
      </w:r>
      <w:r>
        <w:fldChar w:fldCharType="separate"/>
      </w:r>
      <w:r>
        <w:t>28</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"_Toc108453168"</w:instrText>
      </w:r>
      <w:r>
        <w:rPr>
          <w:rStyle w:val="18"/>
        </w:rPr>
        <w:instrText xml:space="preserve"> </w:instrText>
      </w:r>
      <w:r>
        <w:rPr>
          <w:rStyle w:val="18"/>
        </w:rPr>
        <w:fldChar w:fldCharType="separate"/>
      </w:r>
      <w:r>
        <w:rPr>
          <w:rStyle w:val="18"/>
          <w:shd w:val="clear" w:color="auto" w:fill="FFFFFF"/>
        </w:rPr>
        <w:t>10.6</w:t>
      </w:r>
      <w:r>
        <w:rPr>
          <w:rStyle w:val="18"/>
          <w:rFonts w:hint="eastAsia"/>
          <w:shd w:val="clear" w:color="auto" w:fill="FFFFFF"/>
        </w:rPr>
        <w:t>现场监测原始记录表</w:t>
      </w:r>
      <w:r>
        <w:tab/>
      </w:r>
      <w:r>
        <w:fldChar w:fldCharType="begin"/>
      </w:r>
      <w:r>
        <w:instrText xml:space="preserve"> PAGEREF _Toc108453168 \h </w:instrText>
      </w:r>
      <w:r>
        <w:fldChar w:fldCharType="separate"/>
      </w:r>
      <w:r>
        <w:t>29</w:t>
      </w:r>
      <w:r>
        <w:fldChar w:fldCharType="end"/>
      </w:r>
      <w:r>
        <w:rPr>
          <w:rStyle w:val="18"/>
        </w:rPr>
        <w:fldChar w:fldCharType="end"/>
      </w:r>
    </w:p>
    <w:p>
      <w:pPr>
        <w:pStyle w:val="13"/>
        <w:spacing w:before="120" w:after="120"/>
        <w:rPr>
          <w:rFonts w:asciiTheme="minorHAnsi" w:hAnsiTheme="minorHAnsi" w:eastAsiaTheme="minorEastAsia"/>
          <w:b w:val="0"/>
          <w:sz w:val="21"/>
        </w:rPr>
      </w:pPr>
      <w:r>
        <w:rPr>
          <w:rStyle w:val="18"/>
        </w:rPr>
        <w:fldChar w:fldCharType="begin"/>
      </w:r>
      <w:r>
        <w:rPr>
          <w:rStyle w:val="18"/>
        </w:rPr>
        <w:instrText xml:space="preserve"> </w:instrText>
      </w:r>
      <w:r>
        <w:instrText xml:space="preserve">HYPERLINK \l "_Toc108453169"</w:instrText>
      </w:r>
      <w:r>
        <w:rPr>
          <w:rStyle w:val="18"/>
        </w:rPr>
        <w:instrText xml:space="preserve"> </w:instrText>
      </w:r>
      <w:r>
        <w:rPr>
          <w:rStyle w:val="18"/>
        </w:rPr>
        <w:fldChar w:fldCharType="separate"/>
      </w:r>
      <w:r>
        <w:rPr>
          <w:rStyle w:val="18"/>
          <w:rFonts w:cs="Times New Roman"/>
        </w:rPr>
        <w:t>11</w:t>
      </w:r>
      <w:r>
        <w:rPr>
          <w:rStyle w:val="18"/>
          <w:rFonts w:hint="eastAsia" w:cs="Times New Roman"/>
        </w:rPr>
        <w:t>附件</w:t>
      </w:r>
      <w:r>
        <w:tab/>
      </w:r>
      <w:r>
        <w:fldChar w:fldCharType="begin"/>
      </w:r>
      <w:r>
        <w:instrText xml:space="preserve"> PAGEREF _Toc108453169 \h </w:instrText>
      </w:r>
      <w:r>
        <w:fldChar w:fldCharType="separate"/>
      </w:r>
      <w:r>
        <w:t>31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"_Toc108453170"</w:instrText>
      </w:r>
      <w:r>
        <w:rPr>
          <w:rStyle w:val="18"/>
        </w:rPr>
        <w:instrText xml:space="preserve"> </w:instrText>
      </w:r>
      <w:r>
        <w:rPr>
          <w:rStyle w:val="18"/>
        </w:rPr>
        <w:fldChar w:fldCharType="separate"/>
      </w:r>
      <w:r>
        <w:rPr>
          <w:rStyle w:val="18"/>
          <w:rFonts w:hint="eastAsia"/>
          <w:shd w:val="clear" w:color="auto" w:fill="FFFFFF"/>
        </w:rPr>
        <w:t>附件</w:t>
      </w:r>
      <w:r>
        <w:rPr>
          <w:rStyle w:val="18"/>
          <w:shd w:val="clear" w:color="auto" w:fill="FFFFFF"/>
        </w:rPr>
        <w:t xml:space="preserve">1 </w:t>
      </w:r>
      <w:r>
        <w:rPr>
          <w:rStyle w:val="18"/>
          <w:rFonts w:hint="eastAsia"/>
          <w:shd w:val="clear" w:color="auto" w:fill="FFFFFF"/>
        </w:rPr>
        <w:t>造成污染事故的量化指标</w:t>
      </w:r>
      <w:r>
        <w:tab/>
      </w:r>
      <w:r>
        <w:fldChar w:fldCharType="begin"/>
      </w:r>
      <w:r>
        <w:instrText xml:space="preserve"> PAGEREF _Toc108453170 \h </w:instrText>
      </w:r>
      <w:r>
        <w:fldChar w:fldCharType="separate"/>
      </w:r>
      <w:r>
        <w:t>31</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"_Toc108453171"</w:instrText>
      </w:r>
      <w:r>
        <w:rPr>
          <w:rStyle w:val="18"/>
        </w:rPr>
        <w:instrText xml:space="preserve"> </w:instrText>
      </w:r>
      <w:r>
        <w:rPr>
          <w:rStyle w:val="18"/>
        </w:rPr>
        <w:fldChar w:fldCharType="separate"/>
      </w:r>
      <w:r>
        <w:rPr>
          <w:rStyle w:val="18"/>
          <w:rFonts w:hint="eastAsia"/>
          <w:shd w:val="clear" w:color="auto" w:fill="FFFFFF"/>
        </w:rPr>
        <w:t>附件</w:t>
      </w:r>
      <w:r>
        <w:rPr>
          <w:rStyle w:val="18"/>
          <w:shd w:val="clear" w:color="auto" w:fill="FFFFFF"/>
        </w:rPr>
        <w:t xml:space="preserve">2 </w:t>
      </w:r>
      <w:r>
        <w:rPr>
          <w:rStyle w:val="18"/>
          <w:rFonts w:hint="eastAsia"/>
          <w:shd w:val="clear" w:color="auto" w:fill="FFFFFF"/>
        </w:rPr>
        <w:t>辐射事故应急分报告提纲</w:t>
      </w:r>
      <w:r>
        <w:tab/>
      </w:r>
      <w:r>
        <w:fldChar w:fldCharType="begin"/>
      </w:r>
      <w:r>
        <w:instrText xml:space="preserve"> PAGEREF _Toc108453171 \h </w:instrText>
      </w:r>
      <w:r>
        <w:fldChar w:fldCharType="separate"/>
      </w:r>
      <w:r>
        <w:t>33</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"_Toc108453172"</w:instrText>
      </w:r>
      <w:r>
        <w:rPr>
          <w:rStyle w:val="18"/>
        </w:rPr>
        <w:instrText xml:space="preserve"> </w:instrText>
      </w:r>
      <w:r>
        <w:rPr>
          <w:rStyle w:val="18"/>
        </w:rPr>
        <w:fldChar w:fldCharType="separate"/>
      </w:r>
      <w:r>
        <w:rPr>
          <w:rStyle w:val="18"/>
          <w:rFonts w:hint="eastAsia"/>
          <w:shd w:val="clear" w:color="auto" w:fill="FFFFFF"/>
        </w:rPr>
        <w:t>附件</w:t>
      </w:r>
      <w:r>
        <w:rPr>
          <w:rStyle w:val="18"/>
          <w:shd w:val="clear" w:color="auto" w:fill="FFFFFF"/>
        </w:rPr>
        <w:t xml:space="preserve">3 </w:t>
      </w:r>
      <w:r>
        <w:rPr>
          <w:rStyle w:val="18"/>
          <w:rFonts w:hint="eastAsia"/>
          <w:shd w:val="clear" w:color="auto" w:fill="FFFFFF"/>
        </w:rPr>
        <w:t>应急时应急监测队伍开展现场监测工作应配备的仪器设备工具及技术资料清单</w:t>
      </w:r>
      <w:r>
        <w:tab/>
      </w:r>
      <w:r>
        <w:fldChar w:fldCharType="begin"/>
      </w:r>
      <w:r>
        <w:instrText xml:space="preserve"> PAGEREF _Toc108453172 \h </w:instrText>
      </w:r>
      <w:r>
        <w:fldChar w:fldCharType="separate"/>
      </w:r>
      <w:r>
        <w:t>34</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"_Toc108453173"</w:instrText>
      </w:r>
      <w:r>
        <w:rPr>
          <w:rStyle w:val="18"/>
        </w:rPr>
        <w:instrText xml:space="preserve"> </w:instrText>
      </w:r>
      <w:r>
        <w:rPr>
          <w:rStyle w:val="18"/>
        </w:rPr>
        <w:fldChar w:fldCharType="separate"/>
      </w:r>
      <w:r>
        <w:rPr>
          <w:rStyle w:val="18"/>
          <w:rFonts w:hint="eastAsia"/>
          <w:shd w:val="clear" w:color="auto" w:fill="FFFFFF"/>
        </w:rPr>
        <w:t>附件</w:t>
      </w:r>
      <w:r>
        <w:rPr>
          <w:rStyle w:val="18"/>
          <w:shd w:val="clear" w:color="auto" w:fill="FFFFFF"/>
        </w:rPr>
        <w:t xml:space="preserve">4 </w:t>
      </w:r>
      <w:r>
        <w:rPr>
          <w:rStyle w:val="18"/>
          <w:rFonts w:hint="eastAsia"/>
          <w:shd w:val="clear" w:color="auto" w:fill="FFFFFF"/>
        </w:rPr>
        <w:t>应急监测时后勤保障物品清单</w:t>
      </w:r>
      <w:r>
        <w:tab/>
      </w:r>
      <w:r>
        <w:fldChar w:fldCharType="begin"/>
      </w:r>
      <w:r>
        <w:instrText xml:space="preserve"> PAGEREF _Toc108453173 \h </w:instrText>
      </w:r>
      <w:r>
        <w:fldChar w:fldCharType="separate"/>
      </w:r>
      <w:r>
        <w:t>35</w:t>
      </w:r>
      <w:r>
        <w:fldChar w:fldCharType="end"/>
      </w:r>
      <w:r>
        <w:rPr>
          <w:rStyle w:val="18"/>
        </w:rPr>
        <w:fldChar w:fldCharType="end"/>
      </w:r>
    </w:p>
    <w:p>
      <w:pPr>
        <w:pStyle w:val="14"/>
        <w:tabs>
          <w:tab w:val="right" w:leader="dot" w:pos="8381"/>
        </w:tabs>
        <w:rPr>
          <w:rFonts w:asciiTheme="minorHAnsi" w:hAnsiTheme="minorHAnsi" w:eastAsiaTheme="minorEastAsia"/>
          <w:sz w:val="21"/>
        </w:rPr>
      </w:pPr>
      <w:r>
        <w:rPr>
          <w:rStyle w:val="18"/>
        </w:rPr>
        <w:fldChar w:fldCharType="begin"/>
      </w:r>
      <w:r>
        <w:rPr>
          <w:rStyle w:val="18"/>
        </w:rPr>
        <w:instrText xml:space="preserve"> </w:instrText>
      </w:r>
      <w:r>
        <w:instrText xml:space="preserve">HYPERLINK \l "_Toc108453174"</w:instrText>
      </w:r>
      <w:r>
        <w:rPr>
          <w:rStyle w:val="18"/>
        </w:rPr>
        <w:instrText xml:space="preserve"> </w:instrText>
      </w:r>
      <w:r>
        <w:rPr>
          <w:rStyle w:val="18"/>
        </w:rPr>
        <w:fldChar w:fldCharType="separate"/>
      </w:r>
      <w:r>
        <w:rPr>
          <w:rStyle w:val="18"/>
          <w:rFonts w:hint="eastAsia"/>
          <w:shd w:val="clear" w:color="auto" w:fill="FFFFFF"/>
        </w:rPr>
        <w:t>附件</w:t>
      </w:r>
      <w:r>
        <w:rPr>
          <w:rStyle w:val="18"/>
          <w:shd w:val="clear" w:color="auto" w:fill="FFFFFF"/>
        </w:rPr>
        <w:t xml:space="preserve">5 </w:t>
      </w:r>
      <w:r>
        <w:rPr>
          <w:rStyle w:val="18"/>
          <w:rFonts w:hint="eastAsia"/>
          <w:shd w:val="clear" w:color="auto" w:fill="FFFFFF"/>
        </w:rPr>
        <w:t>辐射事故信息公开文稿模版</w:t>
      </w:r>
      <w:r>
        <w:tab/>
      </w:r>
      <w:r>
        <w:fldChar w:fldCharType="begin"/>
      </w:r>
      <w:r>
        <w:instrText xml:space="preserve"> PAGEREF _Toc108453174 \h </w:instrText>
      </w:r>
      <w:r>
        <w:fldChar w:fldCharType="separate"/>
      </w:r>
      <w:r>
        <w:t>36</w:t>
      </w:r>
      <w:r>
        <w:fldChar w:fldCharType="end"/>
      </w:r>
      <w:r>
        <w:rPr>
          <w:rStyle w:val="18"/>
        </w:rPr>
        <w:fldChar w:fldCharType="end"/>
      </w:r>
    </w:p>
    <w:p>
      <w:pPr>
        <w:adjustRightInd w:val="0"/>
        <w:snapToGrid w:val="0"/>
        <w:spacing w:line="360" w:lineRule="auto"/>
        <w:jc w:val="center"/>
        <w:rPr>
          <w:rFonts w:eastAsia="黑体" w:cs="Times New Roman"/>
          <w:sz w:val="36"/>
          <w:szCs w:val="36"/>
        </w:rPr>
        <w:sectPr>
          <w:footerReference r:id="rId6" w:type="default"/>
          <w:pgSz w:w="11907" w:h="16840"/>
          <w:pgMar w:top="1440" w:right="1758" w:bottom="1440" w:left="1758" w:header="851" w:footer="992" w:gutter="0"/>
          <w:pgNumType w:fmt="upperRoman" w:start="1"/>
          <w:cols w:space="720" w:num="1"/>
          <w:docGrid w:linePitch="312" w:charSpace="0"/>
        </w:sectPr>
      </w:pPr>
      <w:r>
        <w:rPr>
          <w:rFonts w:eastAsia="黑体" w:cs="Times New Roman"/>
          <w:sz w:val="36"/>
          <w:szCs w:val="36"/>
        </w:rPr>
        <w:fldChar w:fldCharType="end"/>
      </w:r>
    </w:p>
    <w:p>
      <w:pPr>
        <w:ind w:firstLine="720"/>
        <w:jc w:val="center"/>
        <w:rPr>
          <w:rFonts w:hint="eastAsia" w:ascii="方正小标宋简体" w:hAnsi="方正小标宋简体" w:eastAsia="方正小标宋简体" w:cs="方正小标宋简体"/>
          <w:sz w:val="36"/>
          <w:szCs w:val="36"/>
        </w:rPr>
      </w:pPr>
      <w:bookmarkStart w:id="3" w:name="_Toc98506591"/>
      <w:bookmarkStart w:id="4" w:name="_Toc103938971"/>
      <w:bookmarkStart w:id="5" w:name="_Toc98513314"/>
      <w:bookmarkStart w:id="6" w:name="_Toc90475086"/>
      <w:bookmarkStart w:id="7" w:name="_Toc98493403"/>
      <w:bookmarkStart w:id="8" w:name="_Toc79143516"/>
      <w:bookmarkStart w:id="9" w:name="_Toc90642860"/>
      <w:bookmarkStart w:id="10" w:name="_Toc98493467"/>
      <w:bookmarkStart w:id="11" w:name="_Toc98493333"/>
      <w:r>
        <w:rPr>
          <w:rFonts w:hint="eastAsia" w:ascii="方正小标宋简体" w:hAnsi="方正小标宋简体" w:eastAsia="方正小标宋简体" w:cs="方正小标宋简体"/>
          <w:sz w:val="36"/>
          <w:szCs w:val="36"/>
        </w:rPr>
        <w:t>永州市辐射事故应急预案</w:t>
      </w:r>
      <w:bookmarkEnd w:id="3"/>
      <w:bookmarkEnd w:id="4"/>
      <w:bookmarkEnd w:id="5"/>
      <w:bookmarkEnd w:id="6"/>
      <w:bookmarkEnd w:id="7"/>
      <w:bookmarkEnd w:id="8"/>
      <w:bookmarkEnd w:id="9"/>
      <w:bookmarkEnd w:id="10"/>
      <w:bookmarkEnd w:id="11"/>
    </w:p>
    <w:p>
      <w:pPr>
        <w:pStyle w:val="2"/>
        <w:rPr>
          <w:rFonts w:cs="Times New Roman"/>
        </w:rPr>
      </w:pPr>
      <w:bookmarkStart w:id="12" w:name="_Toc108453111"/>
      <w:r>
        <w:rPr>
          <w:rFonts w:cs="Times New Roman"/>
        </w:rPr>
        <w:t>1总则</w:t>
      </w:r>
      <w:bookmarkEnd w:id="12"/>
    </w:p>
    <w:p>
      <w:pPr>
        <w:pStyle w:val="3"/>
      </w:pPr>
      <w:bookmarkStart w:id="13" w:name="_Toc108453112"/>
      <w:r>
        <w:t>1.1编制目的</w:t>
      </w:r>
      <w:bookmarkEnd w:id="13"/>
    </w:p>
    <w:p>
      <w:pPr>
        <w:adjustRightInd w:val="0"/>
        <w:snapToGrid w:val="0"/>
        <w:spacing w:line="360" w:lineRule="auto"/>
        <w:ind w:firstLine="480" w:firstLineChars="200"/>
        <w:rPr>
          <w:rFonts w:cs="Times New Roman"/>
          <w:szCs w:val="24"/>
        </w:rPr>
      </w:pPr>
      <w:r>
        <w:rPr>
          <w:rFonts w:cs="Times New Roman"/>
          <w:szCs w:val="24"/>
        </w:rPr>
        <w:t>为切实提高我市辐射事故的应急反应能力，及时有效处理处置辐射事故，控制和减轻事故后果，保障从业人员、公众和辐射环境安全，促进经济社会全面协调可持续发展，特制定本预案。</w:t>
      </w:r>
    </w:p>
    <w:p>
      <w:pPr>
        <w:pStyle w:val="3"/>
      </w:pPr>
      <w:bookmarkStart w:id="14" w:name="_Toc108453113"/>
      <w:r>
        <w:t>1.2编制依据</w:t>
      </w:r>
      <w:bookmarkEnd w:id="14"/>
    </w:p>
    <w:p>
      <w:pPr>
        <w:adjustRightInd w:val="0"/>
        <w:snapToGrid w:val="0"/>
        <w:spacing w:line="360" w:lineRule="auto"/>
        <w:ind w:firstLine="480" w:firstLineChars="200"/>
        <w:rPr>
          <w:rFonts w:cs="Times New Roman"/>
          <w:szCs w:val="24"/>
        </w:rPr>
      </w:pPr>
      <w:r>
        <w:rPr>
          <w:rFonts w:cs="Times New Roman"/>
          <w:szCs w:val="24"/>
        </w:rPr>
        <w:t>1.《中华人民共和国放射性污染防治法》；</w:t>
      </w:r>
    </w:p>
    <w:p>
      <w:pPr>
        <w:adjustRightInd w:val="0"/>
        <w:snapToGrid w:val="0"/>
        <w:spacing w:line="360" w:lineRule="auto"/>
        <w:ind w:firstLine="480" w:firstLineChars="200"/>
        <w:rPr>
          <w:rFonts w:cs="Times New Roman"/>
          <w:szCs w:val="24"/>
        </w:rPr>
      </w:pPr>
      <w:r>
        <w:rPr>
          <w:rFonts w:cs="Times New Roman"/>
          <w:szCs w:val="24"/>
        </w:rPr>
        <w:t>2.《中华人民共和国核安全法》；</w:t>
      </w:r>
    </w:p>
    <w:p>
      <w:pPr>
        <w:adjustRightInd w:val="0"/>
        <w:snapToGrid w:val="0"/>
        <w:spacing w:line="360" w:lineRule="auto"/>
        <w:ind w:firstLine="480" w:firstLineChars="200"/>
        <w:rPr>
          <w:rFonts w:cs="Times New Roman"/>
          <w:szCs w:val="24"/>
        </w:rPr>
      </w:pPr>
      <w:r>
        <w:rPr>
          <w:rFonts w:cs="Times New Roman"/>
          <w:szCs w:val="24"/>
        </w:rPr>
        <w:t>3.《中华人民共和国突发事件应对法》；</w:t>
      </w:r>
    </w:p>
    <w:p>
      <w:pPr>
        <w:adjustRightInd w:val="0"/>
        <w:snapToGrid w:val="0"/>
        <w:spacing w:line="360" w:lineRule="auto"/>
        <w:ind w:firstLine="480" w:firstLineChars="200"/>
        <w:rPr>
          <w:rFonts w:cs="Times New Roman"/>
          <w:szCs w:val="24"/>
        </w:rPr>
      </w:pPr>
      <w:r>
        <w:rPr>
          <w:rFonts w:cs="Times New Roman"/>
          <w:szCs w:val="24"/>
        </w:rPr>
        <w:t>4.《放射性同位素与射线装置安全和防护条例》；</w:t>
      </w:r>
    </w:p>
    <w:p>
      <w:pPr>
        <w:adjustRightInd w:val="0"/>
        <w:snapToGrid w:val="0"/>
        <w:spacing w:line="360" w:lineRule="auto"/>
        <w:ind w:firstLine="480" w:firstLineChars="200"/>
        <w:rPr>
          <w:rFonts w:cs="Times New Roman"/>
          <w:szCs w:val="24"/>
        </w:rPr>
      </w:pPr>
      <w:r>
        <w:rPr>
          <w:rFonts w:cs="Times New Roman"/>
          <w:szCs w:val="24"/>
        </w:rPr>
        <w:t>5.《放射性废物安全管理条例》；</w:t>
      </w:r>
    </w:p>
    <w:p>
      <w:pPr>
        <w:adjustRightInd w:val="0"/>
        <w:snapToGrid w:val="0"/>
        <w:spacing w:line="360" w:lineRule="auto"/>
        <w:ind w:firstLine="480" w:firstLineChars="200"/>
        <w:rPr>
          <w:rFonts w:cs="Times New Roman"/>
          <w:szCs w:val="24"/>
        </w:rPr>
      </w:pPr>
      <w:r>
        <w:rPr>
          <w:rFonts w:cs="Times New Roman"/>
          <w:szCs w:val="24"/>
        </w:rPr>
        <w:t>6.《放射性物品运输安全管理条例》；</w:t>
      </w:r>
    </w:p>
    <w:p>
      <w:pPr>
        <w:adjustRightInd w:val="0"/>
        <w:snapToGrid w:val="0"/>
        <w:spacing w:line="360" w:lineRule="auto"/>
        <w:ind w:firstLine="480" w:firstLineChars="200"/>
        <w:rPr>
          <w:rFonts w:cs="Times New Roman"/>
          <w:szCs w:val="24"/>
        </w:rPr>
      </w:pPr>
      <w:r>
        <w:rPr>
          <w:rFonts w:cs="Times New Roman"/>
          <w:szCs w:val="24"/>
        </w:rPr>
        <w:t>7.《电离辐射防护与辐射源安全基本标准》；</w:t>
      </w:r>
    </w:p>
    <w:p>
      <w:pPr>
        <w:adjustRightInd w:val="0"/>
        <w:snapToGrid w:val="0"/>
        <w:spacing w:line="360" w:lineRule="auto"/>
        <w:ind w:firstLine="480" w:firstLineChars="200"/>
        <w:rPr>
          <w:rFonts w:cs="Times New Roman"/>
          <w:szCs w:val="24"/>
        </w:rPr>
      </w:pPr>
      <w:r>
        <w:rPr>
          <w:rFonts w:cs="Times New Roman"/>
          <w:szCs w:val="24"/>
        </w:rPr>
        <w:t>8.《国家突发公共事件总体应急预案》；</w:t>
      </w:r>
    </w:p>
    <w:p>
      <w:pPr>
        <w:adjustRightInd w:val="0"/>
        <w:snapToGrid w:val="0"/>
        <w:spacing w:line="360" w:lineRule="auto"/>
        <w:ind w:firstLine="480" w:firstLineChars="200"/>
        <w:rPr>
          <w:rFonts w:cs="Times New Roman"/>
          <w:szCs w:val="24"/>
        </w:rPr>
      </w:pPr>
      <w:r>
        <w:rPr>
          <w:rFonts w:cs="Times New Roman"/>
          <w:szCs w:val="24"/>
        </w:rPr>
        <w:t>9.《国家突发环境事件应急预案》；</w:t>
      </w:r>
    </w:p>
    <w:p>
      <w:pPr>
        <w:adjustRightInd w:val="0"/>
        <w:snapToGrid w:val="0"/>
        <w:spacing w:line="360" w:lineRule="auto"/>
        <w:ind w:firstLine="480" w:firstLineChars="200"/>
        <w:rPr>
          <w:rFonts w:cs="Times New Roman"/>
          <w:szCs w:val="24"/>
        </w:rPr>
      </w:pPr>
      <w:r>
        <w:rPr>
          <w:rFonts w:cs="Times New Roman"/>
          <w:szCs w:val="24"/>
        </w:rPr>
        <w:t>10.《生态环境部（国家核安全局）辐射事故应急预案》；</w:t>
      </w:r>
    </w:p>
    <w:p>
      <w:pPr>
        <w:adjustRightInd w:val="0"/>
        <w:snapToGrid w:val="0"/>
        <w:spacing w:line="360" w:lineRule="auto"/>
        <w:ind w:firstLine="480" w:firstLineChars="200"/>
        <w:rPr>
          <w:rFonts w:cs="Times New Roman"/>
          <w:szCs w:val="24"/>
        </w:rPr>
      </w:pPr>
      <w:r>
        <w:rPr>
          <w:rFonts w:cs="Times New Roman"/>
          <w:szCs w:val="24"/>
        </w:rPr>
        <w:t>11.《生态环境部(国家核安全局)核与辐射安全监管信息公开方案(试行)》；</w:t>
      </w:r>
    </w:p>
    <w:p>
      <w:pPr>
        <w:adjustRightInd w:val="0"/>
        <w:snapToGrid w:val="0"/>
        <w:spacing w:line="360" w:lineRule="auto"/>
        <w:ind w:firstLine="480" w:firstLineChars="200"/>
        <w:rPr>
          <w:rFonts w:cs="Times New Roman"/>
          <w:szCs w:val="24"/>
        </w:rPr>
      </w:pPr>
      <w:r>
        <w:rPr>
          <w:rFonts w:cs="Times New Roman"/>
          <w:szCs w:val="24"/>
        </w:rPr>
        <w:t>12.《环境保护部信息公开指南》；</w:t>
      </w:r>
    </w:p>
    <w:p>
      <w:pPr>
        <w:adjustRightInd w:val="0"/>
        <w:snapToGrid w:val="0"/>
        <w:spacing w:line="360" w:lineRule="auto"/>
        <w:ind w:firstLine="480" w:firstLineChars="200"/>
        <w:rPr>
          <w:rFonts w:cs="Times New Roman"/>
          <w:szCs w:val="24"/>
        </w:rPr>
      </w:pPr>
      <w:r>
        <w:rPr>
          <w:rFonts w:cs="Times New Roman"/>
          <w:szCs w:val="24"/>
        </w:rPr>
        <w:t>13.《关于建立放射性同位素与射线装置辐射事故分级处理和报告制度的通知》；</w:t>
      </w:r>
    </w:p>
    <w:p>
      <w:pPr>
        <w:adjustRightInd w:val="0"/>
        <w:snapToGrid w:val="0"/>
        <w:spacing w:line="360" w:lineRule="auto"/>
        <w:ind w:firstLine="480" w:firstLineChars="200"/>
        <w:rPr>
          <w:rFonts w:cs="Times New Roman"/>
          <w:szCs w:val="24"/>
        </w:rPr>
      </w:pPr>
      <w:r>
        <w:rPr>
          <w:rFonts w:cs="Times New Roman"/>
          <w:szCs w:val="24"/>
        </w:rPr>
        <w:t>14.《湖南省突发事件总体应急预案》；</w:t>
      </w:r>
    </w:p>
    <w:p>
      <w:pPr>
        <w:adjustRightInd w:val="0"/>
        <w:snapToGrid w:val="0"/>
        <w:spacing w:line="360" w:lineRule="auto"/>
        <w:ind w:firstLine="480" w:firstLineChars="200"/>
        <w:rPr>
          <w:rFonts w:cs="Times New Roman"/>
          <w:szCs w:val="24"/>
        </w:rPr>
      </w:pPr>
      <w:r>
        <w:rPr>
          <w:rFonts w:cs="Times New Roman"/>
          <w:szCs w:val="24"/>
        </w:rPr>
        <w:t>15.《湖南省突发环境事件应急预案》；</w:t>
      </w:r>
    </w:p>
    <w:p>
      <w:pPr>
        <w:adjustRightInd w:val="0"/>
        <w:snapToGrid w:val="0"/>
        <w:spacing w:line="360" w:lineRule="auto"/>
        <w:ind w:firstLine="480" w:firstLineChars="200"/>
        <w:rPr>
          <w:rFonts w:cs="Times New Roman"/>
          <w:szCs w:val="24"/>
        </w:rPr>
      </w:pPr>
      <w:r>
        <w:rPr>
          <w:rFonts w:cs="Times New Roman"/>
          <w:szCs w:val="24"/>
        </w:rPr>
        <w:t>16.《湖南省生态环境厅辐射事故应急预案》；</w:t>
      </w:r>
    </w:p>
    <w:p>
      <w:pPr>
        <w:adjustRightInd w:val="0"/>
        <w:snapToGrid w:val="0"/>
        <w:spacing w:line="360" w:lineRule="auto"/>
        <w:ind w:firstLine="480" w:firstLineChars="200"/>
        <w:rPr>
          <w:rFonts w:cs="Times New Roman"/>
          <w:szCs w:val="24"/>
        </w:rPr>
      </w:pPr>
      <w:r>
        <w:rPr>
          <w:rFonts w:cs="Times New Roman"/>
          <w:szCs w:val="24"/>
        </w:rPr>
        <w:t>17.《永州市突发事件总体应急预案》；</w:t>
      </w:r>
    </w:p>
    <w:p>
      <w:pPr>
        <w:adjustRightInd w:val="0"/>
        <w:snapToGrid w:val="0"/>
        <w:spacing w:line="360" w:lineRule="auto"/>
        <w:ind w:firstLine="480" w:firstLineChars="200"/>
        <w:rPr>
          <w:rFonts w:cs="Times New Roman"/>
          <w:szCs w:val="24"/>
        </w:rPr>
      </w:pPr>
      <w:r>
        <w:rPr>
          <w:rFonts w:cs="Times New Roman"/>
          <w:szCs w:val="24"/>
        </w:rPr>
        <w:t>18.《永州市突发环境事件应急预案》。</w:t>
      </w:r>
    </w:p>
    <w:p>
      <w:pPr>
        <w:pStyle w:val="3"/>
      </w:pPr>
      <w:bookmarkStart w:id="15" w:name="_Toc108453114"/>
      <w:r>
        <w:t>1.3适用范围</w:t>
      </w:r>
      <w:bookmarkEnd w:id="15"/>
    </w:p>
    <w:p>
      <w:pPr>
        <w:adjustRightInd w:val="0"/>
        <w:snapToGrid w:val="0"/>
        <w:spacing w:line="360" w:lineRule="auto"/>
        <w:ind w:firstLine="480" w:firstLineChars="200"/>
        <w:rPr>
          <w:rFonts w:cs="Times New Roman"/>
          <w:szCs w:val="24"/>
        </w:rPr>
      </w:pPr>
      <w:r>
        <w:rPr>
          <w:rFonts w:cs="Times New Roman"/>
          <w:szCs w:val="24"/>
        </w:rPr>
        <w:t>本预案适用于我市行政区域内的辐射事故应急准备、应急响应工作。我市行政区域外发生的对我市造成或可能造成辐射影响的事故应急工作参照本预案。</w:t>
      </w:r>
    </w:p>
    <w:p>
      <w:pPr>
        <w:adjustRightInd w:val="0"/>
        <w:snapToGrid w:val="0"/>
        <w:spacing w:line="360" w:lineRule="auto"/>
        <w:ind w:firstLine="480" w:firstLineChars="200"/>
        <w:rPr>
          <w:rFonts w:cs="Times New Roman"/>
          <w:szCs w:val="24"/>
        </w:rPr>
      </w:pPr>
      <w:r>
        <w:rPr>
          <w:rFonts w:cs="Times New Roman"/>
          <w:szCs w:val="24"/>
        </w:rPr>
        <w:t>本预案适用于核技术利用、放射性物品运输、放射性废物处理、贮存和处置、铀（钍）矿开发利用中放射源丢失、被盗、失控或者放射性物质和射线装置失控导致人员受到意外的异常照射，或者造成环境放射性污染的事件。</w:t>
      </w:r>
    </w:p>
    <w:p>
      <w:pPr>
        <w:pStyle w:val="3"/>
      </w:pPr>
      <w:bookmarkStart w:id="16" w:name="_Toc108453115"/>
      <w:r>
        <w:t>1.4工作原则</w:t>
      </w:r>
      <w:bookmarkEnd w:id="16"/>
    </w:p>
    <w:p>
      <w:pPr>
        <w:spacing w:line="360" w:lineRule="auto"/>
        <w:ind w:firstLine="480" w:firstLineChars="200"/>
        <w:rPr>
          <w:rFonts w:cs="Times New Roman"/>
          <w:szCs w:val="24"/>
        </w:rPr>
      </w:pPr>
      <w:r>
        <w:rPr>
          <w:rFonts w:cs="Times New Roman"/>
          <w:szCs w:val="24"/>
        </w:rPr>
        <w:t>本预案坚持“以人为本、预防为主，统一领导、分类管理，属地为主、分级响应，专兼结合、充分利用现有资源”的工作原则。</w:t>
      </w:r>
    </w:p>
    <w:p>
      <w:pPr>
        <w:pStyle w:val="2"/>
        <w:rPr>
          <w:rFonts w:cs="Times New Roman"/>
        </w:rPr>
      </w:pPr>
      <w:bookmarkStart w:id="17" w:name="_Toc108453116"/>
      <w:r>
        <w:rPr>
          <w:rFonts w:cs="Times New Roman"/>
        </w:rPr>
        <w:t>2辐射事故定义与分级</w:t>
      </w:r>
      <w:bookmarkEnd w:id="17"/>
    </w:p>
    <w:p>
      <w:pPr>
        <w:pStyle w:val="3"/>
      </w:pPr>
      <w:bookmarkStart w:id="18" w:name="_Toc108453117"/>
      <w:r>
        <w:t>2.1辐射事故定义</w:t>
      </w:r>
      <w:bookmarkEnd w:id="18"/>
    </w:p>
    <w:p>
      <w:pPr>
        <w:adjustRightInd w:val="0"/>
        <w:snapToGrid w:val="0"/>
        <w:spacing w:line="360" w:lineRule="auto"/>
        <w:ind w:firstLine="480" w:firstLineChars="200"/>
        <w:rPr>
          <w:rFonts w:cs="Times New Roman"/>
          <w:szCs w:val="24"/>
        </w:rPr>
      </w:pPr>
      <w:r>
        <w:rPr>
          <w:rFonts w:cs="Times New Roman"/>
          <w:szCs w:val="24"/>
        </w:rPr>
        <w:t>本预案中辐射事故主要指下列设施或活动的放射源丢失、被盗、失控，或者放射性物质和射线装置失控导致人员受到意外的异常照射，或者造成环境放射性污染的事件。主要包括：</w:t>
      </w:r>
    </w:p>
    <w:p>
      <w:pPr>
        <w:adjustRightInd w:val="0"/>
        <w:snapToGrid w:val="0"/>
        <w:spacing w:line="360" w:lineRule="auto"/>
        <w:ind w:firstLine="480" w:firstLineChars="200"/>
        <w:rPr>
          <w:rFonts w:cs="Times New Roman"/>
          <w:szCs w:val="24"/>
        </w:rPr>
      </w:pPr>
      <w:r>
        <w:rPr>
          <w:rFonts w:cs="Times New Roman"/>
          <w:szCs w:val="24"/>
        </w:rPr>
        <w:t>（1）核技术利用；</w:t>
      </w:r>
    </w:p>
    <w:p>
      <w:pPr>
        <w:adjustRightInd w:val="0"/>
        <w:snapToGrid w:val="0"/>
        <w:spacing w:line="360" w:lineRule="auto"/>
        <w:ind w:firstLine="480" w:firstLineChars="200"/>
        <w:rPr>
          <w:rFonts w:cs="Times New Roman"/>
          <w:szCs w:val="24"/>
        </w:rPr>
      </w:pPr>
      <w:r>
        <w:rPr>
          <w:rFonts w:cs="Times New Roman"/>
          <w:szCs w:val="24"/>
        </w:rPr>
        <w:t>（2）放射性物品运输；</w:t>
      </w:r>
    </w:p>
    <w:p>
      <w:pPr>
        <w:adjustRightInd w:val="0"/>
        <w:snapToGrid w:val="0"/>
        <w:spacing w:line="360" w:lineRule="auto"/>
        <w:ind w:firstLine="480" w:firstLineChars="200"/>
        <w:rPr>
          <w:rFonts w:cs="Times New Roman"/>
          <w:szCs w:val="24"/>
        </w:rPr>
      </w:pPr>
      <w:r>
        <w:rPr>
          <w:rFonts w:cs="Times New Roman"/>
          <w:szCs w:val="24"/>
        </w:rPr>
        <w:t>（3）放射性废物的处理、贮存和处置；</w:t>
      </w:r>
    </w:p>
    <w:p>
      <w:pPr>
        <w:adjustRightInd w:val="0"/>
        <w:snapToGrid w:val="0"/>
        <w:spacing w:line="360" w:lineRule="auto"/>
        <w:ind w:firstLine="480" w:firstLineChars="200"/>
        <w:rPr>
          <w:rFonts w:cs="Times New Roman"/>
          <w:szCs w:val="24"/>
        </w:rPr>
      </w:pPr>
      <w:r>
        <w:rPr>
          <w:rFonts w:cs="Times New Roman"/>
          <w:szCs w:val="24"/>
        </w:rPr>
        <w:t>（4）铀（钍）矿及伴生矿开发利用。</w:t>
      </w:r>
    </w:p>
    <w:p>
      <w:pPr>
        <w:adjustRightInd w:val="0"/>
        <w:snapToGrid w:val="0"/>
        <w:spacing w:line="360" w:lineRule="auto"/>
        <w:ind w:firstLine="480" w:firstLineChars="200"/>
        <w:rPr>
          <w:rFonts w:cs="Times New Roman"/>
          <w:szCs w:val="24"/>
        </w:rPr>
      </w:pPr>
      <w:r>
        <w:rPr>
          <w:rFonts w:cs="Times New Roman"/>
          <w:szCs w:val="24"/>
        </w:rPr>
        <w:t>国内外航天器在我市境内坠落造成的环境放射性污染事件，以及可能对我市环境造成辐射影响的境外核与辐射事故、事件的应对工作，参照本预案执行。</w:t>
      </w:r>
    </w:p>
    <w:p>
      <w:pPr>
        <w:pStyle w:val="3"/>
      </w:pPr>
      <w:bookmarkStart w:id="19" w:name="_Toc108453118"/>
      <w:r>
        <w:t>2.2辐射事故分级</w:t>
      </w:r>
      <w:bookmarkEnd w:id="19"/>
    </w:p>
    <w:p>
      <w:pPr>
        <w:adjustRightInd w:val="0"/>
        <w:snapToGrid w:val="0"/>
        <w:spacing w:line="360" w:lineRule="auto"/>
        <w:ind w:firstLine="480" w:firstLineChars="200"/>
        <w:rPr>
          <w:rFonts w:cs="Times New Roman"/>
          <w:szCs w:val="24"/>
        </w:rPr>
      </w:pPr>
      <w:r>
        <w:rPr>
          <w:rFonts w:cs="Times New Roman"/>
          <w:szCs w:val="24"/>
        </w:rPr>
        <w:t>辐射事故一般分为四级，分别是：特别重大辐射事故、重大辐射事故、较大辐射事故、一般辐射事故。</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2.2.1特别重大辐射事故</w:t>
      </w:r>
    </w:p>
    <w:p>
      <w:pPr>
        <w:adjustRightInd w:val="0"/>
        <w:snapToGrid w:val="0"/>
        <w:spacing w:line="360" w:lineRule="auto"/>
        <w:ind w:firstLine="480" w:firstLineChars="200"/>
        <w:rPr>
          <w:rFonts w:cs="Times New Roman"/>
          <w:szCs w:val="24"/>
        </w:rPr>
      </w:pPr>
      <w:r>
        <w:rPr>
          <w:rFonts w:cs="Times New Roman"/>
          <w:szCs w:val="24"/>
        </w:rPr>
        <w:t>凡符合下列情形之一的，为特别重大辐射事故：</w:t>
      </w:r>
    </w:p>
    <w:p>
      <w:pPr>
        <w:adjustRightInd w:val="0"/>
        <w:snapToGrid w:val="0"/>
        <w:spacing w:line="360" w:lineRule="auto"/>
        <w:ind w:firstLine="480" w:firstLineChars="200"/>
        <w:rPr>
          <w:rFonts w:cs="Times New Roman"/>
          <w:szCs w:val="24"/>
        </w:rPr>
      </w:pPr>
      <w:r>
        <w:rPr>
          <w:rFonts w:cs="Times New Roman"/>
          <w:szCs w:val="24"/>
        </w:rPr>
        <w:t>（1）I、II类放射源丢失、被盗、失控并造成大范围严重辐射污染后果；</w:t>
      </w:r>
    </w:p>
    <w:p>
      <w:pPr>
        <w:adjustRightInd w:val="0"/>
        <w:snapToGrid w:val="0"/>
        <w:spacing w:line="360" w:lineRule="auto"/>
        <w:ind w:firstLine="480" w:firstLineChars="200"/>
        <w:rPr>
          <w:rFonts w:cs="Times New Roman"/>
          <w:szCs w:val="24"/>
        </w:rPr>
      </w:pPr>
      <w:r>
        <w:rPr>
          <w:rFonts w:cs="Times New Roman"/>
          <w:szCs w:val="24"/>
        </w:rPr>
        <w:t>（2）放射性同位素和射线装置失控导致3人及以上急性死亡；</w:t>
      </w:r>
    </w:p>
    <w:p>
      <w:pPr>
        <w:adjustRightInd w:val="0"/>
        <w:snapToGrid w:val="0"/>
        <w:spacing w:line="360" w:lineRule="auto"/>
        <w:ind w:firstLine="480" w:firstLineChars="200"/>
        <w:rPr>
          <w:rFonts w:cs="Times New Roman"/>
          <w:szCs w:val="24"/>
        </w:rPr>
      </w:pPr>
      <w:r>
        <w:rPr>
          <w:rFonts w:cs="Times New Roman"/>
          <w:szCs w:val="24"/>
        </w:rPr>
        <w:t>（3）放射性物质泄漏，造成大范围辐射污染后果；</w:t>
      </w:r>
    </w:p>
    <w:p>
      <w:pPr>
        <w:adjustRightInd w:val="0"/>
        <w:snapToGrid w:val="0"/>
        <w:spacing w:line="360" w:lineRule="auto"/>
        <w:ind w:firstLine="480" w:firstLineChars="200"/>
        <w:rPr>
          <w:rFonts w:cs="Times New Roman"/>
          <w:szCs w:val="24"/>
        </w:rPr>
      </w:pPr>
      <w:r>
        <w:rPr>
          <w:rFonts w:cs="Times New Roman"/>
          <w:szCs w:val="24"/>
        </w:rPr>
        <w:t>（4）对我国境内可能或已经造成较大范围辐射环境影响的航天器坠落事件。</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2.2.2重大辐射事故</w:t>
      </w:r>
    </w:p>
    <w:p>
      <w:pPr>
        <w:adjustRightInd w:val="0"/>
        <w:snapToGrid w:val="0"/>
        <w:spacing w:line="360" w:lineRule="auto"/>
        <w:ind w:firstLine="480" w:firstLineChars="200"/>
        <w:rPr>
          <w:rFonts w:cs="Times New Roman"/>
          <w:szCs w:val="24"/>
        </w:rPr>
      </w:pPr>
      <w:r>
        <w:rPr>
          <w:rFonts w:cs="Times New Roman"/>
          <w:szCs w:val="24"/>
        </w:rPr>
        <w:t>凡符合下列情形之一的，为重大辐射事故：</w:t>
      </w:r>
    </w:p>
    <w:p>
      <w:pPr>
        <w:adjustRightInd w:val="0"/>
        <w:snapToGrid w:val="0"/>
        <w:spacing w:line="360" w:lineRule="auto"/>
        <w:ind w:firstLine="480" w:firstLineChars="200"/>
        <w:rPr>
          <w:rFonts w:cs="Times New Roman"/>
          <w:szCs w:val="24"/>
        </w:rPr>
      </w:pPr>
      <w:r>
        <w:rPr>
          <w:rFonts w:cs="Times New Roman"/>
          <w:szCs w:val="24"/>
        </w:rPr>
        <w:t>（1）I、II类放射源丢失、被盗、失控；</w:t>
      </w:r>
    </w:p>
    <w:p>
      <w:pPr>
        <w:adjustRightInd w:val="0"/>
        <w:snapToGrid w:val="0"/>
        <w:spacing w:line="360" w:lineRule="auto"/>
        <w:ind w:firstLine="480" w:firstLineChars="200"/>
        <w:rPr>
          <w:rFonts w:cs="Times New Roman"/>
          <w:szCs w:val="24"/>
        </w:rPr>
      </w:pPr>
      <w:r>
        <w:rPr>
          <w:rFonts w:cs="Times New Roman"/>
          <w:szCs w:val="24"/>
        </w:rPr>
        <w:t>（2）放射性同位素和射线装置失控导致3人以下急性死亡或者10人及以上急性重度放射病、局部器官残疾；</w:t>
      </w:r>
    </w:p>
    <w:p>
      <w:pPr>
        <w:adjustRightInd w:val="0"/>
        <w:snapToGrid w:val="0"/>
        <w:spacing w:line="360" w:lineRule="auto"/>
        <w:ind w:firstLine="480" w:firstLineChars="200"/>
        <w:rPr>
          <w:rFonts w:cs="Times New Roman"/>
          <w:szCs w:val="24"/>
        </w:rPr>
      </w:pPr>
      <w:r>
        <w:rPr>
          <w:rFonts w:cs="Times New Roman"/>
          <w:szCs w:val="24"/>
        </w:rPr>
        <w:t>（3）放射性物质泄漏，造成较大范围辐射污染后果。</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2.2.3较大辐射事故</w:t>
      </w:r>
    </w:p>
    <w:p>
      <w:pPr>
        <w:adjustRightInd w:val="0"/>
        <w:snapToGrid w:val="0"/>
        <w:spacing w:line="360" w:lineRule="auto"/>
        <w:ind w:firstLine="480" w:firstLineChars="200"/>
        <w:rPr>
          <w:rFonts w:cs="Times New Roman"/>
          <w:szCs w:val="24"/>
        </w:rPr>
      </w:pPr>
      <w:r>
        <w:rPr>
          <w:rFonts w:cs="Times New Roman"/>
          <w:szCs w:val="24"/>
        </w:rPr>
        <w:t>凡符合下列情形之一的，为较大辐射事故：</w:t>
      </w:r>
    </w:p>
    <w:p>
      <w:pPr>
        <w:adjustRightInd w:val="0"/>
        <w:snapToGrid w:val="0"/>
        <w:spacing w:line="360" w:lineRule="auto"/>
        <w:ind w:firstLine="480" w:firstLineChars="200"/>
        <w:rPr>
          <w:rFonts w:cs="Times New Roman"/>
          <w:szCs w:val="24"/>
        </w:rPr>
      </w:pPr>
      <w:r>
        <w:rPr>
          <w:rFonts w:cs="Times New Roman"/>
          <w:szCs w:val="24"/>
        </w:rPr>
        <w:t>（1）III类放射源丢失、被盗、失控；</w:t>
      </w:r>
    </w:p>
    <w:p>
      <w:pPr>
        <w:adjustRightInd w:val="0"/>
        <w:snapToGrid w:val="0"/>
        <w:spacing w:line="360" w:lineRule="auto"/>
        <w:ind w:firstLine="480" w:firstLineChars="200"/>
        <w:rPr>
          <w:rFonts w:cs="Times New Roman"/>
          <w:szCs w:val="24"/>
        </w:rPr>
      </w:pPr>
      <w:r>
        <w:rPr>
          <w:rFonts w:cs="Times New Roman"/>
          <w:szCs w:val="24"/>
        </w:rPr>
        <w:t>（2）放射性同位素和射线装置失控导致10人以下急性重度放射病、局部器官残疾；</w:t>
      </w:r>
    </w:p>
    <w:p>
      <w:pPr>
        <w:adjustRightInd w:val="0"/>
        <w:snapToGrid w:val="0"/>
        <w:spacing w:line="360" w:lineRule="auto"/>
        <w:ind w:firstLine="480" w:firstLineChars="200"/>
        <w:rPr>
          <w:rFonts w:cs="Times New Roman"/>
          <w:szCs w:val="24"/>
        </w:rPr>
      </w:pPr>
      <w:r>
        <w:rPr>
          <w:rFonts w:cs="Times New Roman"/>
          <w:szCs w:val="24"/>
        </w:rPr>
        <w:t>（3）放射性物质泄漏，造成小范围辐射污染后果。</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2.2.4一般辐射事故</w:t>
      </w:r>
    </w:p>
    <w:p>
      <w:pPr>
        <w:adjustRightInd w:val="0"/>
        <w:snapToGrid w:val="0"/>
        <w:spacing w:line="360" w:lineRule="auto"/>
        <w:ind w:firstLine="480" w:firstLineChars="200"/>
        <w:rPr>
          <w:rFonts w:cs="Times New Roman"/>
          <w:szCs w:val="24"/>
        </w:rPr>
      </w:pPr>
      <w:r>
        <w:rPr>
          <w:rFonts w:cs="Times New Roman"/>
          <w:szCs w:val="24"/>
        </w:rPr>
        <w:t>凡符合下列情形之一的，为一般辐射事故：</w:t>
      </w:r>
    </w:p>
    <w:p>
      <w:pPr>
        <w:adjustRightInd w:val="0"/>
        <w:snapToGrid w:val="0"/>
        <w:spacing w:line="360" w:lineRule="auto"/>
        <w:ind w:firstLine="480" w:firstLineChars="200"/>
        <w:rPr>
          <w:rFonts w:cs="Times New Roman"/>
          <w:szCs w:val="24"/>
        </w:rPr>
      </w:pPr>
      <w:r>
        <w:rPr>
          <w:rFonts w:cs="Times New Roman"/>
          <w:szCs w:val="24"/>
        </w:rPr>
        <w:t>（1）IV、V类放射源丢失、被盗、失控；</w:t>
      </w:r>
    </w:p>
    <w:p>
      <w:pPr>
        <w:adjustRightInd w:val="0"/>
        <w:snapToGrid w:val="0"/>
        <w:spacing w:line="360" w:lineRule="auto"/>
        <w:ind w:firstLine="480" w:firstLineChars="200"/>
        <w:rPr>
          <w:rFonts w:cs="Times New Roman"/>
          <w:szCs w:val="24"/>
        </w:rPr>
      </w:pPr>
      <w:r>
        <w:rPr>
          <w:rFonts w:cs="Times New Roman"/>
          <w:szCs w:val="24"/>
        </w:rPr>
        <w:t>（2）放射性同位素和射线装置失控导致人员受到超过年剂量限值的照射；</w:t>
      </w:r>
    </w:p>
    <w:p>
      <w:pPr>
        <w:adjustRightInd w:val="0"/>
        <w:snapToGrid w:val="0"/>
        <w:spacing w:line="360" w:lineRule="auto"/>
        <w:ind w:firstLine="480" w:firstLineChars="200"/>
        <w:rPr>
          <w:rFonts w:cs="Times New Roman"/>
          <w:szCs w:val="24"/>
        </w:rPr>
      </w:pPr>
      <w:r>
        <w:rPr>
          <w:rFonts w:cs="Times New Roman"/>
          <w:szCs w:val="24"/>
        </w:rPr>
        <w:t>（3）放射性物质泄漏，造成局部辐射污染后果；</w:t>
      </w:r>
    </w:p>
    <w:p>
      <w:pPr>
        <w:adjustRightInd w:val="0"/>
        <w:snapToGrid w:val="0"/>
        <w:spacing w:line="360" w:lineRule="auto"/>
        <w:ind w:firstLine="480" w:firstLineChars="200"/>
        <w:rPr>
          <w:rFonts w:cs="Times New Roman"/>
          <w:szCs w:val="24"/>
        </w:rPr>
      </w:pPr>
      <w:r>
        <w:rPr>
          <w:rFonts w:cs="Times New Roman"/>
          <w:szCs w:val="24"/>
        </w:rPr>
        <w:t>（4）铀（钍）矿及伴生矿开发利用超标排放，造成环境辐射污染后果；</w:t>
      </w:r>
    </w:p>
    <w:p>
      <w:pPr>
        <w:adjustRightInd w:val="0"/>
        <w:snapToGrid w:val="0"/>
        <w:spacing w:line="360" w:lineRule="auto"/>
        <w:ind w:firstLine="480" w:firstLineChars="200"/>
        <w:rPr>
          <w:rFonts w:cs="Times New Roman"/>
          <w:szCs w:val="24"/>
        </w:rPr>
      </w:pPr>
      <w:r>
        <w:rPr>
          <w:rFonts w:cs="Times New Roman"/>
          <w:szCs w:val="24"/>
        </w:rPr>
        <w:t>（5）测井用放射源落井，打捞不成功进行封井处理。</w:t>
      </w:r>
    </w:p>
    <w:p>
      <w:pPr>
        <w:pStyle w:val="2"/>
        <w:rPr>
          <w:rFonts w:cs="Times New Roman"/>
        </w:rPr>
      </w:pPr>
      <w:bookmarkStart w:id="20" w:name="_Toc108453119"/>
      <w:r>
        <w:rPr>
          <w:rFonts w:cs="Times New Roman"/>
        </w:rPr>
        <w:t>3组织体系及职责</w:t>
      </w:r>
      <w:bookmarkEnd w:id="20"/>
    </w:p>
    <w:p>
      <w:pPr>
        <w:adjustRightInd w:val="0"/>
        <w:snapToGrid w:val="0"/>
        <w:spacing w:line="360" w:lineRule="auto"/>
        <w:ind w:firstLine="480" w:firstLineChars="200"/>
        <w:rPr>
          <w:rFonts w:cs="Times New Roman"/>
          <w:szCs w:val="24"/>
        </w:rPr>
      </w:pPr>
      <w:r>
        <w:rPr>
          <w:rFonts w:cs="Times New Roman"/>
          <w:szCs w:val="24"/>
        </w:rPr>
        <w:t>永州市辐射事故应急组织由</w:t>
      </w:r>
      <w:r>
        <w:rPr>
          <w:rFonts w:hint="eastAsia" w:cs="Times New Roman"/>
          <w:szCs w:val="24"/>
          <w:lang w:eastAsia="zh-CN"/>
        </w:rPr>
        <w:t>永州市应急救援总指挥部下设专项指挥部</w:t>
      </w:r>
      <w:r>
        <w:rPr>
          <w:rFonts w:cs="Times New Roman"/>
          <w:szCs w:val="24"/>
        </w:rPr>
        <w:t>永州市生态环境应急指挥部统一指挥，设市生态环境应急指挥部办公室，市生态环境应急指挥部办公室下设专家咨询组、应急处置组、应急监测组、信息综合组、后勤保障组和应急后续协调组。具体应急组织设置可以根据事故类型和工作需要适当调整。应急组织体系如图1所示。</w:t>
      </w:r>
    </w:p>
    <w:p>
      <w:pPr>
        <w:adjustRightInd w:val="0"/>
        <w:snapToGrid w:val="0"/>
        <w:spacing w:line="360" w:lineRule="auto"/>
        <w:jc w:val="center"/>
        <w:rPr>
          <w:rFonts w:cs="Times New Roman"/>
          <w:szCs w:val="24"/>
        </w:rPr>
      </w:pPr>
      <w:r>
        <w:rPr>
          <w:rFonts w:cs="Times New Roman"/>
          <w:szCs w:val="24"/>
        </w:rPr>
        <mc:AlternateContent>
          <mc:Choice Requires="wpc">
            <w:drawing>
              <wp:anchor distT="0" distB="0" distL="114300" distR="114300" simplePos="0" relativeHeight="251661312" behindDoc="1" locked="0" layoutInCell="1" allowOverlap="1">
                <wp:simplePos x="0" y="0"/>
                <wp:positionH relativeFrom="margin">
                  <wp:align>right</wp:align>
                </wp:positionH>
                <wp:positionV relativeFrom="page">
                  <wp:posOffset>942975</wp:posOffset>
                </wp:positionV>
                <wp:extent cx="5328285" cy="3257550"/>
                <wp:effectExtent l="0" t="0" r="5715" b="0"/>
                <wp:wrapTight wrapText="bothSides">
                  <wp:wrapPolygon>
                    <wp:start x="0" y="0"/>
                    <wp:lineTo x="0" y="21474"/>
                    <wp:lineTo x="21546" y="21474"/>
                    <wp:lineTo x="21546" y="0"/>
                    <wp:lineTo x="0" y="0"/>
                  </wp:wrapPolygon>
                </wp:wrapTight>
                <wp:docPr id="42" name="画布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4" name="文本框 44"/>
                        <wps:cNvSpPr txBox="1"/>
                        <wps:spPr>
                          <a:xfrm>
                            <a:off x="1570651" y="269876"/>
                            <a:ext cx="2073096" cy="311150"/>
                          </a:xfrm>
                          <a:prstGeom prst="rect">
                            <a:avLst/>
                          </a:prstGeom>
                          <a:solidFill>
                            <a:schemeClr val="lt1"/>
                          </a:solidFill>
                          <a:ln w="6350">
                            <a:solidFill>
                              <a:prstClr val="black"/>
                            </a:solidFill>
                          </a:ln>
                        </wps:spPr>
                        <wps:txbx>
                          <w:txbxContent>
                            <w:p>
                              <w:pPr>
                                <w:spacing w:line="240" w:lineRule="auto"/>
                                <w:jc w:val="center"/>
                                <w:rPr>
                                  <w:szCs w:val="24"/>
                                </w:rPr>
                              </w:pPr>
                              <w:r>
                                <w:rPr>
                                  <w:rFonts w:hint="eastAsia" w:cs="Times New Roman"/>
                                  <w:bCs/>
                                  <w:kern w:val="0"/>
                                  <w:szCs w:val="24"/>
                                </w:rPr>
                                <w:t>市生态环境应急指挥部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 name="直接箭头连接符 45"/>
                        <wps:cNvCnPr/>
                        <wps:spPr>
                          <a:xfrm>
                            <a:off x="2590800" y="581026"/>
                            <a:ext cx="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文本框 44"/>
                        <wps:cNvSpPr txBox="1"/>
                        <wps:spPr>
                          <a:xfrm>
                            <a:off x="1570649" y="949326"/>
                            <a:ext cx="2267059" cy="269874"/>
                          </a:xfrm>
                          <a:prstGeom prst="rect">
                            <a:avLst/>
                          </a:prstGeom>
                          <a:solidFill>
                            <a:schemeClr val="lt1"/>
                          </a:solidFill>
                          <a:ln w="6350">
                            <a:solidFill>
                              <a:prstClr val="black"/>
                            </a:solidFill>
                          </a:ln>
                        </wps:spPr>
                        <wps:txbx>
                          <w:txbxContent>
                            <w:p>
                              <w:pPr>
                                <w:adjustRightInd w:val="0"/>
                                <w:snapToGrid w:val="0"/>
                                <w:spacing w:line="240" w:lineRule="auto"/>
                                <w:jc w:val="center"/>
                                <w:rPr>
                                  <w:rFonts w:hAnsi="仿宋" w:cs="Times New Roman"/>
                                  <w:szCs w:val="24"/>
                                </w:rPr>
                              </w:pPr>
                              <w:r>
                                <w:rPr>
                                  <w:rFonts w:hint="eastAsia" w:cs="Times New Roman"/>
                                  <w:bCs/>
                                  <w:kern w:val="0"/>
                                  <w:szCs w:val="24"/>
                                </w:rPr>
                                <w:t>市生态环境应急指挥部</w:t>
                              </w:r>
                              <w:r>
                                <w:rPr>
                                  <w:rFonts w:hint="eastAsia" w:hAnsi="仿宋" w:cs="Times New Roman"/>
                                </w:rPr>
                                <w:t>办公室</w:t>
                              </w:r>
                            </w:p>
                          </w:txbxContent>
                        </wps:txbx>
                        <wps:bodyPr rot="0" spcFirstLastPara="0" vert="horz" wrap="square" lIns="91440" tIns="45720" rIns="91440" bIns="45720" numCol="1" spcCol="0" rtlCol="0" fromWordArt="0" anchor="t" anchorCtr="0" forceAA="0" compatLnSpc="1">
                          <a:noAutofit/>
                        </wps:bodyPr>
                      </wps:wsp>
                      <wps:wsp>
                        <wps:cNvPr id="47" name="直接连接符 47"/>
                        <wps:cNvCnPr/>
                        <wps:spPr>
                          <a:xfrm>
                            <a:off x="2585850" y="1258076"/>
                            <a:ext cx="0" cy="35800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直接连接符 48"/>
                        <wps:cNvCnPr/>
                        <wps:spPr>
                          <a:xfrm flipV="1">
                            <a:off x="647700" y="1616076"/>
                            <a:ext cx="3960000" cy="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直接箭头连接符 49"/>
                        <wps:cNvCnPr/>
                        <wps:spPr>
                          <a:xfrm>
                            <a:off x="654050" y="162242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文本框 50"/>
                        <wps:cNvSpPr txBox="1"/>
                        <wps:spPr>
                          <a:xfrm>
                            <a:off x="476250" y="1914526"/>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专家咨询组</w:t>
                              </w:r>
                            </w:p>
                          </w:txbxContent>
                        </wps:txbx>
                        <wps:bodyPr rot="0" spcFirstLastPara="0" vertOverflow="overflow" horzOverflow="overflow" vert="eaVert" wrap="square" lIns="91440" tIns="45720" rIns="91440" bIns="45720" numCol="1" spcCol="0" rtlCol="0" fromWordArt="0" anchor="t" anchorCtr="0" forceAA="0" compatLnSpc="1">
                          <a:noAutofit/>
                        </wps:bodyPr>
                      </wps:wsp>
                      <wps:wsp>
                        <wps:cNvPr id="51" name="直接箭头连接符 51"/>
                        <wps:cNvCnPr/>
                        <wps:spPr>
                          <a:xfrm>
                            <a:off x="1488100" y="163732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 name="直接箭头连接符 53"/>
                        <wps:cNvCnPr/>
                        <wps:spPr>
                          <a:xfrm>
                            <a:off x="4616450" y="161607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 name="直接箭头连接符 54"/>
                        <wps:cNvCnPr/>
                        <wps:spPr>
                          <a:xfrm>
                            <a:off x="3793150" y="163317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5" name="直接箭头连接符 55"/>
                        <wps:cNvCnPr/>
                        <wps:spPr>
                          <a:xfrm>
                            <a:off x="2947800" y="163317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6" name="文本框 50"/>
                        <wps:cNvSpPr txBox="1"/>
                        <wps:spPr>
                          <a:xfrm>
                            <a:off x="1297600" y="1925276"/>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应急处置组</w:t>
                              </w:r>
                            </w:p>
                          </w:txbxContent>
                        </wps:txbx>
                        <wps:bodyPr rot="0" spcFirstLastPara="0" vert="eaVert" wrap="square" lIns="91440" tIns="45720" rIns="91440" bIns="45720" numCol="1" spcCol="0" rtlCol="0" fromWordArt="0" anchor="t" anchorCtr="0" forceAA="0" compatLnSpc="1">
                          <a:noAutofit/>
                        </wps:bodyPr>
                      </wps:wsp>
                      <wps:wsp>
                        <wps:cNvPr id="57" name="文本框 50"/>
                        <wps:cNvSpPr txBox="1"/>
                        <wps:spPr>
                          <a:xfrm>
                            <a:off x="2777150" y="1940176"/>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信息综合组</w:t>
                              </w:r>
                            </w:p>
                          </w:txbxContent>
                        </wps:txbx>
                        <wps:bodyPr rot="0" spcFirstLastPara="0" vert="eaVert" wrap="square" lIns="91440" tIns="45720" rIns="91440" bIns="45720" numCol="1" spcCol="0" rtlCol="0" fromWordArt="0" anchor="t" anchorCtr="0" forceAA="0" compatLnSpc="1">
                          <a:noAutofit/>
                        </wps:bodyPr>
                      </wps:wsp>
                      <wps:wsp>
                        <wps:cNvPr id="58" name="文本框 50"/>
                        <wps:cNvSpPr txBox="1"/>
                        <wps:spPr>
                          <a:xfrm>
                            <a:off x="3602650" y="1938950"/>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后勤保障组</w:t>
                              </w:r>
                            </w:p>
                            <w:p>
                              <w:pPr>
                                <w:adjustRightInd w:val="0"/>
                                <w:snapToGrid w:val="0"/>
                                <w:spacing w:line="240" w:lineRule="auto"/>
                                <w:jc w:val="center"/>
                              </w:pPr>
                            </w:p>
                          </w:txbxContent>
                        </wps:txbx>
                        <wps:bodyPr rot="0" spcFirstLastPara="0" vert="eaVert" wrap="square" lIns="91440" tIns="45720" rIns="91440" bIns="45720" numCol="1" spcCol="0" rtlCol="0" fromWordArt="0" anchor="t" anchorCtr="0" forceAA="0" compatLnSpc="1">
                          <a:noAutofit/>
                        </wps:bodyPr>
                      </wps:wsp>
                      <wps:wsp>
                        <wps:cNvPr id="60" name="文本框 50"/>
                        <wps:cNvSpPr txBox="1"/>
                        <wps:spPr>
                          <a:xfrm>
                            <a:off x="4440850" y="1929426"/>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应急后续协调组</w:t>
                              </w:r>
                            </w:p>
                          </w:txbxContent>
                        </wps:txbx>
                        <wps:bodyPr rot="0" spcFirstLastPara="0" vert="eaVert" wrap="square" lIns="91440" tIns="45720" rIns="91440" bIns="45720" numCol="1" spcCol="0" rtlCol="0" fromWordArt="0" anchor="t" anchorCtr="0" forceAA="0" compatLnSpc="1">
                          <a:noAutofit/>
                        </wps:bodyPr>
                      </wps:wsp>
                      <wps:wsp>
                        <wps:cNvPr id="21" name="文本框 50"/>
                        <wps:cNvSpPr txBox="1"/>
                        <wps:spPr>
                          <a:xfrm>
                            <a:off x="2002450" y="1929426"/>
                            <a:ext cx="374650" cy="1196975"/>
                          </a:xfrm>
                          <a:prstGeom prst="rect">
                            <a:avLst/>
                          </a:prstGeom>
                          <a:solidFill>
                            <a:schemeClr val="lt1"/>
                          </a:solidFill>
                          <a:ln w="6350">
                            <a:solidFill>
                              <a:prstClr val="black"/>
                            </a:solidFill>
                          </a:ln>
                        </wps:spPr>
                        <wps:txbx>
                          <w:txbxContent>
                            <w:p>
                              <w:pPr>
                                <w:adjustRightInd w:val="0"/>
                                <w:snapToGrid w:val="0"/>
                                <w:spacing w:line="240" w:lineRule="auto"/>
                                <w:jc w:val="center"/>
                              </w:pPr>
                              <w:r>
                                <w:rPr>
                                  <w:rFonts w:hint="eastAsia"/>
                                </w:rPr>
                                <w:t>应急监测组</w:t>
                              </w:r>
                            </w:p>
                          </w:txbxContent>
                        </wps:txbx>
                        <wps:bodyPr rot="0" spcFirstLastPara="0" vert="eaVert" wrap="square" lIns="91440" tIns="45720" rIns="91440" bIns="45720" numCol="1" spcCol="0" rtlCol="0" fromWordArt="0" anchor="t" anchorCtr="0" forceAA="0" compatLnSpc="1">
                          <a:noAutofit/>
                        </wps:bodyPr>
                      </wps:wsp>
                      <wps:wsp>
                        <wps:cNvPr id="22" name="直接箭头连接符 22"/>
                        <wps:cNvCnPr/>
                        <wps:spPr>
                          <a:xfrm>
                            <a:off x="2169455" y="1641726"/>
                            <a:ext cx="0" cy="29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anchor>
            </w:drawing>
          </mc:Choice>
          <mc:Fallback>
            <w:pict>
              <v:group id="_x0000_s1026" o:spid="_x0000_s1026" o:spt="203" style="position:absolute;left:0pt;margin-top:74.25pt;height:256.5pt;width:419.55pt;mso-position-horizontal:right;mso-position-horizontal-relative:margin;mso-position-vertical-relative:page;mso-wrap-distance-left:9pt;mso-wrap-distance-right:9pt;z-index:-251655168;mso-width-relative:page;mso-height-relative:page;" coordsize="5328285,3257550" wrapcoords="0 0 0 21474 21546 21474 21546 0 0 0" editas="canvas" o:gfxdata="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">
                <o:lock v:ext="edit" aspectratio="f"/>
                <v:shape id="_x0000_s1026" o:spid="_x0000_s1026" style="position:absolute;left:0;top:0;height:3257550;width:5328285;" fillcolor="#FFFFFF" filled="t" stroked="f" coordsize="21600,21600" o:gfxdata="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">
                  <v:fill on="t" focussize="0,0"/>
                  <v:stroke on="f"/>
                  <v:imagedata o:title=""/>
                  <o:lock v:ext="edit" aspectratio="t"/>
                </v:shape>
                <v:shape id="_x0000_s1026" o:spid="_x0000_s1026" o:spt="202" type="#_x0000_t202" style="position:absolute;left:1570651;top:269876;height:311150;width:2073096;" fillcolor="#FFFFFF [3201]" filled="t" stroked="t" coordsize="21600,21600" o:gfxdata="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AHYz9YAAAAIAQAADwAAAAAAAAABACAAAAAiAAAAZHJzL2Rvd25yZXYueG1sUEsBAhQA&#10;FAAAAAgAh07iQA2WkltmAgAAxAQAAA4AAAAAAAAAAQAgAAAAJQEAAGRycy9lMm9Eb2MueG1sUEsF&#10;BgAAAAAGAAYAWQEAAP0FAAAAAA==&#10;">
                  <v:fill on="t" focussize="0,0"/>
                  <v:stroke weight="0.5pt" color="#000000" joinstyle="round"/>
                  <v:imagedata o:title=""/>
                  <o:lock v:ext="edit" aspectratio="f"/>
                  <v:textbox>
                    <w:txbxContent>
                      <w:p>
                        <w:pPr>
                          <w:spacing w:line="240" w:lineRule="auto"/>
                          <w:jc w:val="center"/>
                          <w:rPr>
                            <w:szCs w:val="24"/>
                          </w:rPr>
                        </w:pPr>
                        <w:r>
                          <w:rPr>
                            <w:rFonts w:hint="eastAsia" w:cs="Times New Roman"/>
                            <w:bCs/>
                            <w:kern w:val="0"/>
                            <w:szCs w:val="24"/>
                          </w:rPr>
                          <w:t>市生态环境应急指挥部</w:t>
                        </w:r>
                      </w:p>
                    </w:txbxContent>
                  </v:textbox>
                </v:shape>
                <v:shape id="_x0000_s1026" o:spid="_x0000_s1026" o:spt="32" type="#_x0000_t32" style="position:absolute;left:2590800;top:581026;height:34925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UYVq1gAAAAgBAAAPAAAAAAAA&#10;AAEAIAAAACIAAABkcnMvZG93bnJldi54bWxQSwECFAAUAAAACACHTuJAcLAHehQCAADtAwAADgAA&#10;AAAAAAABACAAAAAlAQAAZHJzL2Uyb0RvYy54bWxQSwUGAAAAAAYABgBZAQAAqwUAAAAA&#10;">
                  <v:fill on="f" focussize="0,0"/>
                  <v:stroke weight="0.5pt" color="#000000 [3200]" miterlimit="8" joinstyle="miter" endarrow="block"/>
                  <v:imagedata o:title=""/>
                  <o:lock v:ext="edit" aspectratio="f"/>
                </v:shape>
                <v:shape id="文本框 44" o:spid="_x0000_s1026" o:spt="202" type="#_x0000_t202" style="position:absolute;left:1570649;top:949326;height:269874;width:2267059;" fillcolor="#FFFFFF [3201]" filled="t" stroked="t" coordsize="21600,21600" o:gfxdata="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AHYz9YAAAAI&#10;AQAADwAAAAAAAAABACAAAAAiAAAAZHJzL2Rvd25yZXYueG1sUEsBAhQAFAAAAAgAh07iQFE3r71X&#10;AgAAlAQAAA4AAAAAAAAAAQAgAAAAJQEAAGRycy9lMm9Eb2MueG1sUEsFBgAAAAAGAAYAWQEAAO4F&#10;AAAAAA==&#10;">
                  <v:fill on="t" focussize="0,0"/>
                  <v:stroke weight="0.5pt" color="#000000" joinstyle="round"/>
                  <v:imagedata o:title=""/>
                  <o:lock v:ext="edit" aspectratio="f"/>
                  <v:textbox>
                    <w:txbxContent>
                      <w:p>
                        <w:pPr>
                          <w:adjustRightInd w:val="0"/>
                          <w:snapToGrid w:val="0"/>
                          <w:spacing w:line="240" w:lineRule="auto"/>
                          <w:jc w:val="center"/>
                          <w:rPr>
                            <w:rFonts w:hAnsi="仿宋" w:cs="Times New Roman"/>
                            <w:szCs w:val="24"/>
                          </w:rPr>
                        </w:pPr>
                        <w:r>
                          <w:rPr>
                            <w:rFonts w:hint="eastAsia" w:cs="Times New Roman"/>
                            <w:bCs/>
                            <w:kern w:val="0"/>
                            <w:szCs w:val="24"/>
                          </w:rPr>
                          <w:t>市生态环境应急指挥部</w:t>
                        </w:r>
                        <w:r>
                          <w:rPr>
                            <w:rFonts w:hint="eastAsia" w:hAnsi="仿宋" w:cs="Times New Roman"/>
                          </w:rPr>
                          <w:t>办公室</w:t>
                        </w:r>
                      </w:p>
                    </w:txbxContent>
                  </v:textbox>
                </v:shape>
                <v:line id="_x0000_s1026" o:spid="_x0000_s1026" o:spt="20" style="position:absolute;left:2585850;top:1258076;height:358000;width:0;" filled="f" stroked="t" coordsize="21600,21600" o:gfxdata="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ZlZFPXAAAACAEAAA8AAAAAAAAAAQAgAAAAIgAAAGRycy9kb3ducmV2LnhtbFBLAQIUABQAAAAI&#10;AIdO4kAvCCZn7gEAAL4DAAAOAAAAAAAAAAEAIAAAACYBAABkcnMvZTJvRG9jLnhtbFBLBQYAAAAA&#10;BgAGAFkBAACGBQAAAAA=&#10;">
                  <v:fill on="f" focussize="0,0"/>
                  <v:stroke weight="0.5pt" color="#000000 [3200]" miterlimit="8" joinstyle="miter"/>
                  <v:imagedata o:title=""/>
                  <o:lock v:ext="edit" aspectratio="f"/>
                </v:line>
                <v:line id="_x0000_s1026" o:spid="_x0000_s1026" o:spt="20" style="position:absolute;left:647700;top:1616076;flip:y;height:0;width:3960000;" filled="f" stroked="t" coordsize="21600,21600" o:gfxdata="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nuIM7XAAAACAEAAA8AAAAAAAAAAQAgAAAAIgAAAGRycy9kb3ducmV2LnhtbFBL&#10;AQIUABQAAAAIAIdO4kDlkuNk9wEAAMgDAAAOAAAAAAAAAAEAIAAAACYBAABkcnMvZTJvRG9jLnht&#10;bFBLBQYAAAAABgAGAFkBAACPBQAAAAA=&#10;">
                  <v:fill on="f" focussize="0,0"/>
                  <v:stroke weight="0.5pt" color="#000000 [3200]" miterlimit="8" joinstyle="miter"/>
                  <v:imagedata o:title=""/>
                  <o:lock v:ext="edit" aspectratio="f"/>
                </v:line>
                <v:shape id="_x0000_s1026" o:spid="_x0000_s1026" o:spt="32" type="#_x0000_t32" style="position:absolute;left:654050;top:162242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FGFatYAAAAIAQAADwAAAAAAAAAB&#10;ACAAAAAiAAAAZHJzL2Rvd25yZXYueG1sUEsBAhQAFAAAAAgAh07iQLA99G8SAgAA7QMAAA4AAAAA&#10;AAAAAQAgAAAAJQEAAGRycy9lMm9Eb2MueG1sUEsFBgAAAAAGAAYAWQEAAKkFAAAAAA==&#10;">
                  <v:fill on="f" focussize="0,0"/>
                  <v:stroke weight="0.5pt" color="#000000 [3200]" miterlimit="8" joinstyle="miter" endarrow="block"/>
                  <v:imagedata o:title=""/>
                  <o:lock v:ext="edit" aspectratio="f"/>
                </v:shape>
                <v:shape id="_x0000_s1026" o:spid="_x0000_s1026" o:spt="202" type="#_x0000_t202" style="position:absolute;left:476250;top:1914526;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OyV63VAAAACAEAAA8AAAAAAAAAAQAgAAAAIgAAAGRycy9kb3ducmV2LnhtbFBLAQIUABQAAAAI&#10;AIdO4kAGXGesYgIAAMYEAAAOAAAAAAAAAAEAIAAAACQBAABkcnMvZTJvRG9jLnhtbFBLBQYAAAAA&#10;BgAGAFkBAAD4BQ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专家咨询组</w:t>
                        </w:r>
                      </w:p>
                    </w:txbxContent>
                  </v:textbox>
                </v:shape>
                <v:shape id="_x0000_s1026" o:spid="_x0000_s1026" o:spt="32" type="#_x0000_t32" style="position:absolute;left:1488100;top:163732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RRhWrWAAAACAEAAA8AAAAAAAAAAQAg&#10;AAAAIgAAAGRycy9kb3ducmV2LnhtbFBLAQIUABQAAAAIAIdO4kACeIRJEAIAAO4DAAAOAAAAAAAA&#10;AAEAIAAAACUBAABkcnMvZTJvRG9jLnhtbFBLBQYAAAAABgAGAFkBAACnBQAAAAA=&#10;">
                  <v:fill on="f" focussize="0,0"/>
                  <v:stroke weight="0.5pt" color="#000000 [3200]" miterlimit="8" joinstyle="miter" endarrow="block"/>
                  <v:imagedata o:title=""/>
                  <o:lock v:ext="edit" aspectratio="f"/>
                </v:shape>
                <v:shape id="_x0000_s1026" o:spid="_x0000_s1026" o:spt="32" type="#_x0000_t32" style="position:absolute;left:4616450;top:161607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FGFatYAAAAIAQAADwAAAAAAAAAB&#10;ACAAAAAiAAAAZHJzL2Rvd25yZXYueG1sUEsBAhQAFAAAAAgAh07iQGda3mASAgAA7gMAAA4AAAAA&#10;AAAAAQAgAAAAJQEAAGRycy9lMm9Eb2MueG1sUEsFBgAAAAAGAAYAWQEAAKkFAAAAAA==&#10;">
                  <v:fill on="f" focussize="0,0"/>
                  <v:stroke weight="0.5pt" color="#000000 [3200]" miterlimit="8" joinstyle="miter" endarrow="block"/>
                  <v:imagedata o:title=""/>
                  <o:lock v:ext="edit" aspectratio="f"/>
                </v:shape>
                <v:shape id="_x0000_s1026" o:spid="_x0000_s1026" o:spt="32" type="#_x0000_t32" style="position:absolute;left:3793150;top:163317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UYVq1gAAAAgBAAAPAAAAAAAA&#10;AAEAIAAAACIAAABkcnMvZG93bnJldi54bWxQSwECFAAUAAAACACHTuJAthq9oxQCAADuAwAADgAA&#10;AAAAAAABACAAAAAlAQAAZHJzL2Uyb0RvYy54bWxQSwUGAAAAAAYABgBZAQAAqwUAAAAA&#10;">
                  <v:fill on="f" focussize="0,0"/>
                  <v:stroke weight="0.5pt" color="#000000 [3200]" miterlimit="8" joinstyle="miter" endarrow="block"/>
                  <v:imagedata o:title=""/>
                  <o:lock v:ext="edit" aspectratio="f"/>
                </v:shape>
                <v:shape id="_x0000_s1026" o:spid="_x0000_s1026" o:spt="32" type="#_x0000_t32" style="position:absolute;left:2947800;top:163317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RRhWrWAAAACAEAAA8AAAAAAAAA&#10;AQAgAAAAIgAAAGRycy9kb3ducmV2LnhtbFBLAQIUABQAAAAIAIdO4kAaLUpWEwIAAO4DAAAOAAAA&#10;AAAAAAEAIAAAACUBAABkcnMvZTJvRG9jLnhtbFBLBQYAAAAABgAGAFkBAACqBQAAAAA=&#10;">
                  <v:fill on="f" focussize="0,0"/>
                  <v:stroke weight="0.5pt" color="#000000 [3200]" miterlimit="8" joinstyle="miter" endarrow="block"/>
                  <v:imagedata o:title=""/>
                  <o:lock v:ext="edit" aspectratio="f"/>
                </v:shape>
                <v:shape id="文本框 50" o:spid="_x0000_s1026" o:spt="202" type="#_x0000_t202" style="position:absolute;left:1297600;top:1925276;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zslet1QAAAAgBAAAPAAAA&#10;AAAAAAEAIAAAACIAAABkcnMvZG93bnJldi54bWxQSwECFAAUAAAACACHTuJA6pkx7lECAACXBAAA&#10;DgAAAAAAAAABACAAAAAkAQAAZHJzL2Uyb0RvYy54bWxQSwUGAAAAAAYABgBZAQAA5wU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应急处置组</w:t>
                        </w:r>
                      </w:p>
                    </w:txbxContent>
                  </v:textbox>
                </v:shape>
                <v:shape id="文本框 50" o:spid="_x0000_s1026" o:spt="202" type="#_x0000_t202" style="position:absolute;left:2777150;top:1940176;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zslet1QAAAAgBAAAPAAAA&#10;AAAAAAEAIAAAACIAAABkcnMvZG93bnJldi54bWxQSwECFAAUAAAACACHTuJAJEzV0lECAACXBAAA&#10;DgAAAAAAAAABACAAAAAkAQAAZHJzL2Uyb0RvYy54bWxQSwUGAAAAAAYABgBZAQAA5wU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信息综合组</w:t>
                        </w:r>
                      </w:p>
                    </w:txbxContent>
                  </v:textbox>
                </v:shape>
                <v:shape id="文本框 50" o:spid="_x0000_s1026" o:spt="202" type="#_x0000_t202" style="position:absolute;left:3602650;top:1938950;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s7JXrdUAAAAIAQAADwAAAAAA&#10;AAABACAAAAAiAAAAZHJzL2Rvd25yZXYueG1sUEsBAhQAFAAAAAgAh07iQBghG7ZPAgAAlwQAAA4A&#10;AAAAAAAAAQAgAAAAJAEAAGRycy9lMm9Eb2MueG1sUEsFBgAAAAAGAAYAWQEAAOUFA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后勤保障组</w:t>
                        </w:r>
                      </w:p>
                      <w:p>
                        <w:pPr>
                          <w:adjustRightInd w:val="0"/>
                          <w:snapToGrid w:val="0"/>
                          <w:spacing w:line="240" w:lineRule="auto"/>
                          <w:jc w:val="center"/>
                        </w:pPr>
                      </w:p>
                    </w:txbxContent>
                  </v:textbox>
                </v:shape>
                <v:shape id="文本框 50" o:spid="_x0000_s1026" o:spt="202" type="#_x0000_t202" style="position:absolute;left:4440850;top:1929426;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zslet1QAAAAgBAAAPAAAA&#10;AAAAAAEAIAAAACIAAABkcnMvZG93bnJldi54bWxQSwECFAAUAAAACACHTuJAcWosPlECAACXBAAA&#10;DgAAAAAAAAABACAAAAAkAQAAZHJzL2Uyb0RvYy54bWxQSwUGAAAAAAYABgBZAQAA5wU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应急后续协调组</w:t>
                        </w:r>
                      </w:p>
                    </w:txbxContent>
                  </v:textbox>
                </v:shape>
                <v:shape id="文本框 50" o:spid="_x0000_s1026" o:spt="202" type="#_x0000_t202" style="position:absolute;left:2002450;top:1929426;height:1196975;width:374650;" fillcolor="#FFFFFF [3201]" filled="t" stroked="t" coordsize="21600,21600" o:gfxdata="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zslet1QAAAAgBAAAPAAAA&#10;AAAAAAEAIAAAACIAAABkcnMvZG93bnJldi54bWxQSwECFAAUAAAACACHTuJAznCb01ECAACXBAAA&#10;DgAAAAAAAAABACAAAAAkAQAAZHJzL2Uyb0RvYy54bWxQSwUGAAAAAAYABgBZAQAA5wUAAAAA&#10;">
                  <v:fill on="t" focussize="0,0"/>
                  <v:stroke weight="0.5pt" color="#000000" joinstyle="round"/>
                  <v:imagedata o:title=""/>
                  <o:lock v:ext="edit" aspectratio="f"/>
                  <v:textbox style="layout-flow:vertical-ideographic;">
                    <w:txbxContent>
                      <w:p>
                        <w:pPr>
                          <w:adjustRightInd w:val="0"/>
                          <w:snapToGrid w:val="0"/>
                          <w:spacing w:line="240" w:lineRule="auto"/>
                          <w:jc w:val="center"/>
                        </w:pPr>
                        <w:r>
                          <w:rPr>
                            <w:rFonts w:hint="eastAsia"/>
                          </w:rPr>
                          <w:t>应急监测组</w:t>
                        </w:r>
                      </w:p>
                    </w:txbxContent>
                  </v:textbox>
                </v:shape>
                <v:shape id="_x0000_s1026" o:spid="_x0000_s1026" o:spt="32" type="#_x0000_t32" style="position:absolute;left:2169455;top:1641726;height:292100;width:0;" filled="f" stroked="t" coordsize="21600,21600" o:gfxdata="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0UYVq1gAAAAgBAAAPAAAAAAAA&#10;AAEAIAAAACIAAABkcnMvZG93bnJldi54bWxQSwECFAAUAAAACACHTuJASVlsuxQCAADuAwAADgAA&#10;AAAAAAABACAAAAAlAQAAZHJzL2Uyb0RvYy54bWxQSwUGAAAAAAYABgBZAQAAqwUAAAAA&#10;">
                  <v:fill on="f" focussize="0,0"/>
                  <v:stroke weight="0.5pt" color="#000000 [3200]" miterlimit="8" joinstyle="miter" endarrow="block"/>
                  <v:imagedata o:title=""/>
                  <o:lock v:ext="edit" aspectratio="f"/>
                </v:shape>
                <w10:wrap type="tight"/>
              </v:group>
            </w:pict>
          </mc:Fallback>
        </mc:AlternateContent>
      </w:r>
      <w:r>
        <w:rPr>
          <w:rFonts w:cs="Times New Roman"/>
          <w:b/>
          <w:bCs/>
          <w:sz w:val="21"/>
          <w:szCs w:val="21"/>
        </w:rPr>
        <w:t>图1  永州市辐射事故应急组织体系图</w:t>
      </w:r>
    </w:p>
    <w:p>
      <w:pPr>
        <w:pStyle w:val="3"/>
      </w:pPr>
      <w:bookmarkStart w:id="21" w:name="_Toc108453120"/>
    </w:p>
    <w:p>
      <w:pPr>
        <w:pStyle w:val="3"/>
      </w:pPr>
      <w:r>
        <w:t>3.1市生态环境应急指挥部</w:t>
      </w:r>
      <w:bookmarkEnd w:id="21"/>
    </w:p>
    <w:p>
      <w:pPr>
        <w:adjustRightInd w:val="0"/>
        <w:snapToGrid w:val="0"/>
        <w:spacing w:line="360" w:lineRule="auto"/>
        <w:ind w:firstLine="480" w:firstLineChars="200"/>
        <w:rPr>
          <w:rFonts w:cs="Times New Roman"/>
          <w:szCs w:val="24"/>
        </w:rPr>
      </w:pPr>
      <w:r>
        <w:rPr>
          <w:rFonts w:cs="Times New Roman"/>
          <w:szCs w:val="24"/>
        </w:rPr>
        <w:t>永州</w:t>
      </w:r>
      <w:r>
        <w:rPr>
          <w:rFonts w:cs="Times New Roman"/>
          <w:bCs/>
          <w:kern w:val="0"/>
          <w:szCs w:val="24"/>
        </w:rPr>
        <w:t>市生态环境应急指挥部</w:t>
      </w:r>
      <w:r>
        <w:rPr>
          <w:rFonts w:cs="Times New Roman"/>
          <w:szCs w:val="24"/>
        </w:rPr>
        <w:t>为永州市辐射事故应急</w:t>
      </w:r>
      <w:r>
        <w:rPr>
          <w:rFonts w:hint="eastAsia" w:cs="Times New Roman"/>
          <w:szCs w:val="24"/>
          <w:lang w:eastAsia="zh-CN"/>
        </w:rPr>
        <w:t>指挥</w:t>
      </w:r>
      <w:r>
        <w:rPr>
          <w:rFonts w:cs="Times New Roman"/>
          <w:szCs w:val="24"/>
        </w:rPr>
        <w:t>机构。</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3.1.1市生态环境应急指挥部组成</w:t>
      </w:r>
    </w:p>
    <w:p>
      <w:pPr>
        <w:adjustRightInd w:val="0"/>
        <w:snapToGrid w:val="0"/>
        <w:spacing w:line="360" w:lineRule="auto"/>
        <w:ind w:firstLine="480" w:firstLineChars="200"/>
        <w:rPr>
          <w:rFonts w:cs="Times New Roman"/>
          <w:szCs w:val="24"/>
        </w:rPr>
      </w:pPr>
      <w:r>
        <w:rPr>
          <w:rFonts w:cs="Times New Roman"/>
          <w:szCs w:val="24"/>
        </w:rPr>
        <w:t>总指挥：市政府分管副市长</w:t>
      </w:r>
    </w:p>
    <w:p>
      <w:pPr>
        <w:adjustRightInd w:val="0"/>
        <w:snapToGrid w:val="0"/>
        <w:spacing w:line="360" w:lineRule="auto"/>
        <w:ind w:firstLine="480" w:firstLineChars="200"/>
        <w:rPr>
          <w:rFonts w:cs="Times New Roman"/>
          <w:color w:val="333333"/>
          <w:szCs w:val="24"/>
          <w:shd w:val="clear" w:color="auto" w:fill="FFFFFF"/>
        </w:rPr>
      </w:pPr>
      <w:r>
        <w:rPr>
          <w:rFonts w:cs="Times New Roman"/>
          <w:szCs w:val="24"/>
        </w:rPr>
        <w:t>副总指挥：</w:t>
      </w:r>
      <w:r>
        <w:rPr>
          <w:rFonts w:cs="Times New Roman"/>
          <w:color w:val="333333"/>
          <w:szCs w:val="24"/>
          <w:shd w:val="clear" w:color="auto" w:fill="FFFFFF"/>
        </w:rPr>
        <w:t>市政府分管副秘书长、市生态环境局局长</w:t>
      </w:r>
    </w:p>
    <w:p>
      <w:pPr>
        <w:widowControl/>
        <w:shd w:val="clear" w:color="auto" w:fill="FFFFFF"/>
        <w:adjustRightInd w:val="0"/>
        <w:snapToGrid w:val="0"/>
        <w:spacing w:line="360" w:lineRule="auto"/>
        <w:ind w:firstLine="480" w:firstLineChars="200"/>
        <w:rPr>
          <w:rFonts w:cs="Times New Roman"/>
          <w:b/>
          <w:bCs/>
          <w:kern w:val="0"/>
          <w:szCs w:val="24"/>
        </w:rPr>
      </w:pPr>
      <w:r>
        <w:rPr>
          <w:rFonts w:cs="Times New Roman"/>
          <w:szCs w:val="24"/>
        </w:rPr>
        <w:t>成 员：</w:t>
      </w:r>
      <w:r>
        <w:rPr>
          <w:rFonts w:cs="Times New Roman"/>
        </w:rPr>
        <w:t>市生态环境局、市公安局、市工信局、</w:t>
      </w:r>
      <w:r>
        <w:rPr>
          <w:rFonts w:cs="Times New Roman"/>
          <w:lang w:val="en"/>
        </w:rPr>
        <w:t>市卫生健康委</w:t>
      </w:r>
      <w:r>
        <w:rPr>
          <w:rFonts w:cs="Times New Roman"/>
        </w:rPr>
        <w:t>、市财政局、市交通运输局、市委宣传部（市政府新闻办）、</w:t>
      </w:r>
      <w:r>
        <w:rPr>
          <w:rFonts w:cs="Times New Roman"/>
          <w:lang w:val="en"/>
        </w:rPr>
        <w:t>市应急管理局</w:t>
      </w:r>
      <w:r>
        <w:rPr>
          <w:rFonts w:cs="Times New Roman"/>
        </w:rPr>
        <w:t>、市民政局、永州军分区战备建设处、武警永州支队、市消防救援支队、各区（市）政府等单位的分管领导组成。</w:t>
      </w:r>
    </w:p>
    <w:p>
      <w:pPr>
        <w:widowControl/>
        <w:shd w:val="clear" w:color="auto" w:fill="FFFFFF"/>
        <w:spacing w:line="360" w:lineRule="auto"/>
        <w:rPr>
          <w:rFonts w:cs="Times New Roman"/>
          <w:b/>
          <w:bCs/>
          <w:kern w:val="0"/>
          <w:szCs w:val="24"/>
        </w:rPr>
      </w:pPr>
      <w:r>
        <w:rPr>
          <w:rFonts w:cs="Times New Roman"/>
          <w:b/>
          <w:bCs/>
          <w:kern w:val="0"/>
          <w:szCs w:val="24"/>
        </w:rPr>
        <w:t>3.1.2市生态环境应急指挥部职责</w:t>
      </w:r>
    </w:p>
    <w:p>
      <w:pPr>
        <w:widowControl/>
        <w:shd w:val="clear" w:color="auto" w:fill="FFFFFF"/>
        <w:spacing w:line="360" w:lineRule="auto"/>
        <w:rPr>
          <w:rFonts w:cs="Times New Roman"/>
        </w:rPr>
      </w:pPr>
      <w:r>
        <w:rPr>
          <w:rFonts w:hint="eastAsia" w:cs="Times New Roman"/>
          <w:b/>
          <w:bCs/>
          <w:kern w:val="0"/>
          <w:szCs w:val="24"/>
          <w:lang w:val="en-US" w:eastAsia="zh-CN"/>
        </w:rPr>
        <w:t xml:space="preserve">     </w:t>
      </w:r>
      <w:r>
        <w:rPr>
          <w:rFonts w:cs="Times New Roman"/>
          <w:szCs w:val="24"/>
        </w:rPr>
        <w:t>统一组织和</w:t>
      </w:r>
      <w:r>
        <w:rPr>
          <w:rFonts w:hint="eastAsia" w:cs="Times New Roman"/>
          <w:szCs w:val="24"/>
          <w:lang w:eastAsia="zh-CN"/>
        </w:rPr>
        <w:t>指导</w:t>
      </w:r>
      <w:r>
        <w:rPr>
          <w:rFonts w:cs="Times New Roman"/>
          <w:szCs w:val="24"/>
        </w:rPr>
        <w:t>全市</w:t>
      </w:r>
      <w:r>
        <w:rPr>
          <w:rFonts w:hint="eastAsia" w:cs="Times New Roman"/>
          <w:szCs w:val="24"/>
          <w:lang w:eastAsia="zh-CN"/>
        </w:rPr>
        <w:t>突发环境事故的应急准备和响应行动，在辐射事故应急和响应行动中的具体职责：</w:t>
      </w:r>
    </w:p>
    <w:p>
      <w:pPr>
        <w:widowControl/>
        <w:shd w:val="clear" w:color="auto" w:fill="FFFFFF"/>
        <w:spacing w:line="360" w:lineRule="auto"/>
        <w:ind w:firstLine="480" w:firstLineChars="200"/>
        <w:rPr>
          <w:rFonts w:cs="Times New Roman"/>
        </w:rPr>
      </w:pPr>
      <w:r>
        <w:rPr>
          <w:rFonts w:cs="Times New Roman"/>
        </w:rPr>
        <w:t>（1）</w:t>
      </w:r>
      <w:r>
        <w:rPr>
          <w:rFonts w:cs="Times New Roman"/>
          <w:szCs w:val="24"/>
        </w:rPr>
        <w:t>指挥和协调各成员单位及有关部门做好辐射事故应急处置和救援、事故调查、信息通报和事故处理等工作；</w:t>
      </w:r>
    </w:p>
    <w:p>
      <w:pPr>
        <w:adjustRightInd w:val="0"/>
        <w:snapToGrid w:val="0"/>
        <w:spacing w:line="360" w:lineRule="auto"/>
        <w:ind w:firstLine="480" w:firstLineChars="200"/>
        <w:rPr>
          <w:rFonts w:cs="Times New Roman"/>
        </w:rPr>
      </w:pPr>
      <w:r>
        <w:rPr>
          <w:rFonts w:cs="Times New Roman"/>
        </w:rPr>
        <w:t>（2）</w:t>
      </w:r>
      <w:r>
        <w:rPr>
          <w:rFonts w:cs="Times New Roman"/>
          <w:szCs w:val="24"/>
        </w:rPr>
        <w:t>贯彻执行国家及湖南省辐射事故应急管理和市政府关于突发公共事件应急管理的方针政策，建立健全全市辐射事故应急网络体系，组织制定和实施市辐射事故应急预案；</w:t>
      </w:r>
    </w:p>
    <w:p>
      <w:pPr>
        <w:adjustRightInd w:val="0"/>
        <w:snapToGrid w:val="0"/>
        <w:spacing w:line="360" w:lineRule="auto"/>
        <w:ind w:firstLine="480" w:firstLineChars="200"/>
        <w:rPr>
          <w:rFonts w:cs="Times New Roman"/>
          <w:lang w:val="en"/>
        </w:rPr>
      </w:pPr>
      <w:r>
        <w:rPr>
          <w:rFonts w:cs="Times New Roman"/>
        </w:rPr>
        <w:t>（3）</w:t>
      </w:r>
      <w:r>
        <w:rPr>
          <w:rFonts w:cs="Times New Roman"/>
          <w:szCs w:val="24"/>
        </w:rPr>
        <w:t>负责应急期间市辐射事故应急组织与外部应急组织（如省政府，省生态环境厅等单位）的联络与信息交换工作，</w:t>
      </w:r>
      <w:r>
        <w:rPr>
          <w:rFonts w:cs="Times New Roman"/>
          <w:lang w:val="en"/>
        </w:rPr>
        <w:t>审议批准下属各应急组织机构和成员单位提请审议的重要事项；</w:t>
      </w:r>
    </w:p>
    <w:p>
      <w:pPr>
        <w:adjustRightInd w:val="0"/>
        <w:snapToGrid w:val="0"/>
        <w:spacing w:line="360" w:lineRule="auto"/>
        <w:ind w:firstLine="480" w:firstLineChars="200"/>
        <w:rPr>
          <w:rFonts w:cs="Times New Roman"/>
          <w:lang w:val="en"/>
        </w:rPr>
      </w:pPr>
      <w:r>
        <w:rPr>
          <w:rFonts w:cs="Times New Roman"/>
          <w:szCs w:val="24"/>
        </w:rPr>
        <w:t>（4）</w:t>
      </w:r>
      <w:r>
        <w:rPr>
          <w:rFonts w:cs="Times New Roman"/>
          <w:lang w:val="en"/>
        </w:rPr>
        <w:t>协调解决事故现场及外围救护所需的人员、物资、器材装备和救援资金，协调</w:t>
      </w:r>
      <w:r>
        <w:rPr>
          <w:rFonts w:cs="Times New Roman"/>
        </w:rPr>
        <w:t>永州军分区战备建设处、武警永州支队和市消防救援支队</w:t>
      </w:r>
      <w:r>
        <w:rPr>
          <w:rFonts w:cs="Times New Roman"/>
          <w:lang w:val="en"/>
        </w:rPr>
        <w:t>参与应急救援行动；</w:t>
      </w:r>
    </w:p>
    <w:p>
      <w:pPr>
        <w:adjustRightInd w:val="0"/>
        <w:snapToGrid w:val="0"/>
        <w:spacing w:line="360" w:lineRule="auto"/>
        <w:ind w:firstLine="480" w:firstLineChars="200"/>
        <w:rPr>
          <w:rFonts w:cs="Times New Roman"/>
          <w:szCs w:val="24"/>
        </w:rPr>
      </w:pPr>
      <w:r>
        <w:rPr>
          <w:rFonts w:cs="Times New Roman"/>
        </w:rPr>
        <w:t>（5）</w:t>
      </w:r>
      <w:r>
        <w:rPr>
          <w:rFonts w:cs="Times New Roman"/>
          <w:lang w:val="en"/>
        </w:rPr>
        <w:t>事故发生后根据实际情况启动专家咨询组、应急处置组、应急监测组、信息综合组、后勤保障组、应急后续协调组；成立其他有必要成立的小组；调整各小组的成员组成；</w:t>
      </w:r>
    </w:p>
    <w:p>
      <w:pPr>
        <w:adjustRightInd w:val="0"/>
        <w:snapToGrid w:val="0"/>
        <w:spacing w:line="360" w:lineRule="auto"/>
        <w:ind w:firstLine="480" w:firstLineChars="200"/>
        <w:rPr>
          <w:rFonts w:cs="Times New Roman"/>
          <w:szCs w:val="24"/>
        </w:rPr>
      </w:pPr>
      <w:r>
        <w:rPr>
          <w:rFonts w:cs="Times New Roman"/>
          <w:szCs w:val="24"/>
        </w:rPr>
        <w:t>（6）指挥市内一般辐射事故应急响应工作；</w:t>
      </w:r>
    </w:p>
    <w:p>
      <w:pPr>
        <w:adjustRightInd w:val="0"/>
        <w:snapToGrid w:val="0"/>
        <w:spacing w:line="360" w:lineRule="auto"/>
        <w:ind w:firstLine="480" w:firstLineChars="200"/>
        <w:rPr>
          <w:rFonts w:cs="Times New Roman"/>
          <w:szCs w:val="24"/>
        </w:rPr>
      </w:pPr>
      <w:r>
        <w:rPr>
          <w:rFonts w:cs="Times New Roman"/>
          <w:szCs w:val="24"/>
        </w:rPr>
        <w:t>（7）编写并审核向</w:t>
      </w:r>
      <w:r>
        <w:rPr>
          <w:rFonts w:hint="eastAsia" w:cs="Times New Roman"/>
          <w:szCs w:val="24"/>
          <w:lang w:eastAsia="zh-CN"/>
        </w:rPr>
        <w:t>上级</w:t>
      </w:r>
      <w:r>
        <w:rPr>
          <w:rFonts w:cs="Times New Roman"/>
          <w:szCs w:val="24"/>
        </w:rPr>
        <w:t>报送的文件，向市政府等提交的报告，向社会公布的辐射事故信息公开文稿。</w:t>
      </w:r>
    </w:p>
    <w:p>
      <w:pPr>
        <w:pStyle w:val="3"/>
      </w:pPr>
      <w:bookmarkStart w:id="22" w:name="_Toc108453121"/>
      <w:r>
        <w:t>3.2永州市生态环境应急指挥部办公室</w:t>
      </w:r>
      <w:bookmarkEnd w:id="22"/>
    </w:p>
    <w:p>
      <w:pPr>
        <w:adjustRightInd w:val="0"/>
        <w:snapToGrid w:val="0"/>
        <w:spacing w:line="360" w:lineRule="auto"/>
        <w:ind w:firstLine="480" w:firstLineChars="200"/>
        <w:rPr>
          <w:rFonts w:cs="Times New Roman"/>
          <w:szCs w:val="24"/>
        </w:rPr>
      </w:pPr>
      <w:r>
        <w:rPr>
          <w:rFonts w:cs="Times New Roman"/>
          <w:szCs w:val="24"/>
        </w:rPr>
        <w:t>永州市生态环境应急指挥部办公室设在永州市生态环境局，是永州市生态环境应急指挥部的办事机构。</w:t>
      </w:r>
    </w:p>
    <w:p>
      <w:pPr>
        <w:adjustRightInd w:val="0"/>
        <w:snapToGrid w:val="0"/>
        <w:spacing w:line="360" w:lineRule="auto"/>
        <w:ind w:firstLine="480" w:firstLineChars="200"/>
        <w:rPr>
          <w:rFonts w:cs="Times New Roman"/>
          <w:szCs w:val="24"/>
          <w:highlight w:val="none"/>
        </w:rPr>
      </w:pPr>
      <w:r>
        <w:rPr>
          <w:rFonts w:cs="Times New Roman"/>
          <w:szCs w:val="24"/>
          <w:highlight w:val="none"/>
        </w:rPr>
        <w:t>市生态环境应急指挥部办公室职责：</w:t>
      </w:r>
    </w:p>
    <w:p>
      <w:pPr>
        <w:adjustRightInd w:val="0"/>
        <w:snapToGrid w:val="0"/>
        <w:spacing w:line="360" w:lineRule="auto"/>
        <w:ind w:firstLine="480" w:firstLineChars="200"/>
        <w:rPr>
          <w:rFonts w:cs="Times New Roman"/>
          <w:highlight w:val="none"/>
        </w:rPr>
      </w:pPr>
      <w:r>
        <w:rPr>
          <w:rFonts w:cs="Times New Roman"/>
          <w:highlight w:val="none"/>
        </w:rPr>
        <w:t>（1）负责处理</w:t>
      </w:r>
      <w:r>
        <w:rPr>
          <w:rFonts w:cs="Times New Roman"/>
          <w:highlight w:val="none"/>
          <w:lang w:val="en"/>
        </w:rPr>
        <w:t>永州市生态环境应急指挥部</w:t>
      </w:r>
      <w:r>
        <w:rPr>
          <w:rFonts w:cs="Times New Roman"/>
          <w:highlight w:val="none"/>
        </w:rPr>
        <w:t>的日常工作</w:t>
      </w:r>
      <w:r>
        <w:rPr>
          <w:rFonts w:cs="Times New Roman"/>
          <w:szCs w:val="24"/>
          <w:highlight w:val="none"/>
        </w:rPr>
        <w:t>，传达市生态环境应急指挥部的决定事项，落实市生态环境应急指挥部的工作部署；完成市生态环境应急指挥部交办的其它辐射事故应急准备和响应任务；</w:t>
      </w:r>
    </w:p>
    <w:p>
      <w:pPr>
        <w:adjustRightInd w:val="0"/>
        <w:snapToGrid w:val="0"/>
        <w:spacing w:line="360" w:lineRule="auto"/>
        <w:ind w:firstLine="480" w:firstLineChars="200"/>
        <w:rPr>
          <w:rFonts w:cs="Times New Roman"/>
          <w:szCs w:val="24"/>
          <w:highlight w:val="none"/>
        </w:rPr>
      </w:pPr>
      <w:r>
        <w:rPr>
          <w:rFonts w:cs="Times New Roman"/>
          <w:szCs w:val="24"/>
          <w:highlight w:val="none"/>
        </w:rPr>
        <w:t>（2）负责应急期间的现场指挥、通讯联系、信息交换和通报、事故调查处理报告的编写和事故后果的评估等；协调各有关部门和单位应急期间的配合；</w:t>
      </w:r>
    </w:p>
    <w:p>
      <w:pPr>
        <w:adjustRightInd w:val="0"/>
        <w:snapToGrid w:val="0"/>
        <w:spacing w:line="360" w:lineRule="auto"/>
        <w:ind w:firstLine="480" w:firstLineChars="200"/>
        <w:rPr>
          <w:rFonts w:cs="Times New Roman"/>
          <w:szCs w:val="24"/>
          <w:highlight w:val="none"/>
        </w:rPr>
      </w:pPr>
      <w:r>
        <w:rPr>
          <w:rFonts w:cs="Times New Roman"/>
          <w:szCs w:val="24"/>
          <w:highlight w:val="none"/>
        </w:rPr>
        <w:t>（3）负责协助上级辐射安全监管部门调查事故概况及所涉及的源项，分析事故原因、提出事故处置建议措施；</w:t>
      </w:r>
    </w:p>
    <w:p>
      <w:pPr>
        <w:adjustRightInd w:val="0"/>
        <w:snapToGrid w:val="0"/>
        <w:spacing w:line="360" w:lineRule="auto"/>
        <w:ind w:firstLine="480" w:firstLineChars="200"/>
        <w:rPr>
          <w:rFonts w:cs="Times New Roman"/>
          <w:szCs w:val="24"/>
          <w:highlight w:val="none"/>
        </w:rPr>
      </w:pPr>
      <w:r>
        <w:rPr>
          <w:rFonts w:cs="Times New Roman"/>
          <w:szCs w:val="24"/>
          <w:highlight w:val="none"/>
        </w:rPr>
        <w:t>（4）建立和完善辐射事故应急处置和预警机制；</w:t>
      </w:r>
    </w:p>
    <w:p>
      <w:pPr>
        <w:widowControl/>
        <w:shd w:val="clear" w:color="auto" w:fill="FFFFFF"/>
        <w:spacing w:line="360" w:lineRule="auto"/>
        <w:rPr>
          <w:rFonts w:cs="Times New Roman"/>
          <w:b/>
          <w:bCs/>
          <w:kern w:val="0"/>
          <w:szCs w:val="24"/>
        </w:rPr>
      </w:pPr>
      <w:r>
        <w:rPr>
          <w:rFonts w:cs="Times New Roman"/>
          <w:b/>
          <w:bCs/>
          <w:kern w:val="0"/>
          <w:szCs w:val="24"/>
        </w:rPr>
        <w:t>3.2.1专家咨询组</w:t>
      </w:r>
    </w:p>
    <w:p>
      <w:pPr>
        <w:adjustRightInd w:val="0"/>
        <w:snapToGrid w:val="0"/>
        <w:spacing w:line="360" w:lineRule="auto"/>
        <w:ind w:firstLine="480" w:firstLineChars="200"/>
        <w:rPr>
          <w:rFonts w:cs="Times New Roman"/>
        </w:rPr>
      </w:pPr>
      <w:r>
        <w:rPr>
          <w:rFonts w:cs="Times New Roman"/>
          <w:lang w:val="en"/>
        </w:rPr>
        <w:t>永州市生态环境应急指挥部</w:t>
      </w:r>
      <w:r>
        <w:rPr>
          <w:rFonts w:cs="Times New Roman"/>
        </w:rPr>
        <w:t>办公室聘任市生态环境、市公安、市卫生及社会科研单位和核技术利用单位有关专家组成专家咨询组。</w:t>
      </w:r>
    </w:p>
    <w:p>
      <w:pPr>
        <w:adjustRightInd w:val="0"/>
        <w:snapToGrid w:val="0"/>
        <w:spacing w:line="360" w:lineRule="auto"/>
        <w:ind w:firstLine="480" w:firstLineChars="200"/>
        <w:rPr>
          <w:rFonts w:cs="Times New Roman"/>
        </w:rPr>
      </w:pPr>
      <w:r>
        <w:rPr>
          <w:rFonts w:cs="Times New Roman"/>
        </w:rPr>
        <w:t>负责为全市相关单位、部门及公众提供预防和应对辐射事故的技术咨询。根据现场监测结果和事故特征，对辐射事故进行综合分析与评价，预测事故发展情况，提出应急措施及建议，为市生态环境</w:t>
      </w:r>
      <w:r>
        <w:rPr>
          <w:rFonts w:cs="Times New Roman"/>
          <w:lang w:val="en"/>
        </w:rPr>
        <w:t>应急指挥部</w:t>
      </w:r>
      <w:r>
        <w:rPr>
          <w:rFonts w:cs="Times New Roman"/>
        </w:rPr>
        <w:t>决策提供技术支持。必要时，赶赴现场参与事故处理工作；通过分析事故工况、事故源项，编写事故分析、评价报告和后果评价报告。编制、修订本组辐射事故应急实施方案，组织本组辐射事故应急培训与演练。</w:t>
      </w:r>
    </w:p>
    <w:p>
      <w:pPr>
        <w:widowControl/>
        <w:shd w:val="clear" w:color="auto" w:fill="FFFFFF"/>
        <w:spacing w:line="360" w:lineRule="auto"/>
        <w:rPr>
          <w:rFonts w:cs="Times New Roman"/>
          <w:b/>
          <w:bCs/>
          <w:kern w:val="0"/>
          <w:szCs w:val="24"/>
        </w:rPr>
      </w:pPr>
      <w:r>
        <w:rPr>
          <w:rFonts w:cs="Times New Roman"/>
          <w:b/>
          <w:bCs/>
          <w:kern w:val="0"/>
          <w:szCs w:val="24"/>
        </w:rPr>
        <w:t>3.2.2应急处置组</w:t>
      </w:r>
    </w:p>
    <w:p>
      <w:pPr>
        <w:adjustRightInd w:val="0"/>
        <w:snapToGrid w:val="0"/>
        <w:spacing w:line="360" w:lineRule="auto"/>
        <w:ind w:firstLine="480" w:firstLineChars="200"/>
        <w:rPr>
          <w:rFonts w:cs="Times New Roman"/>
        </w:rPr>
      </w:pPr>
      <w:r>
        <w:rPr>
          <w:rFonts w:cs="Times New Roman"/>
        </w:rPr>
        <w:t>由市生态环境局负责组织实施应急处置工作，市公安、市交通运输等</w:t>
      </w:r>
      <w:r>
        <w:rPr>
          <w:rFonts w:cs="Times New Roman"/>
          <w:szCs w:val="24"/>
          <w:shd w:val="clear" w:color="auto" w:fill="FFFFFF"/>
        </w:rPr>
        <w:t>部门和单位负责人</w:t>
      </w:r>
      <w:r>
        <w:rPr>
          <w:rFonts w:cs="Times New Roman"/>
          <w:szCs w:val="24"/>
        </w:rPr>
        <w:t>的相关人员</w:t>
      </w:r>
      <w:r>
        <w:rPr>
          <w:rFonts w:cs="Times New Roman"/>
        </w:rPr>
        <w:t>协助参与。</w:t>
      </w:r>
    </w:p>
    <w:p>
      <w:pPr>
        <w:adjustRightInd w:val="0"/>
        <w:snapToGrid w:val="0"/>
        <w:spacing w:line="360" w:lineRule="auto"/>
        <w:ind w:firstLine="480" w:firstLineChars="200"/>
        <w:rPr>
          <w:rFonts w:cs="Times New Roman"/>
        </w:rPr>
      </w:pPr>
      <w:r>
        <w:rPr>
          <w:rFonts w:cs="Times New Roman"/>
        </w:rPr>
        <w:t>负责丢失、被盗放射源的立案侦测和查找，划定控制区、监督区范围；接到现场指挥部的疏散、撤离指令后，在指挥部的统一组织下，开展紧急情况下的人员疏散、撤离工作；维护撤离区、控制区和安置点的社会治安秩序，保护公民的生命财产安全；负责辐射事故预测、定性定级、后果的分析评价；组织开展辐射污染处理工作；负责指导应急现场的辐射防护工作</w:t>
      </w:r>
      <w:r>
        <w:rPr>
          <w:rFonts w:hint="eastAsia" w:cs="Times New Roman"/>
        </w:rPr>
        <w:t>。</w:t>
      </w:r>
    </w:p>
    <w:p>
      <w:pPr>
        <w:widowControl w:val="0"/>
        <w:shd w:val="clear" w:color="auto" w:fill="auto"/>
        <w:adjustRightInd w:val="0"/>
        <w:snapToGrid w:val="0"/>
        <w:spacing w:line="360" w:lineRule="auto"/>
        <w:ind w:firstLine="0" w:firstLineChars="0"/>
        <w:rPr>
          <w:rFonts w:cs="Times New Roman"/>
          <w:b/>
          <w:bCs/>
          <w:kern w:val="0"/>
          <w:szCs w:val="24"/>
        </w:rPr>
      </w:pPr>
      <w:r>
        <w:rPr>
          <w:rFonts w:cs="Times New Roman"/>
          <w:b/>
          <w:bCs/>
          <w:kern w:val="0"/>
          <w:szCs w:val="24"/>
        </w:rPr>
        <w:t>3.2.3应急监测组</w:t>
      </w:r>
    </w:p>
    <w:p>
      <w:pPr>
        <w:adjustRightInd w:val="0"/>
        <w:snapToGrid w:val="0"/>
        <w:spacing w:line="360" w:lineRule="auto"/>
        <w:ind w:firstLine="480" w:firstLineChars="200"/>
        <w:rPr>
          <w:rFonts w:cs="Times New Roman"/>
        </w:rPr>
      </w:pPr>
      <w:r>
        <w:rPr>
          <w:rFonts w:cs="Times New Roman"/>
        </w:rPr>
        <w:t>由市生态环境局负责组织实施应急监测工作，</w:t>
      </w:r>
      <w:r>
        <w:rPr>
          <w:rFonts w:cs="Times New Roman"/>
          <w:lang w:val="en"/>
        </w:rPr>
        <w:t>市卫生健康委</w:t>
      </w:r>
      <w:r>
        <w:rPr>
          <w:rFonts w:cs="Times New Roman"/>
        </w:rPr>
        <w:t>等</w:t>
      </w:r>
      <w:r>
        <w:rPr>
          <w:rFonts w:cs="Times New Roman"/>
          <w:szCs w:val="24"/>
          <w:shd w:val="clear" w:color="auto" w:fill="FFFFFF"/>
        </w:rPr>
        <w:t>部门和单位负责人</w:t>
      </w:r>
      <w:r>
        <w:rPr>
          <w:rFonts w:cs="Times New Roman"/>
          <w:szCs w:val="24"/>
        </w:rPr>
        <w:t>的相关人员</w:t>
      </w:r>
      <w:r>
        <w:rPr>
          <w:rFonts w:cs="Times New Roman"/>
        </w:rPr>
        <w:t>协助参与。</w:t>
      </w:r>
    </w:p>
    <w:p>
      <w:pPr>
        <w:adjustRightInd w:val="0"/>
        <w:snapToGrid w:val="0"/>
        <w:spacing w:line="360" w:lineRule="auto"/>
        <w:ind w:firstLine="480" w:firstLineChars="200"/>
        <w:rPr>
          <w:rFonts w:cs="Times New Roman"/>
        </w:rPr>
      </w:pPr>
      <w:r>
        <w:rPr>
          <w:rFonts w:cs="Times New Roman"/>
        </w:rPr>
        <w:t>认定或采购有资质和能力的技术支持机构作为应急监测技术支援单位，负责辐射事故后现场的应急监测工作和监测和分析数据的整理、收集和报告。</w:t>
      </w:r>
    </w:p>
    <w:p>
      <w:pPr>
        <w:widowControl/>
        <w:shd w:val="clear" w:color="auto" w:fill="FFFFFF"/>
        <w:spacing w:line="360" w:lineRule="auto"/>
        <w:rPr>
          <w:rFonts w:cs="Times New Roman"/>
          <w:b/>
          <w:bCs/>
          <w:kern w:val="0"/>
          <w:szCs w:val="24"/>
        </w:rPr>
      </w:pPr>
      <w:r>
        <w:rPr>
          <w:rFonts w:cs="Times New Roman"/>
          <w:b/>
          <w:bCs/>
          <w:kern w:val="0"/>
          <w:szCs w:val="24"/>
        </w:rPr>
        <w:t>3.2.4信息综合组</w:t>
      </w:r>
    </w:p>
    <w:p>
      <w:pPr>
        <w:adjustRightInd w:val="0"/>
        <w:snapToGrid w:val="0"/>
        <w:spacing w:line="360" w:lineRule="auto"/>
        <w:ind w:firstLine="480" w:firstLineChars="200"/>
        <w:rPr>
          <w:rFonts w:cs="Times New Roman"/>
        </w:rPr>
      </w:pPr>
      <w:r>
        <w:rPr>
          <w:rFonts w:cs="Times New Roman"/>
        </w:rPr>
        <w:t>由市委宣传部（市政府新闻办）组织实施，市生态环境、公安等</w:t>
      </w:r>
      <w:r>
        <w:rPr>
          <w:rFonts w:cs="Times New Roman"/>
          <w:szCs w:val="24"/>
          <w:shd w:val="clear" w:color="auto" w:fill="FFFFFF"/>
        </w:rPr>
        <w:t>部门和单位负责人</w:t>
      </w:r>
      <w:r>
        <w:rPr>
          <w:rFonts w:cs="Times New Roman"/>
          <w:szCs w:val="24"/>
        </w:rPr>
        <w:t>的相关人员</w:t>
      </w:r>
      <w:r>
        <w:rPr>
          <w:rFonts w:cs="Times New Roman"/>
        </w:rPr>
        <w:t>协助参与。</w:t>
      </w:r>
    </w:p>
    <w:p>
      <w:pPr>
        <w:adjustRightInd w:val="0"/>
        <w:snapToGrid w:val="0"/>
        <w:spacing w:line="360" w:lineRule="auto"/>
        <w:ind w:firstLine="480" w:firstLineChars="200"/>
        <w:rPr>
          <w:rFonts w:cs="Times New Roman"/>
        </w:rPr>
      </w:pPr>
      <w:r>
        <w:rPr>
          <w:rFonts w:cs="Times New Roman"/>
        </w:rPr>
        <w:t>根据</w:t>
      </w:r>
      <w:r>
        <w:rPr>
          <w:rFonts w:cs="Times New Roman"/>
          <w:lang w:val="en"/>
        </w:rPr>
        <w:t>永州市生态环境应急指挥部</w:t>
      </w:r>
      <w:r>
        <w:rPr>
          <w:rFonts w:cs="Times New Roman"/>
        </w:rPr>
        <w:t>安排，开展应急新闻报道，及时发布准确、权威的信息，正确引导社会舆论。</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3.2.5后勤保障组</w:t>
      </w:r>
    </w:p>
    <w:p>
      <w:pPr>
        <w:adjustRightInd w:val="0"/>
        <w:snapToGrid w:val="0"/>
        <w:spacing w:line="360" w:lineRule="auto"/>
        <w:ind w:firstLine="480" w:firstLineChars="200"/>
        <w:rPr>
          <w:rFonts w:cs="Times New Roman"/>
        </w:rPr>
      </w:pPr>
      <w:r>
        <w:rPr>
          <w:rFonts w:cs="Times New Roman"/>
        </w:rPr>
        <w:t>由市生态环境局组织实施，市公安、</w:t>
      </w:r>
      <w:r>
        <w:rPr>
          <w:rFonts w:cs="Times New Roman"/>
          <w:lang w:val="en"/>
        </w:rPr>
        <w:t>市卫生健康委</w:t>
      </w:r>
      <w:r>
        <w:rPr>
          <w:rFonts w:cs="Times New Roman"/>
        </w:rPr>
        <w:t>、市交通运输局、</w:t>
      </w:r>
      <w:r>
        <w:rPr>
          <w:rFonts w:cs="Times New Roman"/>
          <w:lang w:val="en"/>
        </w:rPr>
        <w:t>市应急管理局</w:t>
      </w:r>
      <w:r>
        <w:rPr>
          <w:rFonts w:cs="Times New Roman"/>
        </w:rPr>
        <w:t>等</w:t>
      </w:r>
      <w:r>
        <w:rPr>
          <w:rFonts w:cs="Times New Roman"/>
          <w:szCs w:val="24"/>
          <w:shd w:val="clear" w:color="auto" w:fill="FFFFFF"/>
        </w:rPr>
        <w:t>部门和单位负责人</w:t>
      </w:r>
      <w:r>
        <w:rPr>
          <w:rFonts w:cs="Times New Roman"/>
          <w:szCs w:val="24"/>
        </w:rPr>
        <w:t>的相关人员</w:t>
      </w:r>
      <w:r>
        <w:rPr>
          <w:rFonts w:cs="Times New Roman"/>
        </w:rPr>
        <w:t>协助参与。</w:t>
      </w:r>
    </w:p>
    <w:p>
      <w:pPr>
        <w:adjustRightInd w:val="0"/>
        <w:snapToGrid w:val="0"/>
        <w:spacing w:line="360" w:lineRule="auto"/>
        <w:ind w:firstLine="480" w:firstLineChars="200"/>
        <w:rPr>
          <w:rFonts w:cs="Times New Roman"/>
        </w:rPr>
      </w:pPr>
      <w:r>
        <w:rPr>
          <w:rFonts w:cs="Times New Roman"/>
        </w:rPr>
        <w:t>负责传达现场指挥部下达的指令，并监督落实；负责辐射事故伤员的医疗救治工作和污染人员的洗消工作；负责辐射事故现场周边交通管制和交通秩序维护工作，阻止无关车辆进入控制区；协调解决各现场工作组的后勤保障，向现场指挥部及</w:t>
      </w:r>
      <w:r>
        <w:rPr>
          <w:rFonts w:cs="Times New Roman"/>
          <w:lang w:val="en"/>
        </w:rPr>
        <w:t>永州市生态环境应急指挥部</w:t>
      </w:r>
      <w:r>
        <w:rPr>
          <w:rFonts w:cs="Times New Roman"/>
        </w:rPr>
        <w:t>办公室报告信息并提出有关工作建议。</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3.2.6应急后续协调组</w:t>
      </w:r>
    </w:p>
    <w:p>
      <w:pPr>
        <w:adjustRightInd w:val="0"/>
        <w:snapToGrid w:val="0"/>
        <w:spacing w:line="360" w:lineRule="auto"/>
        <w:ind w:firstLine="480" w:firstLineChars="200"/>
        <w:rPr>
          <w:rFonts w:cs="Times New Roman"/>
        </w:rPr>
      </w:pPr>
      <w:r>
        <w:rPr>
          <w:rFonts w:cs="Times New Roman"/>
        </w:rPr>
        <w:t>由市生态环境局组织实施，市财政局、市民政、市交通运输、市公安、市卫生健康委、市应急管理局等部门和单位负责人的相关人员协助参与。</w:t>
      </w:r>
    </w:p>
    <w:p>
      <w:pPr>
        <w:adjustRightInd w:val="0"/>
        <w:snapToGrid w:val="0"/>
        <w:spacing w:line="360" w:lineRule="auto"/>
        <w:ind w:firstLine="480" w:firstLineChars="200"/>
        <w:rPr>
          <w:rFonts w:cs="Times New Roman"/>
        </w:rPr>
      </w:pPr>
      <w:r>
        <w:rPr>
          <w:rFonts w:cs="Times New Roman"/>
        </w:rPr>
        <w:t>负责市级应对辐射事故应急处置所需经费，保障辐射事故应急处置所需物资的筹集与落实；妥善安排撤离和疏散相关人员的生活，统一组织和分配发放救济物资，做好相关人员心理干预工作；保障应急救援通道（含高速公路、普通公路、市区道路等）的畅通。</w:t>
      </w:r>
    </w:p>
    <w:p>
      <w:pPr>
        <w:pStyle w:val="3"/>
      </w:pPr>
      <w:bookmarkStart w:id="23" w:name="_Toc108453122"/>
      <w:r>
        <w:t>3.3成员单位及职责</w:t>
      </w:r>
      <w:bookmarkEnd w:id="23"/>
    </w:p>
    <w:p>
      <w:pPr>
        <w:adjustRightInd w:val="0"/>
        <w:snapToGrid w:val="0"/>
        <w:spacing w:line="360" w:lineRule="auto"/>
        <w:ind w:firstLine="480" w:firstLineChars="200"/>
        <w:rPr>
          <w:rFonts w:cs="Times New Roman"/>
          <w:color w:val="FF0000"/>
          <w:szCs w:val="24"/>
        </w:rPr>
      </w:pPr>
      <w:r>
        <w:rPr>
          <w:rFonts w:cs="Times New Roman"/>
        </w:rPr>
        <w:t>市生态环境局：根据实际情况，参与制定辐射事故应急预案，做好辐射事故应急准备工作，负责辐射事故12369接警并确认后，及时报告</w:t>
      </w:r>
      <w:r>
        <w:rPr>
          <w:rFonts w:cs="Times New Roman"/>
          <w:lang w:val="en"/>
        </w:rPr>
        <w:t>永州市生态环境应急指挥部</w:t>
      </w:r>
      <w:r>
        <w:rPr>
          <w:rFonts w:cs="Times New Roman"/>
        </w:rPr>
        <w:t>办公室和省生态环境厅；负责辐射事故应急处置的综合协调；负责监督辐射事故应急处置人员的应急防护工作；协调解决辐射事故有关应急装备、物资的筹集准备工作；配合开展紧急情况下的相关人员疏散、撤离工作；负责辖区内一般辐射事故应急响应、事故处理及事故原因调查工作，根据省生态环境厅的应急指令，协助做好辖区内特别重大、重大和较大辐射事故的应急处置工作；组织开展辐射事故现场调查及应急监测分析工作；负责辐射事故信息的收集、整理、报告，组织开展辐射事故信息及应急处置信息的发布和舆论引导工作；组织专家对辐射事故进行预测、定性定级及后果评价，提出控制事态和污染扩大的意见建议；组织开展辐射事故现场污染处理工作；指导监督辐射事故的善后处理工作；协助公安部门监控追缴丢失、被盗的放射源；指导</w:t>
      </w:r>
      <w:r>
        <w:rPr>
          <w:rFonts w:cs="Times New Roman"/>
          <w:szCs w:val="24"/>
        </w:rPr>
        <w:t>区、县（市）级</w:t>
      </w:r>
      <w:r>
        <w:rPr>
          <w:rFonts w:cs="Times New Roman"/>
        </w:rPr>
        <w:t>生态环境部门完成辐射事故应急预案的编写工作，并协助和支援其开展辐射事故应急准备工作。</w:t>
      </w:r>
    </w:p>
    <w:p>
      <w:pPr>
        <w:adjustRightInd w:val="0"/>
        <w:snapToGrid w:val="0"/>
        <w:spacing w:line="360" w:lineRule="auto"/>
        <w:ind w:firstLine="480" w:firstLineChars="200"/>
        <w:rPr>
          <w:rFonts w:cs="Times New Roman"/>
        </w:rPr>
      </w:pPr>
      <w:r>
        <w:rPr>
          <w:rFonts w:cs="Times New Roman"/>
          <w:szCs w:val="24"/>
        </w:rPr>
        <w:t>市工信局：组织协调国网电力部门辐射事故应急行动中的电力和物资保障工作。</w:t>
      </w:r>
    </w:p>
    <w:p>
      <w:pPr>
        <w:adjustRightInd w:val="0"/>
        <w:snapToGrid w:val="0"/>
        <w:spacing w:line="360" w:lineRule="auto"/>
        <w:ind w:firstLine="480" w:firstLineChars="200"/>
        <w:rPr>
          <w:rFonts w:cs="Times New Roman"/>
        </w:rPr>
      </w:pPr>
      <w:r>
        <w:rPr>
          <w:rFonts w:cs="Times New Roman"/>
        </w:rPr>
        <w:t>市公安局：</w:t>
      </w:r>
      <w:r>
        <w:rPr>
          <w:rFonts w:cs="Times New Roman"/>
          <w:szCs w:val="24"/>
        </w:rPr>
        <w:t>参与辐射事故应急响应和事故调查处理工作；负责丢失、被盗放射源的立案、侦察和追缴；指挥、协调事故现场的警戒和交通管理以及事故场外的交通疏导工作，维持事故现场治安秩序，做好群众疏散工作。</w:t>
      </w:r>
    </w:p>
    <w:p>
      <w:pPr>
        <w:adjustRightInd w:val="0"/>
        <w:snapToGrid w:val="0"/>
        <w:spacing w:line="360" w:lineRule="auto"/>
        <w:ind w:firstLine="480" w:firstLineChars="200"/>
        <w:rPr>
          <w:rFonts w:cs="Times New Roman"/>
        </w:rPr>
      </w:pPr>
      <w:r>
        <w:rPr>
          <w:rFonts w:cs="Times New Roman"/>
          <w:lang w:val="en"/>
        </w:rPr>
        <w:t>市卫生健康委</w:t>
      </w:r>
      <w:r>
        <w:rPr>
          <w:rFonts w:cs="Times New Roman"/>
        </w:rPr>
        <w:t>：</w:t>
      </w:r>
      <w:r>
        <w:rPr>
          <w:rFonts w:cs="Times New Roman"/>
          <w:szCs w:val="24"/>
        </w:rPr>
        <w:t>组织辐射事故的</w:t>
      </w:r>
      <w:r>
        <w:rPr>
          <w:rFonts w:hint="eastAsia" w:cs="Times New Roman"/>
          <w:szCs w:val="24"/>
        </w:rPr>
        <w:t>紧急</w:t>
      </w:r>
      <w:r>
        <w:rPr>
          <w:rFonts w:cs="Times New Roman"/>
          <w:szCs w:val="24"/>
        </w:rPr>
        <w:t>医学救援和卫生防疫工作，对可能受照人员及时给予医学检查和处理；参与应急救援行动人员的辐射防护指导、辐射剂量监测与控制；向受到辐射事故影响的公众提供心理咨询服务。</w:t>
      </w:r>
    </w:p>
    <w:p>
      <w:pPr>
        <w:adjustRightInd w:val="0"/>
        <w:snapToGrid w:val="0"/>
        <w:spacing w:line="360" w:lineRule="auto"/>
        <w:ind w:firstLine="480" w:firstLineChars="200"/>
        <w:rPr>
          <w:rFonts w:cs="Times New Roman"/>
        </w:rPr>
      </w:pPr>
      <w:r>
        <w:rPr>
          <w:rFonts w:cs="Times New Roman"/>
        </w:rPr>
        <w:t>市财政局：</w:t>
      </w:r>
      <w:r>
        <w:rPr>
          <w:rFonts w:cs="Times New Roman"/>
          <w:szCs w:val="24"/>
        </w:rPr>
        <w:t>负责辐射事故应急经费的准备，保障应急体系的建设和应急行动经费；</w:t>
      </w:r>
    </w:p>
    <w:p>
      <w:pPr>
        <w:adjustRightInd w:val="0"/>
        <w:snapToGrid w:val="0"/>
        <w:spacing w:line="360" w:lineRule="auto"/>
        <w:ind w:firstLine="480" w:firstLineChars="200"/>
        <w:rPr>
          <w:rFonts w:cs="Times New Roman"/>
        </w:rPr>
      </w:pPr>
      <w:r>
        <w:rPr>
          <w:rFonts w:cs="Times New Roman"/>
        </w:rPr>
        <w:t>市交通运输局：负责落实应急所需物资的运输保障，协助收集、消除道路污染物；</w:t>
      </w:r>
    </w:p>
    <w:p>
      <w:pPr>
        <w:adjustRightInd w:val="0"/>
        <w:snapToGrid w:val="0"/>
        <w:spacing w:line="360" w:lineRule="auto"/>
        <w:ind w:firstLine="480" w:firstLineChars="200"/>
        <w:rPr>
          <w:rFonts w:cs="Times New Roman"/>
        </w:rPr>
      </w:pPr>
      <w:r>
        <w:rPr>
          <w:rFonts w:cs="Times New Roman"/>
        </w:rPr>
        <w:t>市委宣传部（市政府新闻办）：</w:t>
      </w:r>
      <w:r>
        <w:rPr>
          <w:rFonts w:cs="Times New Roman"/>
          <w:szCs w:val="24"/>
          <w:shd w:val="clear" w:color="auto" w:fill="FFFFFF"/>
        </w:rPr>
        <w:t>负责辐射事故应急的信息公开、新闻发布和舆情应对工作。</w:t>
      </w:r>
    </w:p>
    <w:p>
      <w:pPr>
        <w:adjustRightInd w:val="0"/>
        <w:snapToGrid w:val="0"/>
        <w:spacing w:line="360" w:lineRule="auto"/>
        <w:ind w:firstLine="480" w:firstLineChars="200"/>
        <w:rPr>
          <w:rFonts w:cs="Times New Roman"/>
        </w:rPr>
      </w:pPr>
      <w:r>
        <w:rPr>
          <w:rFonts w:cs="Times New Roman"/>
          <w:lang w:val="en"/>
        </w:rPr>
        <w:t>市应急管理局</w:t>
      </w:r>
      <w:r>
        <w:rPr>
          <w:rFonts w:cs="Times New Roman"/>
        </w:rPr>
        <w:t>：参与辐射事故应急响应和事故调查处理工作</w:t>
      </w:r>
      <w:r>
        <w:rPr>
          <w:rFonts w:hint="eastAsia" w:cs="Times New Roman"/>
        </w:rPr>
        <w:t>，</w:t>
      </w:r>
      <w:r>
        <w:rPr>
          <w:rFonts w:cs="Times New Roman"/>
        </w:rPr>
        <w:t>并负责统一调度和分配发放</w:t>
      </w:r>
      <w:r>
        <w:rPr>
          <w:rFonts w:hint="eastAsia" w:ascii="仿宋" w:hAnsi="仿宋"/>
          <w:shd w:val="clear" w:color="auto" w:fill="FFFFFF"/>
        </w:rPr>
        <w:t>救济</w:t>
      </w:r>
      <w:r>
        <w:rPr>
          <w:rFonts w:hint="eastAsia" w:ascii="仿宋" w:hAnsi="仿宋" w:eastAsia="仿宋"/>
          <w:color w:val="auto"/>
          <w:shd w:val="clear" w:color="auto" w:fill="FFFFFF"/>
        </w:rPr>
        <w:t>物资。</w:t>
      </w:r>
    </w:p>
    <w:p>
      <w:pPr>
        <w:autoSpaceDE w:val="0"/>
        <w:autoSpaceDN w:val="0"/>
        <w:adjustRightInd w:val="0"/>
        <w:snapToGrid w:val="0"/>
        <w:spacing w:line="360" w:lineRule="auto"/>
        <w:ind w:firstLine="480" w:firstLineChars="200"/>
        <w:rPr>
          <w:rFonts w:cs="Times New Roman"/>
        </w:rPr>
      </w:pPr>
      <w:r>
        <w:rPr>
          <w:rFonts w:cs="Times New Roman"/>
        </w:rPr>
        <w:t>市民政局：对符合条件的受事件影响群众实施基本生活救助，配合做好伤亡人员的善后处理工作。</w:t>
      </w:r>
    </w:p>
    <w:p>
      <w:pPr>
        <w:adjustRightInd w:val="0"/>
        <w:snapToGrid w:val="0"/>
        <w:spacing w:line="360" w:lineRule="auto"/>
        <w:ind w:firstLine="480" w:firstLineChars="200"/>
        <w:rPr>
          <w:rFonts w:cs="Times New Roman"/>
        </w:rPr>
      </w:pPr>
      <w:r>
        <w:rPr>
          <w:rFonts w:cs="Times New Roman"/>
        </w:rPr>
        <w:t>永州军分区战备建设处：根据应急响应需要及时组织协调解放军、民兵和预备役部队参加应急救援工作，并协助维护应急工作中的社会秩序。</w:t>
      </w:r>
    </w:p>
    <w:p>
      <w:pPr>
        <w:adjustRightInd w:val="0"/>
        <w:snapToGrid w:val="0"/>
        <w:spacing w:line="360" w:lineRule="auto"/>
        <w:ind w:firstLine="480" w:firstLineChars="200"/>
        <w:rPr>
          <w:rFonts w:cs="Times New Roman"/>
        </w:rPr>
      </w:pPr>
      <w:r>
        <w:rPr>
          <w:rFonts w:cs="Times New Roman"/>
        </w:rPr>
        <w:t>武警永州支队：在地方党委、政府的统一协调下，参与辐射的应急处置工作，协助维护应急工作中的社会秩序。</w:t>
      </w:r>
    </w:p>
    <w:p>
      <w:pPr>
        <w:adjustRightInd w:val="0"/>
        <w:snapToGrid w:val="0"/>
        <w:spacing w:line="360" w:lineRule="auto"/>
        <w:ind w:firstLine="480" w:firstLineChars="200"/>
        <w:rPr>
          <w:rFonts w:cs="Times New Roman"/>
        </w:rPr>
      </w:pPr>
      <w:r>
        <w:rPr>
          <w:rFonts w:cs="Times New Roman"/>
        </w:rPr>
        <w:t>市消防救援支队：在党委、政府的统一领导下，配合专家和事故单位技术人员开展以抢救人员生命为主的应急救援工作。</w:t>
      </w:r>
    </w:p>
    <w:p>
      <w:pPr>
        <w:adjustRightInd w:val="0"/>
        <w:snapToGrid w:val="0"/>
        <w:spacing w:line="360" w:lineRule="auto"/>
        <w:ind w:firstLine="480" w:firstLineChars="200"/>
        <w:rPr>
          <w:rFonts w:cs="Times New Roman"/>
        </w:rPr>
      </w:pPr>
      <w:r>
        <w:rPr>
          <w:rFonts w:cs="Times New Roman"/>
        </w:rPr>
        <w:t>县（市）区政府：承担本辖区辐射事故应急响应的首要责任。负责制定本辖区辐射事故应急预案；按照属地为主、先期处置的原则，及时组织有关单位控制事故现场、开展前期处置和救援工作，了解事故发生原因、事故状态和发展趋势，及时向永州市生态环境应急指挥部报告情况；为参与辐射事故应急响应的队伍和人员提供工作条件；贯彻执行国家、省、市有关辐射事故应急的法律法规、政策及应急指令；完成国家、省、永州市生态环境应急指挥部下达的其他应急任务。</w:t>
      </w:r>
    </w:p>
    <w:p>
      <w:pPr>
        <w:pStyle w:val="2"/>
        <w:rPr>
          <w:rFonts w:cs="Times New Roman"/>
        </w:rPr>
      </w:pPr>
      <w:bookmarkStart w:id="24" w:name="_Toc108453123"/>
      <w:r>
        <w:rPr>
          <w:rFonts w:cs="Times New Roman"/>
        </w:rPr>
        <w:t>4预防监测</w:t>
      </w:r>
      <w:bookmarkEnd w:id="24"/>
    </w:p>
    <w:p>
      <w:pPr>
        <w:pStyle w:val="3"/>
      </w:pPr>
      <w:bookmarkStart w:id="25" w:name="_Toc108453124"/>
      <w:r>
        <w:rPr>
          <w:rFonts w:hint="eastAsia"/>
        </w:rPr>
        <w:t>4</w:t>
      </w:r>
      <w:r>
        <w:t>.1预防</w:t>
      </w:r>
      <w:bookmarkEnd w:id="25"/>
    </w:p>
    <w:p>
      <w:pPr>
        <w:adjustRightInd/>
        <w:snapToGrid/>
        <w:spacing w:line="360" w:lineRule="auto"/>
        <w:ind w:firstLine="480" w:firstLineChars="200"/>
      </w:pPr>
      <w:r>
        <w:rPr>
          <w:rFonts w:hint="eastAsia"/>
        </w:rPr>
        <w:t>从事核技术利用，放射性物品运输，放射性废物处理、贮存和处置，铀（钍）矿及伴生矿开发利用等的企事业单位（以下简称企事业单位）要严格落实辐射环境安全主体责任，建立健全辐射环境安全管理制度，配备必要的监测监控设施设备，做好辐射事故风险识别、登记、评估、防控和隐患排查整治等工作。要加强放射源在生产、运输、贮存与使用等环节的监管，定期排查并及时整改安全隐患。要配备相应的辐射防护设施、设备，并定期做好检测、维护工作。发现可能引发事故的情况，要立即报告当地政府和生态环境部门。</w:t>
      </w:r>
    </w:p>
    <w:p>
      <w:pPr>
        <w:pStyle w:val="3"/>
      </w:pPr>
      <w:bookmarkStart w:id="26" w:name="_Toc108453125"/>
      <w:r>
        <w:rPr>
          <w:rFonts w:hint="eastAsia"/>
        </w:rPr>
        <w:t>4</w:t>
      </w:r>
      <w:r>
        <w:t>.2监测</w:t>
      </w:r>
      <w:bookmarkEnd w:id="26"/>
    </w:p>
    <w:p>
      <w:pPr>
        <w:adjustRightInd/>
        <w:snapToGrid/>
        <w:spacing w:line="360" w:lineRule="auto"/>
        <w:ind w:firstLine="480" w:firstLineChars="200"/>
      </w:pPr>
      <w:r>
        <w:rPr>
          <w:rFonts w:hint="eastAsia"/>
        </w:rPr>
        <w:t>各区县政府、市级有关部门和单位要建立完善辐射事故监测体系。生态环境、卫生健康、等部门要加强日常监测，及时收集、分析和研判可能导致辐射事故发生的风险信息。要加强信息共享，公安、卫生健康、应急管理、交通等部门要定期对企事业单位进行检查，发现可能导致辐射事故发生的风险隐患，要及时通报同级生态环境部门。</w:t>
      </w:r>
    </w:p>
    <w:p>
      <w:pPr>
        <w:pStyle w:val="2"/>
        <w:rPr>
          <w:rFonts w:cs="Times New Roman"/>
        </w:rPr>
      </w:pPr>
      <w:bookmarkStart w:id="27" w:name="_Toc108453126"/>
      <w:r>
        <w:rPr>
          <w:rFonts w:cs="Times New Roman"/>
        </w:rPr>
        <w:t>5应急行动</w:t>
      </w:r>
      <w:bookmarkEnd w:id="27"/>
    </w:p>
    <w:p>
      <w:pPr>
        <w:adjustRightInd w:val="0"/>
        <w:snapToGrid w:val="0"/>
        <w:spacing w:line="360" w:lineRule="auto"/>
        <w:ind w:firstLine="480" w:firstLineChars="200"/>
        <w:rPr>
          <w:rFonts w:cs="Times New Roman"/>
          <w:color w:val="auto"/>
          <w:szCs w:val="24"/>
        </w:rPr>
      </w:pPr>
      <w:r>
        <w:rPr>
          <w:rFonts w:cs="Times New Roman"/>
          <w:color w:val="auto"/>
        </w:rPr>
        <w:t>辐射事故应急响应以属地管理为主。特别重大、重大辐射事故(</w:t>
      </w:r>
      <w:r>
        <w:rPr>
          <w:rFonts w:cs="Times New Roman"/>
          <w:color w:val="auto"/>
          <w:lang w:val="en"/>
        </w:rPr>
        <w:t>Ⅰ</w:t>
      </w:r>
      <w:r>
        <w:rPr>
          <w:rFonts w:cs="Times New Roman"/>
          <w:color w:val="auto"/>
        </w:rPr>
        <w:t>级、</w:t>
      </w:r>
      <w:r>
        <w:rPr>
          <w:rFonts w:cs="Times New Roman"/>
          <w:color w:val="auto"/>
          <w:lang w:val="en"/>
        </w:rPr>
        <w:t>Ⅱ</w:t>
      </w:r>
      <w:r>
        <w:rPr>
          <w:rFonts w:cs="Times New Roman"/>
          <w:color w:val="auto"/>
        </w:rPr>
        <w:t>级)、较大辐射事故(Ⅲ级)的应急响应工作由省生态环境厅全面负责；一般辐射事故（</w:t>
      </w:r>
      <w:r>
        <w:rPr>
          <w:rFonts w:cs="Times New Roman"/>
          <w:color w:val="auto"/>
          <w:lang w:val="en"/>
        </w:rPr>
        <w:t>Ⅳ</w:t>
      </w:r>
      <w:r>
        <w:rPr>
          <w:rFonts w:cs="Times New Roman"/>
          <w:color w:val="auto"/>
        </w:rPr>
        <w:t>级）的应急响应工作由市生态环境局负责。</w:t>
      </w:r>
    </w:p>
    <w:p>
      <w:pPr>
        <w:pStyle w:val="3"/>
      </w:pPr>
      <w:bookmarkStart w:id="28" w:name="_Toc108453127"/>
      <w:r>
        <w:t>5.1通知与启动</w:t>
      </w:r>
      <w:bookmarkEnd w:id="28"/>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5.1.1通知</w:t>
      </w:r>
    </w:p>
    <w:p>
      <w:pPr>
        <w:adjustRightInd w:val="0"/>
        <w:snapToGrid w:val="0"/>
        <w:spacing w:line="360" w:lineRule="auto"/>
        <w:ind w:firstLine="480" w:firstLineChars="200"/>
        <w:rPr>
          <w:rFonts w:cs="Times New Roman"/>
        </w:rPr>
      </w:pPr>
      <w:r>
        <w:rPr>
          <w:rFonts w:cs="Times New Roman"/>
        </w:rPr>
        <w:t>（1）发生辐射事故时，事故单位应当立即电话报告相关行业主管部门，在2小时内填写《辐射事故初始报告表》，向当地生态环境部门、公安部门、卫健等主管部门报告。</w:t>
      </w:r>
    </w:p>
    <w:p>
      <w:pPr>
        <w:adjustRightInd w:val="0"/>
        <w:snapToGrid w:val="0"/>
        <w:spacing w:line="360" w:lineRule="auto"/>
        <w:ind w:firstLine="480" w:firstLineChars="200"/>
        <w:rPr>
          <w:rFonts w:cs="Times New Roman"/>
        </w:rPr>
      </w:pPr>
      <w:r>
        <w:rPr>
          <w:rFonts w:cs="Times New Roman"/>
        </w:rPr>
        <w:t>（2）</w:t>
      </w:r>
      <w:r>
        <w:rPr>
          <w:rFonts w:cs="Times New Roman"/>
          <w:kern w:val="0"/>
          <w:szCs w:val="24"/>
        </w:rPr>
        <w:t>区、县（市）生态环境部门接到报告后，应在30分钟内电话，2小时内书面将辐射事故信息向市生态环境局和本级人民政府报告，同时派人赶赴现场，按照辐射事故应急预案的要求和辐射事故的严重程度，进行初步判断，确认事故级别，采取有效措施，控制并消除事故影响。在发生特别重大辐射事故情况下，可以同时向国家生态环境总局报告。</w:t>
      </w:r>
    </w:p>
    <w:p>
      <w:pPr>
        <w:adjustRightInd w:val="0"/>
        <w:snapToGrid w:val="0"/>
        <w:spacing w:line="360" w:lineRule="auto"/>
        <w:ind w:firstLine="480" w:firstLineChars="200"/>
        <w:rPr>
          <w:rFonts w:cs="Times New Roman"/>
          <w:kern w:val="0"/>
          <w:szCs w:val="24"/>
        </w:rPr>
      </w:pPr>
      <w:r>
        <w:rPr>
          <w:rFonts w:cs="Times New Roman"/>
          <w:kern w:val="0"/>
          <w:szCs w:val="24"/>
        </w:rPr>
        <w:t>（3）市生态环境局接到辐射事故报告后，在30分钟内电话，1小时内书面向市政府和省生态环境厅报告事故基本情况和应急处置情况。</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5.1.2启动</w:t>
      </w:r>
    </w:p>
    <w:p>
      <w:pPr>
        <w:adjustRightInd w:val="0"/>
        <w:snapToGrid w:val="0"/>
        <w:spacing w:line="360" w:lineRule="auto"/>
        <w:ind w:firstLine="480" w:firstLineChars="200"/>
        <w:rPr>
          <w:rFonts w:cs="Times New Roman"/>
        </w:rPr>
      </w:pPr>
      <w:r>
        <w:rPr>
          <w:rFonts w:cs="Times New Roman"/>
        </w:rPr>
        <w:t>市生态环境应急指挥部接到应急报告后，立即组织应急小组办公室成员召开会议，根据辐射事故类型确定应急响应级别，下达应急响应指令，应急值班员根据应急指令，按照应急响应启动表（表1）的规定，立即通知启动相应的应急组织。各应急人员在收到应急启动通知后应立即响应。</w:t>
      </w:r>
    </w:p>
    <w:p>
      <w:pPr>
        <w:adjustRightInd w:val="0"/>
        <w:snapToGrid w:val="0"/>
        <w:spacing w:line="360" w:lineRule="auto"/>
        <w:jc w:val="center"/>
        <w:rPr>
          <w:rFonts w:cs="Times New Roman"/>
          <w:b/>
          <w:sz w:val="21"/>
          <w:szCs w:val="21"/>
        </w:rPr>
      </w:pPr>
      <w:r>
        <w:rPr>
          <w:rFonts w:cs="Times New Roman"/>
          <w:b/>
          <w:sz w:val="21"/>
          <w:szCs w:val="21"/>
        </w:rPr>
        <w:t>表1  辐射事故应急状态下各应急组织启动表</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1001"/>
        <w:gridCol w:w="866"/>
        <w:gridCol w:w="1051"/>
        <w:gridCol w:w="1071"/>
        <w:gridCol w:w="1071"/>
        <w:gridCol w:w="866"/>
        <w:gridCol w:w="866"/>
        <w:gridCol w:w="867"/>
        <w:gridCol w:w="86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725" w:hRule="atLeast"/>
          <w:jc w:val="center"/>
        </w:trPr>
        <w:tc>
          <w:tcPr>
            <w:tcW w:w="587" w:type="pct"/>
            <w:tcMar>
              <w:top w:w="30" w:type="dxa"/>
              <w:left w:w="120" w:type="dxa"/>
              <w:bottom w:w="30" w:type="dxa"/>
              <w:right w:w="120" w:type="dxa"/>
            </w:tcMar>
            <w:vAlign w:val="center"/>
          </w:tcPr>
          <w:p>
            <w:pPr>
              <w:widowControl/>
              <w:spacing w:line="240" w:lineRule="auto"/>
              <w:jc w:val="center"/>
              <w:rPr>
                <w:rFonts w:cs="Times New Roman"/>
                <w:kern w:val="0"/>
                <w:szCs w:val="24"/>
              </w:rPr>
            </w:pPr>
            <w:r>
              <w:rPr>
                <w:rFonts w:cs="Times New Roman"/>
                <w:kern w:val="0"/>
                <w:szCs w:val="24"/>
              </w:rPr>
              <w:t>辐射事故等级</w:t>
            </w:r>
          </w:p>
        </w:tc>
        <w:tc>
          <w:tcPr>
            <w:tcW w:w="508"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市生态环境应急指挥部</w:t>
            </w:r>
          </w:p>
        </w:tc>
        <w:tc>
          <w:tcPr>
            <w:tcW w:w="616"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市生态环境应急指挥部办公室</w:t>
            </w:r>
          </w:p>
        </w:tc>
        <w:tc>
          <w:tcPr>
            <w:tcW w:w="628" w:type="pct"/>
            <w:vAlign w:val="center"/>
          </w:tcPr>
          <w:p>
            <w:pPr>
              <w:widowControl/>
              <w:wordWrap w:val="0"/>
              <w:spacing w:line="240" w:lineRule="auto"/>
              <w:jc w:val="center"/>
              <w:rPr>
                <w:rFonts w:cs="Times New Roman"/>
                <w:kern w:val="0"/>
                <w:szCs w:val="24"/>
              </w:rPr>
            </w:pPr>
            <w:r>
              <w:rPr>
                <w:rFonts w:cs="Times New Roman"/>
                <w:kern w:val="0"/>
                <w:szCs w:val="24"/>
              </w:rPr>
              <w:t>专家咨询组</w:t>
            </w:r>
          </w:p>
        </w:tc>
        <w:tc>
          <w:tcPr>
            <w:tcW w:w="628"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应急处置组</w:t>
            </w:r>
          </w:p>
        </w:tc>
        <w:tc>
          <w:tcPr>
            <w:tcW w:w="508" w:type="pct"/>
            <w:vAlign w:val="center"/>
          </w:tcPr>
          <w:p>
            <w:pPr>
              <w:widowControl/>
              <w:wordWrap w:val="0"/>
              <w:spacing w:line="240" w:lineRule="auto"/>
              <w:jc w:val="center"/>
              <w:rPr>
                <w:rFonts w:cs="Times New Roman"/>
                <w:kern w:val="0"/>
                <w:szCs w:val="24"/>
              </w:rPr>
            </w:pPr>
            <w:r>
              <w:rPr>
                <w:rFonts w:cs="Times New Roman"/>
                <w:kern w:val="0"/>
                <w:szCs w:val="24"/>
              </w:rPr>
              <w:t>应急监测组</w:t>
            </w:r>
          </w:p>
        </w:tc>
        <w:tc>
          <w:tcPr>
            <w:tcW w:w="508" w:type="pct"/>
            <w:vAlign w:val="center"/>
          </w:tcPr>
          <w:p>
            <w:pPr>
              <w:widowControl/>
              <w:wordWrap w:val="0"/>
              <w:spacing w:line="240" w:lineRule="auto"/>
              <w:jc w:val="center"/>
              <w:rPr>
                <w:rFonts w:cs="Times New Roman"/>
                <w:kern w:val="0"/>
                <w:szCs w:val="24"/>
              </w:rPr>
            </w:pPr>
            <w:r>
              <w:rPr>
                <w:rFonts w:cs="Times New Roman"/>
                <w:kern w:val="0"/>
                <w:szCs w:val="24"/>
              </w:rPr>
              <w:t>信息综合组</w:t>
            </w:r>
          </w:p>
        </w:tc>
        <w:tc>
          <w:tcPr>
            <w:tcW w:w="508" w:type="pct"/>
            <w:vAlign w:val="center"/>
          </w:tcPr>
          <w:p>
            <w:pPr>
              <w:widowControl/>
              <w:wordWrap w:val="0"/>
              <w:spacing w:line="240" w:lineRule="auto"/>
              <w:jc w:val="center"/>
              <w:rPr>
                <w:rFonts w:cs="Times New Roman"/>
                <w:kern w:val="0"/>
                <w:szCs w:val="24"/>
              </w:rPr>
            </w:pPr>
            <w:r>
              <w:rPr>
                <w:rFonts w:cs="Times New Roman"/>
                <w:kern w:val="0"/>
                <w:szCs w:val="24"/>
              </w:rPr>
              <w:t>后勤保障组</w:t>
            </w:r>
          </w:p>
        </w:tc>
        <w:tc>
          <w:tcPr>
            <w:tcW w:w="508" w:type="pct"/>
            <w:vAlign w:val="center"/>
          </w:tcPr>
          <w:p>
            <w:pPr>
              <w:widowControl/>
              <w:wordWrap w:val="0"/>
              <w:spacing w:line="240" w:lineRule="auto"/>
              <w:jc w:val="center"/>
              <w:rPr>
                <w:rFonts w:cs="Times New Roman"/>
                <w:kern w:val="0"/>
                <w:szCs w:val="24"/>
              </w:rPr>
            </w:pPr>
            <w:r>
              <w:rPr>
                <w:rFonts w:cs="Times New Roman"/>
                <w:kern w:val="0"/>
                <w:szCs w:val="24"/>
              </w:rPr>
              <w:t>应急后续协调组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97" w:hRule="atLeast"/>
          <w:jc w:val="center"/>
        </w:trPr>
        <w:tc>
          <w:tcPr>
            <w:tcW w:w="587" w:type="pct"/>
            <w:tcMar>
              <w:top w:w="30" w:type="dxa"/>
              <w:left w:w="120" w:type="dxa"/>
              <w:bottom w:w="30" w:type="dxa"/>
              <w:right w:w="120" w:type="dxa"/>
            </w:tcMar>
            <w:vAlign w:val="center"/>
          </w:tcPr>
          <w:p>
            <w:pPr>
              <w:widowControl/>
              <w:spacing w:line="240" w:lineRule="auto"/>
              <w:jc w:val="center"/>
              <w:rPr>
                <w:rFonts w:cs="Times New Roman"/>
                <w:kern w:val="0"/>
                <w:szCs w:val="24"/>
              </w:rPr>
            </w:pPr>
            <w:r>
              <w:rPr>
                <w:rFonts w:cs="Times New Roman"/>
                <w:kern w:val="0"/>
                <w:szCs w:val="24"/>
              </w:rPr>
              <w:t>一般事故</w:t>
            </w:r>
          </w:p>
        </w:tc>
        <w:tc>
          <w:tcPr>
            <w:tcW w:w="508" w:type="pct"/>
            <w:tcMar>
              <w:top w:w="30" w:type="dxa"/>
              <w:left w:w="120" w:type="dxa"/>
              <w:bottom w:w="30" w:type="dxa"/>
              <w:right w:w="120" w:type="dxa"/>
            </w:tcMar>
            <w:vAlign w:val="center"/>
          </w:tcPr>
          <w:p>
            <w:pPr>
              <w:spacing w:line="240" w:lineRule="auto"/>
              <w:jc w:val="center"/>
              <w:rPr>
                <w:rFonts w:cs="Times New Roman"/>
                <w:szCs w:val="24"/>
              </w:rPr>
            </w:pPr>
            <w:r>
              <w:rPr>
                <w:rFonts w:cs="Times New Roman"/>
                <w:kern w:val="0"/>
                <w:szCs w:val="24"/>
              </w:rPr>
              <w:t>√</w:t>
            </w:r>
          </w:p>
        </w:tc>
        <w:tc>
          <w:tcPr>
            <w:tcW w:w="616" w:type="pct"/>
            <w:tcMar>
              <w:top w:w="30" w:type="dxa"/>
              <w:left w:w="120" w:type="dxa"/>
              <w:bottom w:w="30" w:type="dxa"/>
              <w:right w:w="120" w:type="dxa"/>
            </w:tcMar>
            <w:vAlign w:val="center"/>
          </w:tcPr>
          <w:p>
            <w:pPr>
              <w:spacing w:line="240" w:lineRule="auto"/>
              <w:jc w:val="center"/>
              <w:rPr>
                <w:rFonts w:cs="Times New Roman"/>
                <w:szCs w:val="24"/>
              </w:rPr>
            </w:pPr>
            <w:r>
              <w:rPr>
                <w:rFonts w:cs="Times New Roman"/>
                <w:kern w:val="0"/>
                <w:szCs w:val="24"/>
              </w:rPr>
              <w:t>√</w:t>
            </w:r>
          </w:p>
        </w:tc>
        <w:tc>
          <w:tcPr>
            <w:tcW w:w="628" w:type="pct"/>
            <w:vAlign w:val="center"/>
          </w:tcPr>
          <w:p>
            <w:pPr>
              <w:spacing w:line="240" w:lineRule="auto"/>
              <w:jc w:val="center"/>
              <w:rPr>
                <w:rFonts w:cs="Times New Roman"/>
                <w:kern w:val="0"/>
                <w:szCs w:val="24"/>
              </w:rPr>
            </w:pPr>
            <w:r>
              <w:rPr>
                <w:rFonts w:cs="Times New Roman"/>
                <w:kern w:val="0"/>
                <w:szCs w:val="24"/>
              </w:rPr>
              <w:t>√</w:t>
            </w:r>
          </w:p>
        </w:tc>
        <w:tc>
          <w:tcPr>
            <w:tcW w:w="628" w:type="pct"/>
            <w:tcMar>
              <w:top w:w="30" w:type="dxa"/>
              <w:left w:w="120" w:type="dxa"/>
              <w:bottom w:w="30" w:type="dxa"/>
              <w:right w:w="120" w:type="dxa"/>
            </w:tcMar>
            <w:vAlign w:val="center"/>
          </w:tcPr>
          <w:p>
            <w:pPr>
              <w:spacing w:line="240" w:lineRule="auto"/>
              <w:jc w:val="center"/>
              <w:rPr>
                <w:rFonts w:cs="Times New Roman"/>
                <w:szCs w:val="24"/>
              </w:rPr>
            </w:pPr>
            <w:r>
              <w:rPr>
                <w:rFonts w:cs="Times New Roman"/>
                <w:kern w:val="0"/>
                <w:szCs w:val="24"/>
              </w:rPr>
              <w:t>√</w:t>
            </w:r>
          </w:p>
        </w:tc>
        <w:tc>
          <w:tcPr>
            <w:tcW w:w="508" w:type="pct"/>
            <w:vAlign w:val="center"/>
          </w:tcPr>
          <w:p>
            <w:pPr>
              <w:spacing w:line="240" w:lineRule="auto"/>
              <w:jc w:val="center"/>
              <w:rPr>
                <w:rFonts w:cs="Times New Roman"/>
                <w:kern w:val="0"/>
                <w:szCs w:val="24"/>
              </w:rPr>
            </w:pPr>
            <w:r>
              <w:rPr>
                <w:rFonts w:cs="Times New Roman"/>
                <w:kern w:val="0"/>
                <w:szCs w:val="24"/>
              </w:rPr>
              <w:t>√</w:t>
            </w:r>
          </w:p>
        </w:tc>
        <w:tc>
          <w:tcPr>
            <w:tcW w:w="508" w:type="pct"/>
            <w:vAlign w:val="center"/>
          </w:tcPr>
          <w:p>
            <w:pPr>
              <w:spacing w:line="240" w:lineRule="auto"/>
              <w:jc w:val="center"/>
              <w:rPr>
                <w:rFonts w:cs="Times New Roman"/>
                <w:kern w:val="0"/>
                <w:szCs w:val="24"/>
              </w:rPr>
            </w:pPr>
            <w:r>
              <w:rPr>
                <w:rFonts w:cs="Times New Roman"/>
                <w:kern w:val="0"/>
                <w:szCs w:val="24"/>
              </w:rPr>
              <w:t>√</w:t>
            </w:r>
          </w:p>
        </w:tc>
        <w:tc>
          <w:tcPr>
            <w:tcW w:w="508" w:type="pct"/>
            <w:vAlign w:val="center"/>
          </w:tcPr>
          <w:p>
            <w:pPr>
              <w:spacing w:line="240" w:lineRule="auto"/>
              <w:jc w:val="center"/>
              <w:rPr>
                <w:rFonts w:cs="Times New Roman"/>
                <w:kern w:val="0"/>
                <w:szCs w:val="24"/>
              </w:rPr>
            </w:pPr>
            <w:r>
              <w:rPr>
                <w:rFonts w:cs="Times New Roman"/>
                <w:kern w:val="0"/>
                <w:szCs w:val="24"/>
              </w:rPr>
              <w:t>√</w:t>
            </w:r>
          </w:p>
        </w:tc>
        <w:tc>
          <w:tcPr>
            <w:tcW w:w="508" w:type="pct"/>
            <w:vAlign w:val="center"/>
          </w:tcPr>
          <w:p>
            <w:pPr>
              <w:spacing w:line="240" w:lineRule="auto"/>
              <w:jc w:val="center"/>
              <w:rPr>
                <w:rFonts w:cs="Times New Roman"/>
                <w:kern w:val="0"/>
                <w:szCs w:val="24"/>
              </w:rPr>
            </w:pPr>
            <w:r>
              <w:rPr>
                <w:rFonts w:cs="Times New Roman"/>
                <w:kern w:val="0"/>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jc w:val="center"/>
        </w:trPr>
        <w:tc>
          <w:tcPr>
            <w:tcW w:w="587"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特别重大、重大、较大辐射事故</w:t>
            </w:r>
          </w:p>
        </w:tc>
        <w:tc>
          <w:tcPr>
            <w:tcW w:w="508"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w:t>
            </w:r>
          </w:p>
        </w:tc>
        <w:tc>
          <w:tcPr>
            <w:tcW w:w="616"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kern w:val="0"/>
                <w:szCs w:val="24"/>
              </w:rPr>
              <w:t>√</w:t>
            </w:r>
          </w:p>
        </w:tc>
        <w:tc>
          <w:tcPr>
            <w:tcW w:w="628" w:type="pct"/>
            <w:vAlign w:val="center"/>
          </w:tcPr>
          <w:p>
            <w:pPr>
              <w:widowControl/>
              <w:wordWrap w:val="0"/>
              <w:spacing w:line="240" w:lineRule="auto"/>
              <w:jc w:val="center"/>
              <w:rPr>
                <w:rFonts w:cs="Times New Roman"/>
                <w:kern w:val="0"/>
                <w:szCs w:val="24"/>
              </w:rPr>
            </w:pPr>
            <w:r>
              <w:rPr>
                <w:rFonts w:cs="Times New Roman"/>
                <w:szCs w:val="24"/>
              </w:rPr>
              <w:t>√</w:t>
            </w:r>
          </w:p>
        </w:tc>
        <w:tc>
          <w:tcPr>
            <w:tcW w:w="628" w:type="pct"/>
            <w:tcMar>
              <w:top w:w="30" w:type="dxa"/>
              <w:left w:w="120" w:type="dxa"/>
              <w:bottom w:w="30" w:type="dxa"/>
              <w:right w:w="120" w:type="dxa"/>
            </w:tcMar>
            <w:vAlign w:val="center"/>
          </w:tcPr>
          <w:p>
            <w:pPr>
              <w:widowControl/>
              <w:wordWrap w:val="0"/>
              <w:spacing w:line="240" w:lineRule="auto"/>
              <w:jc w:val="center"/>
              <w:rPr>
                <w:rFonts w:cs="Times New Roman"/>
                <w:kern w:val="0"/>
                <w:szCs w:val="24"/>
              </w:rPr>
            </w:pPr>
            <w:r>
              <w:rPr>
                <w:rFonts w:cs="Times New Roman"/>
                <w:szCs w:val="24"/>
              </w:rPr>
              <w:t>√</w:t>
            </w:r>
          </w:p>
        </w:tc>
        <w:tc>
          <w:tcPr>
            <w:tcW w:w="508" w:type="pct"/>
            <w:vAlign w:val="center"/>
          </w:tcPr>
          <w:p>
            <w:pPr>
              <w:widowControl/>
              <w:wordWrap w:val="0"/>
              <w:spacing w:line="240" w:lineRule="auto"/>
              <w:jc w:val="center"/>
              <w:rPr>
                <w:rFonts w:cs="Times New Roman"/>
                <w:kern w:val="0"/>
                <w:szCs w:val="24"/>
              </w:rPr>
            </w:pPr>
            <w:r>
              <w:rPr>
                <w:rFonts w:cs="Times New Roman"/>
                <w:szCs w:val="24"/>
              </w:rPr>
              <w:t>√</w:t>
            </w:r>
          </w:p>
        </w:tc>
        <w:tc>
          <w:tcPr>
            <w:tcW w:w="508" w:type="pct"/>
            <w:vAlign w:val="center"/>
          </w:tcPr>
          <w:p>
            <w:pPr>
              <w:widowControl/>
              <w:wordWrap w:val="0"/>
              <w:spacing w:line="240" w:lineRule="auto"/>
              <w:jc w:val="center"/>
              <w:rPr>
                <w:rFonts w:cs="Times New Roman"/>
                <w:kern w:val="0"/>
                <w:szCs w:val="24"/>
              </w:rPr>
            </w:pPr>
            <w:r>
              <w:rPr>
                <w:rFonts w:cs="Times New Roman"/>
                <w:szCs w:val="24"/>
              </w:rPr>
              <w:t>√</w:t>
            </w:r>
          </w:p>
        </w:tc>
        <w:tc>
          <w:tcPr>
            <w:tcW w:w="508" w:type="pct"/>
            <w:vAlign w:val="center"/>
          </w:tcPr>
          <w:p>
            <w:pPr>
              <w:widowControl/>
              <w:wordWrap w:val="0"/>
              <w:spacing w:line="240" w:lineRule="auto"/>
              <w:jc w:val="center"/>
              <w:rPr>
                <w:rFonts w:cs="Times New Roman"/>
                <w:kern w:val="0"/>
                <w:szCs w:val="24"/>
              </w:rPr>
            </w:pPr>
            <w:r>
              <w:rPr>
                <w:rFonts w:cs="Times New Roman"/>
                <w:szCs w:val="24"/>
              </w:rPr>
              <w:t>√</w:t>
            </w:r>
          </w:p>
        </w:tc>
        <w:tc>
          <w:tcPr>
            <w:tcW w:w="508" w:type="pct"/>
            <w:vAlign w:val="center"/>
          </w:tcPr>
          <w:p>
            <w:pPr>
              <w:widowControl/>
              <w:wordWrap w:val="0"/>
              <w:spacing w:line="240" w:lineRule="auto"/>
              <w:jc w:val="center"/>
              <w:rPr>
                <w:rFonts w:cs="Times New Roman"/>
                <w:szCs w:val="24"/>
              </w:rPr>
            </w:pPr>
            <w:r>
              <w:rPr>
                <w:rFonts w:cs="Times New Roman"/>
                <w:szCs w:val="24"/>
              </w:rPr>
              <w:t>√</w:t>
            </w:r>
          </w:p>
        </w:tc>
      </w:tr>
    </w:tbl>
    <w:p>
      <w:pPr>
        <w:adjustRightInd w:val="0"/>
        <w:snapToGrid w:val="0"/>
        <w:spacing w:line="360" w:lineRule="auto"/>
        <w:rPr>
          <w:rFonts w:cs="Times New Roman"/>
          <w:color w:val="000000"/>
          <w:kern w:val="0"/>
          <w:sz w:val="21"/>
          <w:szCs w:val="21"/>
        </w:rPr>
      </w:pPr>
      <w:r>
        <w:rPr>
          <w:rFonts w:cs="Times New Roman"/>
          <w:sz w:val="21"/>
          <w:szCs w:val="21"/>
        </w:rPr>
        <w:t>注：- 表示不启动，Ｏ 表示待命，√ 表示应急响应人员启动并到达责任岗位。</w:t>
      </w:r>
    </w:p>
    <w:p>
      <w:pPr>
        <w:pStyle w:val="3"/>
      </w:pPr>
      <w:bookmarkStart w:id="29" w:name="_Toc108453128"/>
      <w:r>
        <w:t>5.2事故报告</w:t>
      </w:r>
      <w:bookmarkEnd w:id="29"/>
    </w:p>
    <w:p>
      <w:pPr>
        <w:widowControl/>
        <w:adjustRightInd w:val="0"/>
        <w:snapToGrid w:val="0"/>
        <w:spacing w:line="360" w:lineRule="auto"/>
        <w:ind w:firstLine="480" w:firstLineChars="200"/>
        <w:rPr>
          <w:rFonts w:cs="Times New Roman"/>
          <w:kern w:val="0"/>
          <w:szCs w:val="24"/>
        </w:rPr>
      </w:pPr>
      <w:r>
        <w:rPr>
          <w:rFonts w:cs="Times New Roman"/>
          <w:kern w:val="0"/>
          <w:szCs w:val="24"/>
        </w:rPr>
        <w:t>辐射事故的报告分为初报、续报、处理结果报告三部分。</w:t>
      </w:r>
    </w:p>
    <w:p>
      <w:pPr>
        <w:widowControl/>
        <w:adjustRightInd w:val="0"/>
        <w:snapToGrid w:val="0"/>
        <w:spacing w:line="360" w:lineRule="auto"/>
        <w:ind w:firstLine="480" w:firstLineChars="200"/>
        <w:rPr>
          <w:rFonts w:cs="Times New Roman"/>
          <w:kern w:val="0"/>
          <w:szCs w:val="24"/>
        </w:rPr>
      </w:pPr>
      <w:r>
        <w:rPr>
          <w:rFonts w:cs="Times New Roman"/>
          <w:kern w:val="0"/>
          <w:szCs w:val="24"/>
        </w:rPr>
        <w:t>初报在发生事故并进入应急状态1小时内，市辐射应急办填写应急初报表（格式如附表中表12所示），并上报给省生态环境厅，报告主要包括：辐射事故单位，联系人及联系电话，事故发生的时间、地点、初步原因，事故类型，人员情况等。</w:t>
      </w:r>
    </w:p>
    <w:p>
      <w:pPr>
        <w:widowControl/>
        <w:adjustRightInd w:val="0"/>
        <w:snapToGrid w:val="0"/>
        <w:spacing w:line="360" w:lineRule="auto"/>
        <w:ind w:firstLine="480" w:firstLineChars="200"/>
        <w:rPr>
          <w:rFonts w:cs="Times New Roman"/>
          <w:kern w:val="0"/>
          <w:szCs w:val="24"/>
        </w:rPr>
      </w:pPr>
      <w:r>
        <w:rPr>
          <w:rFonts w:cs="Times New Roman"/>
          <w:kern w:val="0"/>
          <w:szCs w:val="24"/>
        </w:rPr>
        <w:t>续报在辐射事故的态势得到控制后，市辐射应急办填写应急续报（格式如附表中表13所示），并上报给省生态环境厅，应急续报的主要内容为：事故发展概况，事故起因，已采取的和需要立即采取的应急措施等。</w:t>
      </w:r>
    </w:p>
    <w:p>
      <w:pPr>
        <w:widowControl/>
        <w:adjustRightInd w:val="0"/>
        <w:snapToGrid w:val="0"/>
        <w:spacing w:line="360" w:lineRule="auto"/>
        <w:ind w:firstLine="480" w:firstLineChars="200"/>
        <w:rPr>
          <w:rFonts w:cs="Times New Roman"/>
          <w:kern w:val="0"/>
          <w:szCs w:val="24"/>
        </w:rPr>
      </w:pPr>
      <w:r>
        <w:rPr>
          <w:rFonts w:cs="Times New Roman"/>
          <w:kern w:val="0"/>
          <w:szCs w:val="24"/>
        </w:rPr>
        <w:t>在辐射事故应急状态终止时，市辐射应急办按附表中表14格式填写处理结果报告表，并上报给省生态环境厅，报告的内容包括：辐射事故单位，联系人及联系电话，事故发生的时间、地点、事故概况，事故处理，事故原因，事故后果，经验教训等。</w:t>
      </w:r>
    </w:p>
    <w:p>
      <w:pPr>
        <w:pStyle w:val="3"/>
      </w:pPr>
      <w:bookmarkStart w:id="30" w:name="_Toc19120"/>
      <w:bookmarkStart w:id="31" w:name="_Toc108453129"/>
      <w:r>
        <w:t>5.3联络与信息交换</w:t>
      </w:r>
      <w:bookmarkEnd w:id="30"/>
      <w:bookmarkEnd w:id="31"/>
    </w:p>
    <w:p>
      <w:pPr>
        <w:adjustRightInd w:val="0"/>
        <w:snapToGrid w:val="0"/>
        <w:spacing w:line="360" w:lineRule="auto"/>
        <w:ind w:firstLine="480" w:firstLineChars="200"/>
        <w:rPr>
          <w:rFonts w:cs="Times New Roman"/>
          <w:szCs w:val="24"/>
        </w:rPr>
      </w:pPr>
      <w:r>
        <w:rPr>
          <w:rFonts w:cs="Times New Roman"/>
          <w:szCs w:val="24"/>
        </w:rPr>
        <w:t>应急期间，永州市生态环境应急指挥部办公室负责对市生态环境局和市公安局，市卫生健康委等相关成员单位的联络与信息交换工作。应急期间应遵循以下原则：各岗位任务明确、尽职尽责，联络渠道明确、固定；联络用语规范，严格执行记录制度；对外渠道和口径统一。</w:t>
      </w:r>
    </w:p>
    <w:p>
      <w:pPr>
        <w:pStyle w:val="3"/>
      </w:pPr>
      <w:bookmarkStart w:id="32" w:name="_Toc108453130"/>
      <w:r>
        <w:t>5.4指挥</w:t>
      </w:r>
      <w:bookmarkEnd w:id="32"/>
    </w:p>
    <w:p>
      <w:pPr>
        <w:adjustRightInd w:val="0"/>
        <w:snapToGrid w:val="0"/>
        <w:spacing w:line="360" w:lineRule="auto"/>
        <w:ind w:firstLine="480" w:firstLineChars="200"/>
        <w:rPr>
          <w:rFonts w:cs="Times New Roman"/>
        </w:rPr>
      </w:pPr>
      <w:bookmarkStart w:id="33" w:name="_Toc432498052"/>
      <w:r>
        <w:rPr>
          <w:rFonts w:cs="Times New Roman"/>
        </w:rPr>
        <w:t>（1）特别重大、重大、较大辐射事故的应急响应工作由省生态环境厅主持，先期处置由市生态环境应急指挥部负责，省应急指挥机构到达后，市里全权配合，并移交指挥权。</w:t>
      </w:r>
    </w:p>
    <w:p>
      <w:pPr>
        <w:adjustRightInd w:val="0"/>
        <w:snapToGrid w:val="0"/>
        <w:spacing w:line="360" w:lineRule="auto"/>
        <w:ind w:firstLine="480" w:firstLineChars="200"/>
        <w:rPr>
          <w:rFonts w:cs="Times New Roman"/>
        </w:rPr>
      </w:pPr>
      <w:r>
        <w:rPr>
          <w:rFonts w:cs="Times New Roman"/>
        </w:rPr>
        <w:t>（2）发生一般辐射事故时，应急响应工作由市生态环境应急指挥部主持。</w:t>
      </w:r>
    </w:p>
    <w:p>
      <w:pPr>
        <w:adjustRightInd w:val="0"/>
        <w:snapToGrid w:val="0"/>
        <w:spacing w:line="360" w:lineRule="auto"/>
        <w:ind w:firstLine="480" w:firstLineChars="200"/>
        <w:rPr>
          <w:rFonts w:cs="Times New Roman"/>
        </w:rPr>
      </w:pPr>
      <w:r>
        <w:rPr>
          <w:rFonts w:cs="Times New Roman"/>
        </w:rPr>
        <w:t>（3）永州市生态环境应急指挥部办公室根据辐射事故级别特征，可派出有关专家、监测队伍、现场应急指挥部，参与应急工作。</w:t>
      </w:r>
    </w:p>
    <w:p>
      <w:pPr>
        <w:pStyle w:val="3"/>
      </w:pPr>
      <w:bookmarkStart w:id="34" w:name="_Toc108453131"/>
      <w:r>
        <w:t>5.5对外协调</w:t>
      </w:r>
      <w:bookmarkEnd w:id="33"/>
      <w:bookmarkEnd w:id="34"/>
    </w:p>
    <w:p>
      <w:pPr>
        <w:adjustRightInd w:val="0"/>
        <w:snapToGrid w:val="0"/>
        <w:spacing w:line="360" w:lineRule="auto"/>
        <w:ind w:firstLine="480" w:firstLineChars="200"/>
        <w:rPr>
          <w:rFonts w:cs="Times New Roman"/>
          <w:szCs w:val="24"/>
        </w:rPr>
      </w:pPr>
      <w:r>
        <w:rPr>
          <w:rFonts w:cs="Times New Roman"/>
          <w:szCs w:val="24"/>
        </w:rPr>
        <w:t>当现场检查发现发生以下事故或情形时，应当及时与公安、卫生等部门进行协调。</w:t>
      </w:r>
    </w:p>
    <w:p>
      <w:pPr>
        <w:adjustRightInd w:val="0"/>
        <w:snapToGrid w:val="0"/>
        <w:spacing w:line="360" w:lineRule="auto"/>
        <w:ind w:firstLine="480" w:firstLineChars="200"/>
        <w:rPr>
          <w:rFonts w:cs="Times New Roman"/>
          <w:szCs w:val="24"/>
        </w:rPr>
      </w:pPr>
      <w:r>
        <w:rPr>
          <w:rFonts w:cs="Times New Roman"/>
          <w:szCs w:val="24"/>
        </w:rPr>
        <w:t>（1）放射源丢失或被盗；发生放射性污染事故；需要对辐射事故现场进行安全保卫的，与公安部门进行联系。</w:t>
      </w:r>
    </w:p>
    <w:p>
      <w:pPr>
        <w:adjustRightInd w:val="0"/>
        <w:snapToGrid w:val="0"/>
        <w:spacing w:line="360" w:lineRule="auto"/>
        <w:ind w:firstLine="480" w:firstLineChars="200"/>
        <w:rPr>
          <w:rFonts w:cs="Times New Roman"/>
          <w:szCs w:val="24"/>
        </w:rPr>
      </w:pPr>
      <w:r>
        <w:rPr>
          <w:rFonts w:cs="Times New Roman"/>
          <w:szCs w:val="24"/>
        </w:rPr>
        <w:t>（2）放射源丢失、被盗或失控以及放射性同位素和射线装置失控导致人员受到伤害的，与卫生部门进行联系。</w:t>
      </w:r>
    </w:p>
    <w:p>
      <w:pPr>
        <w:adjustRightInd w:val="0"/>
        <w:snapToGrid w:val="0"/>
        <w:spacing w:line="360" w:lineRule="auto"/>
        <w:ind w:firstLine="480" w:firstLineChars="200"/>
        <w:rPr>
          <w:rFonts w:cs="Times New Roman"/>
          <w:szCs w:val="24"/>
        </w:rPr>
      </w:pPr>
      <w:r>
        <w:rPr>
          <w:rFonts w:cs="Times New Roman"/>
          <w:szCs w:val="24"/>
        </w:rPr>
        <w:t>（3）其他需要协调的情形。</w:t>
      </w:r>
    </w:p>
    <w:p>
      <w:pPr>
        <w:pStyle w:val="3"/>
      </w:pPr>
      <w:bookmarkStart w:id="35" w:name="_Toc108453132"/>
      <w:r>
        <w:t>5.6应急监测</w:t>
      </w:r>
      <w:bookmarkEnd w:id="35"/>
    </w:p>
    <w:p>
      <w:pPr>
        <w:adjustRightInd w:val="0"/>
        <w:spacing w:line="360" w:lineRule="auto"/>
        <w:ind w:firstLine="480" w:firstLineChars="200"/>
        <w:rPr>
          <w:rFonts w:cs="Times New Roman"/>
          <w:szCs w:val="24"/>
        </w:rPr>
      </w:pPr>
      <w:r>
        <w:rPr>
          <w:rFonts w:cs="Times New Roman"/>
          <w:szCs w:val="24"/>
        </w:rPr>
        <w:t>（1）发生特别重大、重大、较大辐射事故时，现场应急监测工作由上级辐射事故应急领导机构负责，必要时，配合上级辐射监测队伍开展辐射监测工作。</w:t>
      </w:r>
    </w:p>
    <w:p>
      <w:pPr>
        <w:adjustRightInd w:val="0"/>
        <w:spacing w:line="360" w:lineRule="auto"/>
        <w:ind w:firstLine="480" w:firstLineChars="200"/>
        <w:rPr>
          <w:rFonts w:cs="Times New Roman"/>
          <w:szCs w:val="24"/>
        </w:rPr>
      </w:pPr>
      <w:r>
        <w:rPr>
          <w:rFonts w:cs="Times New Roman"/>
          <w:szCs w:val="24"/>
        </w:rPr>
        <w:t>（2）发生一般辐射事故时，永州市生态环境局辐射事故应急监测队负责组织实施现场应急监测，必要时，可向省辐射环境监督站申请技术支援，由省辐射环境监督站根据实际情况提供相应技术支援。</w:t>
      </w:r>
    </w:p>
    <w:p>
      <w:pPr>
        <w:pStyle w:val="3"/>
      </w:pPr>
      <w:bookmarkStart w:id="36" w:name="_Toc108453133"/>
      <w:r>
        <w:t>5.7安全防护</w:t>
      </w:r>
      <w:bookmarkEnd w:id="36"/>
    </w:p>
    <w:p>
      <w:pPr>
        <w:adjustRightInd w:val="0"/>
        <w:snapToGrid w:val="0"/>
        <w:spacing w:line="360" w:lineRule="auto"/>
        <w:ind w:firstLine="480" w:firstLineChars="200"/>
        <w:rPr>
          <w:rFonts w:cs="Times New Roman"/>
          <w:szCs w:val="24"/>
        </w:rPr>
      </w:pPr>
      <w:r>
        <w:rPr>
          <w:rFonts w:cs="Times New Roman"/>
          <w:szCs w:val="24"/>
        </w:rPr>
        <w:t>现场应急工作人员应根据辐射事故的特点，配备相应的防护装备，采取相应的防护措施。县（市）区生态环境局负责现场公众的安全防护工作，根据事故特点开展相关工作：</w:t>
      </w:r>
    </w:p>
    <w:p>
      <w:pPr>
        <w:adjustRightInd w:val="0"/>
        <w:snapToGrid w:val="0"/>
        <w:spacing w:line="360" w:lineRule="auto"/>
        <w:ind w:firstLine="480" w:firstLineChars="200"/>
        <w:rPr>
          <w:rFonts w:cs="Times New Roman"/>
          <w:szCs w:val="24"/>
        </w:rPr>
      </w:pPr>
      <w:r>
        <w:rPr>
          <w:rFonts w:cs="Times New Roman"/>
          <w:szCs w:val="24"/>
        </w:rPr>
        <w:t>（1）根据辐射事故的性质与特点，向本级政府提出公众安全防护措施；</w:t>
      </w:r>
    </w:p>
    <w:p>
      <w:pPr>
        <w:adjustRightInd w:val="0"/>
        <w:snapToGrid w:val="0"/>
        <w:spacing w:line="360" w:lineRule="auto"/>
        <w:ind w:firstLine="480" w:firstLineChars="200"/>
        <w:rPr>
          <w:rFonts w:cs="Times New Roman"/>
          <w:szCs w:val="24"/>
        </w:rPr>
      </w:pPr>
      <w:r>
        <w:rPr>
          <w:rFonts w:cs="Times New Roman"/>
          <w:szCs w:val="24"/>
        </w:rPr>
        <w:t>（2）根据事发时当地的气象、地理环境、人员密集度等，协助有关部门确定公众疏散方式；</w:t>
      </w:r>
    </w:p>
    <w:p>
      <w:pPr>
        <w:adjustRightInd w:val="0"/>
        <w:snapToGrid w:val="0"/>
        <w:spacing w:line="490" w:lineRule="exact"/>
        <w:ind w:firstLine="480" w:firstLineChars="200"/>
        <w:rPr>
          <w:rFonts w:cs="Times New Roman"/>
          <w:szCs w:val="24"/>
        </w:rPr>
      </w:pPr>
      <w:r>
        <w:rPr>
          <w:rFonts w:cs="Times New Roman"/>
          <w:szCs w:val="24"/>
        </w:rPr>
        <w:t>（3）在事发地安全边界以外，协助有关部门设立紧急避难场所。</w:t>
      </w:r>
    </w:p>
    <w:p>
      <w:pPr>
        <w:pStyle w:val="3"/>
        <w:spacing w:line="490" w:lineRule="exact"/>
      </w:pPr>
      <w:bookmarkStart w:id="37" w:name="_Toc108453134"/>
      <w:r>
        <w:t>5.8信息公开</w:t>
      </w:r>
      <w:bookmarkEnd w:id="37"/>
    </w:p>
    <w:p>
      <w:pPr>
        <w:adjustRightInd w:val="0"/>
        <w:snapToGrid w:val="0"/>
        <w:spacing w:line="490" w:lineRule="exact"/>
        <w:ind w:firstLine="480" w:firstLineChars="200"/>
        <w:rPr>
          <w:rFonts w:cs="Times New Roman"/>
          <w:szCs w:val="24"/>
        </w:rPr>
      </w:pPr>
      <w:r>
        <w:rPr>
          <w:rFonts w:cs="Times New Roman"/>
          <w:szCs w:val="24"/>
        </w:rPr>
        <w:t>事故发生时，辐射事故的信息发布由信息综合组或永州市生态环境应急指挥部办公室报请永州市生态环境应急指挥部审查批准后，及时向公众统一发布事故信息。公开的信息包括：事故单位名称、事件发生时间、事件简要描述、事件（初步）级别，以及已查明的事件原因、影响和措施等。根据《生态环境部信息公开指南》和《环境保护工作中国家秘密及其密级具体范围的规定》，免予公开和属于国家保密范围的辐射安全信息不予公开。</w:t>
      </w:r>
    </w:p>
    <w:p>
      <w:pPr>
        <w:adjustRightInd w:val="0"/>
        <w:snapToGrid w:val="0"/>
        <w:spacing w:line="490" w:lineRule="exact"/>
        <w:ind w:firstLine="480" w:firstLineChars="200"/>
        <w:rPr>
          <w:rFonts w:cs="Times New Roman"/>
          <w:szCs w:val="24"/>
        </w:rPr>
      </w:pPr>
      <w:r>
        <w:rPr>
          <w:rFonts w:cs="Times New Roman"/>
          <w:szCs w:val="24"/>
        </w:rPr>
        <w:t>信息公开的渠道包括永州市生态环境局门户网站、永州市人民政府门户网站</w:t>
      </w:r>
      <w:r>
        <w:rPr>
          <w:rFonts w:hint="eastAsia" w:cs="Times New Roman"/>
          <w:szCs w:val="24"/>
          <w:lang w:eastAsia="zh-CN"/>
        </w:rPr>
        <w:t>、</w:t>
      </w:r>
      <w:r>
        <w:rPr>
          <w:rFonts w:cs="Times New Roman"/>
          <w:szCs w:val="24"/>
        </w:rPr>
        <w:t>电视、广播、报纸等媒体。</w:t>
      </w:r>
    </w:p>
    <w:p>
      <w:pPr>
        <w:adjustRightInd w:val="0"/>
        <w:snapToGrid w:val="0"/>
        <w:spacing w:line="490" w:lineRule="exact"/>
        <w:ind w:firstLine="480" w:firstLineChars="200"/>
        <w:rPr>
          <w:rFonts w:cs="Times New Roman"/>
          <w:szCs w:val="24"/>
        </w:rPr>
      </w:pPr>
      <w:r>
        <w:rPr>
          <w:rFonts w:cs="Times New Roman"/>
          <w:szCs w:val="24"/>
        </w:rPr>
        <w:t>任何单位或个人不得随意发布或散布未经核实或没有事实依据的信息和传言。县（市）区政府、永州市生态环境应急指挥部要会同宣传部门组织做好网络和媒体的舆情引导，及时回应群众关切问题。</w:t>
      </w:r>
    </w:p>
    <w:p>
      <w:pPr>
        <w:pStyle w:val="2"/>
        <w:spacing w:line="490" w:lineRule="exact"/>
        <w:rPr>
          <w:rFonts w:cs="Times New Roman"/>
        </w:rPr>
      </w:pPr>
      <w:bookmarkStart w:id="38" w:name="_Toc108453135"/>
      <w:r>
        <w:rPr>
          <w:rFonts w:cs="Times New Roman"/>
        </w:rPr>
        <w:t>6应急处置</w:t>
      </w:r>
      <w:bookmarkEnd w:id="38"/>
    </w:p>
    <w:p>
      <w:pPr>
        <w:pStyle w:val="3"/>
        <w:spacing w:line="490" w:lineRule="exact"/>
      </w:pPr>
      <w:bookmarkStart w:id="39" w:name="_Toc108453136"/>
      <w:bookmarkStart w:id="40" w:name="_Toc2882"/>
      <w:r>
        <w:t>6.1先期处置</w:t>
      </w:r>
      <w:bookmarkEnd w:id="39"/>
      <w:bookmarkEnd w:id="40"/>
    </w:p>
    <w:p>
      <w:pPr>
        <w:adjustRightInd w:val="0"/>
        <w:snapToGrid w:val="0"/>
        <w:spacing w:line="490" w:lineRule="exact"/>
        <w:ind w:firstLine="480" w:firstLineChars="200"/>
        <w:rPr>
          <w:rFonts w:cs="Times New Roman"/>
        </w:rPr>
      </w:pPr>
      <w:r>
        <w:rPr>
          <w:rFonts w:cs="Times New Roman"/>
        </w:rPr>
        <w:t>辐射事故发生后，辐射事故责任单位（含运输单位）、事发地</w:t>
      </w:r>
      <w:r>
        <w:rPr>
          <w:rFonts w:cs="Times New Roman"/>
          <w:lang w:val="en"/>
        </w:rPr>
        <w:t>县（市）区</w:t>
      </w:r>
      <w:r>
        <w:rPr>
          <w:rFonts w:cs="Times New Roman"/>
        </w:rPr>
        <w:t>政府要立即进行先期处置，控制事态发展，疏散现场无关人员，救治受伤害人员，并启动实施本单位、本</w:t>
      </w:r>
      <w:r>
        <w:rPr>
          <w:rFonts w:cs="Times New Roman"/>
          <w:lang w:val="en"/>
        </w:rPr>
        <w:t>县（市）区</w:t>
      </w:r>
      <w:r>
        <w:rPr>
          <w:rFonts w:cs="Times New Roman"/>
        </w:rPr>
        <w:t>应急响应，防止污染扩散，同时通知可能受到污染危害的单位和居民。</w:t>
      </w:r>
    </w:p>
    <w:p>
      <w:pPr>
        <w:adjustRightInd w:val="0"/>
        <w:snapToGrid w:val="0"/>
        <w:spacing w:line="490" w:lineRule="exact"/>
        <w:ind w:firstLine="480" w:firstLineChars="200"/>
        <w:rPr>
          <w:rFonts w:cs="Times New Roman"/>
        </w:rPr>
      </w:pPr>
      <w:r>
        <w:rPr>
          <w:rFonts w:cs="Times New Roman"/>
          <w:lang w:val="en"/>
        </w:rPr>
        <w:t>永州市生态环境应急指挥部</w:t>
      </w:r>
      <w:r>
        <w:rPr>
          <w:rFonts w:cs="Times New Roman"/>
        </w:rPr>
        <w:t>办公室接到报告后，应组织相关责任单位的救援处置力量立即赶赴现场，配合</w:t>
      </w:r>
      <w:r>
        <w:rPr>
          <w:rFonts w:cs="Times New Roman"/>
          <w:lang w:val="en"/>
        </w:rPr>
        <w:t>县（市）区</w:t>
      </w:r>
      <w:r>
        <w:rPr>
          <w:rFonts w:cs="Times New Roman"/>
        </w:rPr>
        <w:t>政府做好先期处置工作。</w:t>
      </w:r>
    </w:p>
    <w:p>
      <w:pPr>
        <w:pStyle w:val="3"/>
        <w:spacing w:line="490" w:lineRule="exact"/>
      </w:pPr>
      <w:bookmarkStart w:id="41" w:name="_Toc28883"/>
      <w:bookmarkStart w:id="42" w:name="_Toc108453137"/>
      <w:r>
        <w:t>6.2</w:t>
      </w:r>
      <w:r>
        <w:rPr>
          <w:rFonts w:hint="eastAsia"/>
        </w:rPr>
        <w:t>应急</w:t>
      </w:r>
      <w:r>
        <w:t>响应</w:t>
      </w:r>
      <w:bookmarkEnd w:id="41"/>
      <w:bookmarkEnd w:id="42"/>
    </w:p>
    <w:p>
      <w:pPr>
        <w:widowControl/>
        <w:shd w:val="clear" w:color="auto" w:fill="FFFFFF"/>
        <w:spacing w:line="490" w:lineRule="exact"/>
        <w:rPr>
          <w:rFonts w:cs="Times New Roman"/>
          <w:b/>
          <w:bCs/>
          <w:kern w:val="0"/>
          <w:szCs w:val="24"/>
        </w:rPr>
      </w:pPr>
      <w:r>
        <w:rPr>
          <w:rFonts w:cs="Times New Roman"/>
          <w:b/>
          <w:bCs/>
          <w:kern w:val="0"/>
          <w:szCs w:val="24"/>
        </w:rPr>
        <w:t>6.2.1响应分级</w:t>
      </w:r>
    </w:p>
    <w:p>
      <w:pPr>
        <w:adjustRightInd w:val="0"/>
        <w:snapToGrid w:val="0"/>
        <w:spacing w:line="490" w:lineRule="exact"/>
        <w:ind w:firstLine="480" w:firstLineChars="200"/>
        <w:rPr>
          <w:rFonts w:cs="Times New Roman"/>
        </w:rPr>
      </w:pPr>
      <w:r>
        <w:rPr>
          <w:rFonts w:cs="Times New Roman"/>
        </w:rPr>
        <w:t>永州市辐射事故响应分级分为三级</w:t>
      </w:r>
      <w:r>
        <w:rPr>
          <w:rFonts w:hint="eastAsia" w:cs="Times New Roman"/>
        </w:rPr>
        <w:t>，</w:t>
      </w:r>
      <w:r>
        <w:rPr>
          <w:rFonts w:cs="Times New Roman"/>
        </w:rPr>
        <w:t>分别为</w:t>
      </w:r>
      <w:r>
        <w:rPr>
          <w:rFonts w:hint="eastAsia" w:cs="Times New Roman"/>
        </w:rPr>
        <w:t>I</w:t>
      </w:r>
      <w:r>
        <w:rPr>
          <w:rFonts w:cs="Times New Roman"/>
        </w:rPr>
        <w:t>、Ⅱ、Ⅲ级响应。</w:t>
      </w:r>
    </w:p>
    <w:p>
      <w:pPr>
        <w:adjustRightInd w:val="0"/>
        <w:snapToGrid w:val="0"/>
        <w:spacing w:line="490" w:lineRule="exact"/>
        <w:ind w:firstLine="480" w:firstLineChars="200"/>
        <w:rPr>
          <w:rFonts w:cs="Times New Roman"/>
        </w:rPr>
      </w:pPr>
      <w:r>
        <w:rPr>
          <w:rFonts w:cs="Times New Roman"/>
        </w:rPr>
        <w:t>Ⅲ级响应：对应一般辐射事故。由事发地县（市）区政府启动应急响应，组织</w:t>
      </w:r>
      <w:r>
        <w:rPr>
          <w:rFonts w:hint="eastAsia" w:cs="Times New Roman"/>
        </w:rPr>
        <w:t>调动</w:t>
      </w:r>
      <w:r>
        <w:rPr>
          <w:rFonts w:cs="Times New Roman"/>
        </w:rPr>
        <w:t>辐射事故责任单位进行先期处置。并报永州市生态环境应急指挥部办公室，永州市生态环境</w:t>
      </w:r>
      <w:r>
        <w:rPr>
          <w:rFonts w:cs="Times New Roman"/>
          <w:lang w:val="en"/>
        </w:rPr>
        <w:t>应急指挥部</w:t>
      </w:r>
      <w:r>
        <w:rPr>
          <w:rFonts w:cs="Times New Roman"/>
        </w:rPr>
        <w:t>副总指挥（生态环境局局长）批准后启动应急预案进行应急响应，进行处置。</w:t>
      </w:r>
    </w:p>
    <w:p>
      <w:pPr>
        <w:adjustRightInd w:val="0"/>
        <w:snapToGrid w:val="0"/>
        <w:spacing w:line="360" w:lineRule="auto"/>
        <w:ind w:firstLine="480" w:firstLineChars="200"/>
        <w:rPr>
          <w:rFonts w:cs="Times New Roman"/>
        </w:rPr>
      </w:pPr>
      <w:r>
        <w:rPr>
          <w:rFonts w:cs="Times New Roman"/>
        </w:rPr>
        <w:t>Ⅱ级响应：对应</w:t>
      </w:r>
      <w:r>
        <w:rPr>
          <w:rFonts w:hint="eastAsia" w:cs="Times New Roman"/>
        </w:rPr>
        <w:t>较大</w:t>
      </w:r>
      <w:r>
        <w:rPr>
          <w:rFonts w:cs="Times New Roman"/>
        </w:rPr>
        <w:t>辐射事故。由</w:t>
      </w:r>
      <w:r>
        <w:rPr>
          <w:rFonts w:cs="Times New Roman"/>
          <w:lang w:val="en"/>
        </w:rPr>
        <w:t>永州市生态环境应急指挥部指挥长（分管副市长）</w:t>
      </w:r>
      <w:r>
        <w:rPr>
          <w:rFonts w:cs="Times New Roman"/>
        </w:rPr>
        <w:t>批准后启动应急预案进行应急响应，进行处置。并立即上报省生态环境厅</w:t>
      </w:r>
      <w:r>
        <w:rPr>
          <w:rFonts w:hint="eastAsia" w:cs="Times New Roman"/>
        </w:rPr>
        <w:t>，</w:t>
      </w:r>
      <w:r>
        <w:rPr>
          <w:rFonts w:cs="Times New Roman"/>
        </w:rPr>
        <w:t>省、国家成立应急指挥部或派出工作组后，在其指挥下开展处置工作。</w:t>
      </w:r>
    </w:p>
    <w:p>
      <w:pPr>
        <w:adjustRightInd w:val="0"/>
        <w:snapToGrid w:val="0"/>
        <w:spacing w:line="360" w:lineRule="auto"/>
        <w:ind w:firstLine="480" w:firstLineChars="200"/>
        <w:rPr>
          <w:rFonts w:cs="Times New Roman"/>
        </w:rPr>
      </w:pPr>
      <w:r>
        <w:rPr>
          <w:rFonts w:cs="Times New Roman"/>
        </w:rPr>
        <w:t>Ⅰ级响应：对应重大辐射事故、特别重大辐射事故。由市政府主要领导启动应急预案进行应急响应，进行处置。并立即快报省生态环境厅</w:t>
      </w:r>
      <w:r>
        <w:rPr>
          <w:rFonts w:hint="eastAsia" w:cs="Times New Roman"/>
        </w:rPr>
        <w:t>，</w:t>
      </w:r>
      <w:r>
        <w:rPr>
          <w:rFonts w:cs="Times New Roman"/>
        </w:rPr>
        <w:t>请求省政府迅速派</w:t>
      </w:r>
      <w:r>
        <w:rPr>
          <w:rFonts w:hint="eastAsia" w:cs="Times New Roman"/>
        </w:rPr>
        <w:t>4</w:t>
      </w:r>
      <w:r>
        <w:rPr>
          <w:rFonts w:cs="Times New Roman"/>
        </w:rPr>
        <w:t>出工作组赶赴现场指导应急处置工作。省、国家成立应急指挥部或派出工作组后，</w:t>
      </w:r>
      <w:r>
        <w:rPr>
          <w:rFonts w:hint="eastAsia" w:cs="Times New Roman"/>
        </w:rPr>
        <w:t>市里</w:t>
      </w:r>
      <w:r>
        <w:rPr>
          <w:rFonts w:cs="Times New Roman"/>
        </w:rPr>
        <w:t>全权配合，并移交指挥权。涉及我市两个或两个以上</w:t>
      </w:r>
      <w:r>
        <w:rPr>
          <w:rFonts w:cs="Times New Roman"/>
          <w:lang w:val="en"/>
        </w:rPr>
        <w:t>县（市）区</w:t>
      </w:r>
      <w:r>
        <w:rPr>
          <w:rFonts w:cs="Times New Roman"/>
        </w:rPr>
        <w:t>行政区域的一般辐射事故，由</w:t>
      </w:r>
      <w:r>
        <w:rPr>
          <w:rFonts w:cs="Times New Roman"/>
          <w:lang w:val="en"/>
        </w:rPr>
        <w:t>永州市生态环境应急指挥部</w:t>
      </w:r>
      <w:r>
        <w:rPr>
          <w:rFonts w:cs="Times New Roman"/>
        </w:rPr>
        <w:t>指挥协调处置。</w:t>
      </w:r>
    </w:p>
    <w:p>
      <w:pPr>
        <w:widowControl/>
        <w:shd w:val="clear" w:color="auto" w:fill="FFFFFF"/>
        <w:spacing w:line="360" w:lineRule="auto"/>
        <w:rPr>
          <w:rFonts w:cs="Times New Roman"/>
          <w:b/>
          <w:bCs/>
          <w:kern w:val="0"/>
          <w:szCs w:val="24"/>
        </w:rPr>
      </w:pPr>
      <w:r>
        <w:rPr>
          <w:rFonts w:cs="Times New Roman"/>
          <w:b/>
          <w:bCs/>
          <w:kern w:val="0"/>
          <w:szCs w:val="24"/>
        </w:rPr>
        <w:t>6.2.2响应行动</w:t>
      </w:r>
    </w:p>
    <w:p>
      <w:pPr>
        <w:adjustRightInd w:val="0"/>
        <w:snapToGrid w:val="0"/>
        <w:spacing w:line="360" w:lineRule="auto"/>
        <w:ind w:firstLine="480" w:firstLineChars="200"/>
        <w:rPr>
          <w:rFonts w:cs="Times New Roman"/>
        </w:rPr>
      </w:pPr>
      <w:r>
        <w:rPr>
          <w:rFonts w:hint="eastAsia" w:cs="Times New Roman"/>
        </w:rPr>
        <w:t>辐射事故响应行动分为三级，分别为</w:t>
      </w:r>
      <w:r>
        <w:rPr>
          <w:rFonts w:cs="Times New Roman"/>
        </w:rPr>
        <w:t>Ⅲ级、Ⅱ级、Ⅰ级</w:t>
      </w:r>
      <w:r>
        <w:rPr>
          <w:rFonts w:hint="eastAsia" w:cs="Times New Roman"/>
        </w:rPr>
        <w:t>响应行动</w:t>
      </w:r>
      <w:r>
        <w:rPr>
          <w:rFonts w:cs="Times New Roman"/>
        </w:rPr>
        <w:t>。</w:t>
      </w:r>
      <w:r>
        <w:rPr>
          <w:rFonts w:hint="eastAsia"/>
        </w:rPr>
        <w:t>根据工作需要和事故诱因及发展态势，有关区县政府、市级有关部门和单位分别采取如下行动。</w:t>
      </w:r>
    </w:p>
    <w:p>
      <w:pPr>
        <w:adjustRightInd w:val="0"/>
        <w:snapToGrid w:val="0"/>
        <w:spacing w:line="360" w:lineRule="auto"/>
        <w:ind w:firstLine="480" w:firstLineChars="200"/>
        <w:rPr>
          <w:rFonts w:cs="Times New Roman"/>
          <w:b/>
          <w:color w:val="FF0000"/>
        </w:rPr>
      </w:pPr>
      <w:r>
        <w:rPr>
          <w:rFonts w:cs="Times New Roman"/>
        </w:rPr>
        <w:t>辐射事故Ⅲ级响应行动：</w:t>
      </w:r>
      <w:r>
        <w:rPr>
          <w:rFonts w:cs="Times New Roman"/>
          <w:b/>
          <w:color w:val="FF0000"/>
        </w:rPr>
        <w:t xml:space="preserve"> </w:t>
      </w:r>
    </w:p>
    <w:p>
      <w:pPr>
        <w:adjustRightInd w:val="0"/>
        <w:snapToGrid w:val="0"/>
        <w:spacing w:line="360" w:lineRule="auto"/>
        <w:ind w:firstLine="480" w:firstLineChars="200"/>
        <w:rPr>
          <w:rFonts w:cs="Times New Roman"/>
        </w:rPr>
      </w:pPr>
      <w:r>
        <w:rPr>
          <w:rFonts w:hint="eastAsia" w:cs="Times New Roman"/>
        </w:rPr>
        <w:t>事发地</w:t>
      </w:r>
      <w:r>
        <w:rPr>
          <w:rFonts w:hint="eastAsia" w:cs="Times New Roman"/>
          <w:lang w:val="en"/>
        </w:rPr>
        <w:t>县（市）区</w:t>
      </w:r>
      <w:r>
        <w:rPr>
          <w:rFonts w:hint="eastAsia" w:cs="Times New Roman"/>
        </w:rPr>
        <w:t>政府</w:t>
      </w:r>
      <w:r>
        <w:rPr>
          <w:rFonts w:cs="Times New Roman"/>
        </w:rPr>
        <w:t>应控制事态发展，疏散现场无关人员，控制危险源。具体行动如下：</w:t>
      </w:r>
    </w:p>
    <w:p>
      <w:pPr>
        <w:spacing w:line="360" w:lineRule="auto"/>
        <w:ind w:firstLine="480" w:firstLineChars="200"/>
      </w:pPr>
      <w:r>
        <w:rPr>
          <w:rFonts w:hint="eastAsia"/>
        </w:rPr>
        <w:t>（</w:t>
      </w:r>
      <w:r>
        <w:t>1</w:t>
      </w:r>
      <w:r>
        <w:rPr>
          <w:rFonts w:hint="eastAsia"/>
        </w:rPr>
        <w:t>）隔</w:t>
      </w:r>
      <w:r>
        <w:rPr>
          <w:rFonts w:hint="eastAsia"/>
          <w:spacing w:val="-6"/>
        </w:rPr>
        <w:t>离疏散。根据事发地及影响区域的气象、地理环境和</w:t>
      </w:r>
      <w:r>
        <w:rPr>
          <w:rFonts w:hint="eastAsia"/>
        </w:rPr>
        <w:t>人员密集度等情况，设立现场警戒区、交通管制区和重点防护区；确定受威胁人员的疏散方式和途径，有组织、有秩序地及时疏散转移受威胁人员和可能受影响地区的居民，并妥善做好转移人员安置工作。</w:t>
      </w:r>
    </w:p>
    <w:p>
      <w:pPr>
        <w:adjustRightInd w:val="0"/>
        <w:snapToGrid w:val="0"/>
        <w:spacing w:line="360" w:lineRule="auto"/>
        <w:ind w:firstLine="480" w:firstLineChars="200"/>
        <w:rPr>
          <w:rFonts w:cs="Times New Roman"/>
          <w:color w:val="auto"/>
        </w:rPr>
      </w:pPr>
      <w:r>
        <w:rPr>
          <w:rFonts w:hint="eastAsia"/>
        </w:rPr>
        <w:t>（</w:t>
      </w:r>
      <w:r>
        <w:t>2</w:t>
      </w:r>
      <w:r>
        <w:rPr>
          <w:rFonts w:hint="eastAsia"/>
        </w:rPr>
        <w:t>）危害控制。生态环境部门调集人员、设备，及时到达现场开展应急处置，尽可能采取有效措施控制危险源，防止事故扩</w:t>
      </w:r>
      <w:r>
        <w:rPr>
          <w:rFonts w:hint="eastAsia"/>
          <w:spacing w:val="6"/>
        </w:rPr>
        <w:t>大。</w:t>
      </w:r>
    </w:p>
    <w:p>
      <w:pPr>
        <w:adjustRightInd w:val="0"/>
        <w:snapToGrid w:val="0"/>
        <w:spacing w:line="360" w:lineRule="auto"/>
        <w:ind w:firstLine="480" w:firstLineChars="200"/>
        <w:rPr>
          <w:rFonts w:cs="Times New Roman"/>
          <w:color w:val="auto"/>
        </w:rPr>
      </w:pPr>
      <w:r>
        <w:rPr>
          <w:rFonts w:cs="Times New Roman"/>
          <w:color w:val="auto"/>
        </w:rPr>
        <w:t>2</w:t>
      </w:r>
      <w:r>
        <w:rPr>
          <w:rFonts w:hint="eastAsia" w:cs="Times New Roman"/>
          <w:color w:val="auto"/>
        </w:rPr>
        <w:t>、市生态环境指挥部的具体行动：</w:t>
      </w:r>
    </w:p>
    <w:p>
      <w:pPr>
        <w:adjustRightInd w:val="0"/>
        <w:snapToGrid w:val="0"/>
        <w:spacing w:line="360" w:lineRule="auto"/>
        <w:ind w:firstLine="480" w:firstLineChars="200"/>
        <w:rPr>
          <w:rFonts w:cs="Times New Roman"/>
          <w:color w:val="auto"/>
        </w:rPr>
      </w:pPr>
      <w:r>
        <w:rPr>
          <w:rFonts w:hint="eastAsia" w:cs="Times New Roman"/>
          <w:color w:val="auto"/>
        </w:rPr>
        <w:t>（</w:t>
      </w:r>
      <w:r>
        <w:rPr>
          <w:rFonts w:cs="Times New Roman"/>
          <w:color w:val="auto"/>
        </w:rPr>
        <w:t>1</w:t>
      </w:r>
      <w:r>
        <w:rPr>
          <w:rFonts w:hint="eastAsia" w:cs="Times New Roman"/>
          <w:color w:val="auto"/>
        </w:rPr>
        <w:t>）会商研判。组织有关部门、机构及专家及时进行分析研判，根据辐射事故的影响范围和危害程度，制定相应防范应对措施。</w:t>
      </w:r>
    </w:p>
    <w:p>
      <w:pPr>
        <w:adjustRightInd w:val="0"/>
        <w:snapToGrid w:val="0"/>
        <w:spacing w:line="360" w:lineRule="auto"/>
        <w:ind w:firstLine="480" w:firstLineChars="200"/>
        <w:rPr>
          <w:rFonts w:cs="Times New Roman"/>
          <w:color w:val="auto"/>
        </w:rPr>
      </w:pPr>
      <w:r>
        <w:rPr>
          <w:rFonts w:cs="Times New Roman"/>
          <w:color w:val="auto"/>
        </w:rPr>
        <w:t>3</w:t>
      </w:r>
      <w:r>
        <w:rPr>
          <w:rFonts w:hint="eastAsia" w:cs="Times New Roman"/>
          <w:color w:val="auto"/>
        </w:rPr>
        <w:t>、市生态环境指挥部成员单位的具体行动：</w:t>
      </w:r>
    </w:p>
    <w:p>
      <w:pPr>
        <w:adjustRightInd w:val="0"/>
        <w:snapToGrid w:val="0"/>
        <w:spacing w:line="360" w:lineRule="auto"/>
        <w:ind w:firstLine="480" w:firstLineChars="200"/>
        <w:rPr>
          <w:rFonts w:cs="Times New Roman"/>
          <w:color w:val="auto"/>
        </w:rPr>
      </w:pPr>
      <w:r>
        <w:rPr>
          <w:rFonts w:hint="eastAsia" w:cs="Times New Roman"/>
          <w:color w:val="auto"/>
        </w:rPr>
        <w:t>市公安局：负责丢失、被盗放射源的立案、侦察和追缴，负责做好事故现场治安秩序的维护等。</w:t>
      </w:r>
    </w:p>
    <w:p>
      <w:pPr>
        <w:adjustRightInd w:val="0"/>
        <w:snapToGrid w:val="0"/>
        <w:spacing w:line="360" w:lineRule="auto"/>
        <w:ind w:firstLine="456" w:firstLineChars="200"/>
      </w:pPr>
      <w:r>
        <w:rPr>
          <w:rFonts w:hint="eastAsia"/>
          <w:spacing w:val="-6"/>
        </w:rPr>
        <w:t>市卫生健康委：迅速组织医疗资源和力量，对伤病人员进行</w:t>
      </w:r>
      <w:r>
        <w:rPr>
          <w:rFonts w:hint="eastAsia"/>
        </w:rPr>
        <w:t>现场救护，根据伤病人员放射损伤程度，送到相应医疗机构进行治疗；视情增派医疗卫生专家、调配急需药品和设备。必要时，组织开展公众心理干预和健康教育。</w:t>
      </w:r>
    </w:p>
    <w:p>
      <w:pPr>
        <w:adjustRightInd w:val="0"/>
        <w:snapToGrid w:val="0"/>
        <w:spacing w:line="360" w:lineRule="auto"/>
        <w:ind w:firstLine="480" w:firstLineChars="200"/>
      </w:pPr>
      <w:r>
        <w:t>市生态环境局：</w:t>
      </w:r>
      <w:r>
        <w:rPr>
          <w:rFonts w:hint="eastAsia"/>
        </w:rPr>
        <w:t>发生辐射事故后，应立即赶赴现场，协助事故发生单位划定安全区域、制定监测方案、提供监测数据，为辐射事故应急决策提供依据。根据辐射事故的性质、特点，告知群众应采取的安全防护措施，指导公众做好个人防护；开展受污染人员的去污洗消工作；指导现场应急工作人员应根据不同类型辐射事故的特点，配戴相应的专业防护装备，采取安全防护措施。</w:t>
      </w:r>
    </w:p>
    <w:p>
      <w:pPr>
        <w:spacing w:line="360" w:lineRule="auto"/>
        <w:ind w:firstLine="480" w:firstLineChars="200"/>
        <w:rPr>
          <w:spacing w:val="6"/>
        </w:rPr>
      </w:pPr>
      <w:r>
        <w:rPr>
          <w:rFonts w:hint="eastAsia"/>
        </w:rPr>
        <w:t>市委宣传部：借助电视、广播、报纸、网络等途径，运用</w:t>
      </w:r>
      <w:r>
        <w:rPr>
          <w:rFonts w:hint="eastAsia"/>
          <w:spacing w:val="6"/>
        </w:rPr>
        <w:t>微博、微信、移动客户端等新媒体平台，通过发布新闻通稿、举行新闻发布会等形式，主动、及时、准确向社会发布事故信息和应对情况，回应社会关切，澄清不实信息，正确引导社会舆论。</w:t>
      </w:r>
    </w:p>
    <w:p>
      <w:pPr>
        <w:adjustRightInd/>
        <w:snapToGrid/>
        <w:spacing w:line="360" w:lineRule="auto"/>
        <w:ind w:firstLine="480" w:firstLineChars="200"/>
        <w:rPr>
          <w:rFonts w:cstheme="minorBidi"/>
          <w:color w:val="auto"/>
        </w:rPr>
      </w:pPr>
      <w:r>
        <w:rPr>
          <w:rFonts w:hint="eastAsia"/>
        </w:rPr>
        <w:t>另外，相关部门要维护稳定，加强受影响区域社会治安管理，严厉打击借机传播谣言制造社会恐慌、哄抢救灾物资和生活必需品等违法犯罪行为；加强转移人员安置点、救灾物资存放点等重点区域治安管控；做好矛盾纠纷化解、政策解答和法律服务工作，防止出现群体性事件，维护社会稳定。</w:t>
      </w:r>
    </w:p>
    <w:p>
      <w:pPr>
        <w:adjustRightInd w:val="0"/>
        <w:snapToGrid w:val="0"/>
        <w:spacing w:line="360" w:lineRule="auto"/>
        <w:ind w:firstLine="480" w:firstLineChars="200"/>
        <w:rPr>
          <w:rFonts w:cs="Times New Roman"/>
        </w:rPr>
      </w:pPr>
      <w:r>
        <w:rPr>
          <w:rFonts w:cs="Times New Roman"/>
        </w:rPr>
        <w:t>辐射事故Ⅱ级响应行动：</w:t>
      </w:r>
    </w:p>
    <w:p>
      <w:pPr>
        <w:adjustRightInd w:val="0"/>
        <w:snapToGrid w:val="0"/>
        <w:spacing w:line="360" w:lineRule="auto"/>
        <w:ind w:firstLine="480" w:firstLineChars="200"/>
        <w:rPr>
          <w:rFonts w:cs="Times New Roman"/>
          <w:color w:val="FF0000"/>
        </w:rPr>
      </w:pPr>
      <w:r>
        <w:rPr>
          <w:rFonts w:hint="eastAsia" w:cs="Times New Roman"/>
          <w:color w:val="auto"/>
        </w:rPr>
        <w:t>在Ⅲ级响应基础上增加相应行动，在市级层面，市生态环境指挥部指挥长坐镇指挥。组织专业救援力量进行抢险</w:t>
      </w:r>
      <w:r>
        <w:rPr>
          <w:rFonts w:hint="eastAsia"/>
        </w:rPr>
        <w:t>搜救遇险人员，转运安置获救人员和伤员，同时避免造成次生伤害。</w:t>
      </w:r>
    </w:p>
    <w:p>
      <w:pPr>
        <w:adjustRightInd w:val="0"/>
        <w:snapToGrid w:val="0"/>
        <w:spacing w:line="360" w:lineRule="auto"/>
        <w:ind w:firstLine="480" w:firstLineChars="200"/>
        <w:rPr>
          <w:rFonts w:cs="Times New Roman"/>
        </w:rPr>
      </w:pPr>
      <w:r>
        <w:rPr>
          <w:rFonts w:cs="Times New Roman"/>
        </w:rPr>
        <w:t>辐射事故Ⅰ级响应行动：</w:t>
      </w:r>
    </w:p>
    <w:p>
      <w:pPr>
        <w:adjustRightInd w:val="0"/>
        <w:snapToGrid w:val="0"/>
        <w:spacing w:line="360" w:lineRule="auto"/>
        <w:ind w:firstLine="480" w:firstLineChars="200"/>
        <w:rPr>
          <w:rFonts w:cs="Times New Roman"/>
        </w:rPr>
      </w:pPr>
      <w:r>
        <w:rPr>
          <w:rFonts w:hint="eastAsia" w:cs="Times New Roman"/>
          <w:color w:val="auto"/>
        </w:rPr>
        <w:t>在Ⅱ级响应基础上增加相应行动，市长坐镇指挥部指挥，视情赴前线指导抢险救灾。全市所有市生态环境指挥部成员单位取消休假，全面开展辐射事故的应急处置等。</w:t>
      </w:r>
    </w:p>
    <w:p>
      <w:pPr>
        <w:pStyle w:val="3"/>
      </w:pPr>
      <w:bookmarkStart w:id="43" w:name="_Toc108453138"/>
      <w:bookmarkStart w:id="44" w:name="_Toc9722"/>
      <w:r>
        <w:t>6.3现场指挥部</w:t>
      </w:r>
      <w:bookmarkEnd w:id="43"/>
      <w:bookmarkEnd w:id="44"/>
    </w:p>
    <w:p>
      <w:pPr>
        <w:adjustRightInd w:val="0"/>
        <w:snapToGrid w:val="0"/>
        <w:spacing w:line="360" w:lineRule="auto"/>
        <w:ind w:firstLine="480" w:firstLineChars="200"/>
        <w:rPr>
          <w:rFonts w:cs="Times New Roman"/>
        </w:rPr>
      </w:pPr>
      <w:r>
        <w:rPr>
          <w:rFonts w:cs="Times New Roman"/>
        </w:rPr>
        <w:t>根据应急处置工作需要，</w:t>
      </w:r>
      <w:r>
        <w:rPr>
          <w:rFonts w:cs="Times New Roman"/>
          <w:lang w:val="en"/>
        </w:rPr>
        <w:t>永州市生态环境应急指挥部</w:t>
      </w:r>
      <w:r>
        <w:rPr>
          <w:rFonts w:cs="Times New Roman"/>
        </w:rPr>
        <w:t>牵头，负责组建现场指挥部，视情成立相关工作组，并建立现场指挥部相关运行工作制度，分工协作有序开展现场处置和救援工作。工作组可根据实际进行增减调整。</w:t>
      </w:r>
    </w:p>
    <w:p>
      <w:pPr>
        <w:pStyle w:val="3"/>
      </w:pPr>
      <w:bookmarkStart w:id="45" w:name="_Toc108453139"/>
      <w:bookmarkStart w:id="46" w:name="_Toc14948"/>
      <w:r>
        <w:t>6.4现场处置措施</w:t>
      </w:r>
      <w:bookmarkEnd w:id="45"/>
      <w:bookmarkEnd w:id="46"/>
    </w:p>
    <w:p>
      <w:pPr>
        <w:adjustRightInd w:val="0"/>
        <w:snapToGrid w:val="0"/>
        <w:spacing w:line="360" w:lineRule="auto"/>
        <w:ind w:firstLine="480" w:firstLineChars="200"/>
        <w:rPr>
          <w:rFonts w:cs="Times New Roman"/>
        </w:rPr>
      </w:pPr>
      <w:r>
        <w:rPr>
          <w:rFonts w:cs="Times New Roman"/>
        </w:rPr>
        <w:t>辐射事故应急响应启动后，</w:t>
      </w:r>
      <w:r>
        <w:rPr>
          <w:rFonts w:cs="Times New Roman"/>
          <w:lang w:val="en"/>
        </w:rPr>
        <w:t>永州市生态环境应急指挥部</w:t>
      </w:r>
      <w:r>
        <w:rPr>
          <w:rFonts w:cs="Times New Roman"/>
        </w:rPr>
        <w:t>应立即通知相关责任单位的现场救援处置人员赶赴现场，按照分工有序开展应急处置，主要工作措施如下：了解掌握现场人员伤亡、财产损失及伤员救护情况；确定辐射事故现场行动的原则要求，明确进出事故现场、在事故现场周边开展应急工作的有关管制或保护性规定。组织协调现场的人力物力维护秩序，转移救治受伤害人员，疏导交通，必要时实施交通管制；确定各现场应急工作组的具体任务、目标、责任，分组开展工作；事故造成环境污染的，对现场污染状况开展应急监测，初步确定污染状况及范围，划定现场警戒区和交通管制区域，确定重点防护区域、隔离区域、转移疏散人员范围等。同时，快速封堵或转移污染源，迅速控制事态发展；属于放射源丢失、被盗被抢的，对丢失现场或放射源可能移动的路线进行封锁或交通管制，及时向可能受影响的人群发布警告信息，并开展调查取证、侦查和追缴等工作；组织专家分析研判事件的发展趋势，制定有效应对措施，组织对现场污染物进行处理，疏散转移相关人员，消除污染物对人体健康和环境的后续影响，避免次生灾害发生；组织人力对可能受事故威胁的现场周边其他危险源进行监控，避免造成连带的环境或安全事故；经核实确定为较大及以上辐射事故，经市政府同意，</w:t>
      </w:r>
      <w:r>
        <w:rPr>
          <w:rFonts w:cs="Times New Roman"/>
          <w:lang w:val="en"/>
        </w:rPr>
        <w:t>永州市生态环境应急指挥部</w:t>
      </w:r>
      <w:r>
        <w:rPr>
          <w:rFonts w:cs="Times New Roman"/>
        </w:rPr>
        <w:t>办公室应第一时间向国家和省辐射事故应急领导机构报告有关情况，接受并实施国家或省的应急响应指令。</w:t>
      </w:r>
    </w:p>
    <w:p>
      <w:pPr>
        <w:pStyle w:val="3"/>
      </w:pPr>
      <w:bookmarkStart w:id="47" w:name="_Toc28981"/>
      <w:bookmarkStart w:id="48" w:name="_Toc108453140"/>
      <w:r>
        <w:t>6.5扩大响应</w:t>
      </w:r>
      <w:bookmarkEnd w:id="47"/>
      <w:bookmarkEnd w:id="48"/>
    </w:p>
    <w:p>
      <w:pPr>
        <w:adjustRightInd w:val="0"/>
        <w:snapToGrid w:val="0"/>
        <w:spacing w:line="360" w:lineRule="auto"/>
        <w:ind w:firstLine="480" w:firstLineChars="200"/>
        <w:rPr>
          <w:rFonts w:cs="Times New Roman"/>
        </w:rPr>
      </w:pPr>
      <w:r>
        <w:rPr>
          <w:rFonts w:cs="Times New Roman"/>
          <w:lang w:val="en"/>
        </w:rPr>
        <w:t>永州市生态环境应急指挥部</w:t>
      </w:r>
      <w:r>
        <w:rPr>
          <w:rFonts w:cs="Times New Roman"/>
        </w:rPr>
        <w:t>根据事态发展提出建议，经市政府主要领导同意，向驻永部队或省、国家有关方面请求支援。</w:t>
      </w:r>
    </w:p>
    <w:p>
      <w:pPr>
        <w:pStyle w:val="3"/>
      </w:pPr>
      <w:bookmarkStart w:id="49" w:name="_Toc108453141"/>
      <w:bookmarkStart w:id="50" w:name="_Toc389"/>
      <w:r>
        <w:t>6.6应急联动</w:t>
      </w:r>
      <w:bookmarkEnd w:id="49"/>
      <w:bookmarkEnd w:id="50"/>
    </w:p>
    <w:p>
      <w:pPr>
        <w:adjustRightInd w:val="0"/>
        <w:snapToGrid w:val="0"/>
        <w:spacing w:line="360" w:lineRule="auto"/>
        <w:ind w:firstLine="480" w:firstLineChars="200"/>
        <w:rPr>
          <w:rFonts w:cs="Times New Roman"/>
        </w:rPr>
      </w:pPr>
      <w:r>
        <w:rPr>
          <w:rFonts w:cs="Times New Roman"/>
          <w:lang w:val="en"/>
        </w:rPr>
        <w:t>永州市生态环境应急指挥部</w:t>
      </w:r>
      <w:r>
        <w:rPr>
          <w:rFonts w:cs="Times New Roman"/>
        </w:rPr>
        <w:t>办公室与</w:t>
      </w:r>
      <w:r>
        <w:rPr>
          <w:rFonts w:cs="Times New Roman"/>
          <w:lang w:val="en"/>
        </w:rPr>
        <w:t>县（市）区</w:t>
      </w:r>
      <w:r>
        <w:rPr>
          <w:rFonts w:cs="Times New Roman"/>
        </w:rPr>
        <w:t>政府建立应急联动机制，明确信息共享、队伍及资源调动程序等工作。</w:t>
      </w:r>
      <w:r>
        <w:rPr>
          <w:rFonts w:cs="Times New Roman"/>
          <w:lang w:val="en"/>
        </w:rPr>
        <w:t>县（市）区</w:t>
      </w:r>
      <w:r>
        <w:rPr>
          <w:rFonts w:cs="Times New Roman"/>
        </w:rPr>
        <w:t>政府应与属地有辐射应急能力的企业建立健全应急联动机制，明确值守应急通信联络方式、信息报送要求、队伍物资调动程序等，确保辐射事故发生后能够快速、有序、协同应对。</w:t>
      </w:r>
    </w:p>
    <w:p>
      <w:pPr>
        <w:pStyle w:val="3"/>
      </w:pPr>
      <w:bookmarkStart w:id="51" w:name="_Toc16255"/>
      <w:bookmarkStart w:id="52" w:name="_Toc108453142"/>
      <w:r>
        <w:t>6.7社会动员</w:t>
      </w:r>
      <w:bookmarkEnd w:id="51"/>
      <w:bookmarkEnd w:id="52"/>
    </w:p>
    <w:p>
      <w:pPr>
        <w:adjustRightInd w:val="0"/>
        <w:snapToGrid w:val="0"/>
        <w:spacing w:line="360" w:lineRule="auto"/>
        <w:ind w:firstLine="480" w:firstLineChars="200"/>
        <w:rPr>
          <w:rFonts w:cs="Times New Roman"/>
        </w:rPr>
      </w:pPr>
      <w:r>
        <w:rPr>
          <w:rFonts w:cs="Times New Roman"/>
        </w:rPr>
        <w:t>辐射事故发生后，</w:t>
      </w:r>
      <w:r>
        <w:rPr>
          <w:rFonts w:cs="Times New Roman"/>
          <w:lang w:val="en"/>
        </w:rPr>
        <w:t>永州市生态环境应急指挥部</w:t>
      </w:r>
      <w:r>
        <w:rPr>
          <w:rFonts w:cs="Times New Roman"/>
        </w:rPr>
        <w:t>应根据处置需要，通过广播、电视、报纸、网站、户外显示屏、微信、短信等向社会公众发布应对工作提示，动员社会力量开展自救互救，积极配合政府有关部门做好应急救援处置工作。</w:t>
      </w:r>
    </w:p>
    <w:p>
      <w:pPr>
        <w:pStyle w:val="3"/>
      </w:pPr>
      <w:bookmarkStart w:id="53" w:name="_Toc108453143"/>
      <w:bookmarkStart w:id="54" w:name="_Toc20800"/>
      <w:r>
        <w:t>6.8应急处置人员安全防护</w:t>
      </w:r>
      <w:bookmarkEnd w:id="53"/>
      <w:bookmarkEnd w:id="54"/>
    </w:p>
    <w:p>
      <w:pPr>
        <w:adjustRightInd w:val="0"/>
        <w:snapToGrid w:val="0"/>
        <w:spacing w:line="360" w:lineRule="auto"/>
        <w:ind w:firstLine="480" w:firstLineChars="200"/>
        <w:rPr>
          <w:rFonts w:cs="Times New Roman"/>
        </w:rPr>
      </w:pPr>
      <w:r>
        <w:rPr>
          <w:rFonts w:cs="Times New Roman"/>
        </w:rPr>
        <w:t>辐射事故现场应急处置人员必须配备相应的辐射防护装备，采取安全防护措施，严格执行出入事发现场的管制或保护性规定要求。</w:t>
      </w:r>
    </w:p>
    <w:p>
      <w:pPr>
        <w:pStyle w:val="3"/>
      </w:pPr>
      <w:bookmarkStart w:id="55" w:name="_Toc108453144"/>
      <w:r>
        <w:t>6.9应急状态终止</w:t>
      </w:r>
      <w:bookmarkEnd w:id="55"/>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6.9.1应急终止条件</w:t>
      </w:r>
    </w:p>
    <w:p>
      <w:pPr>
        <w:widowControl/>
        <w:adjustRightInd w:val="0"/>
        <w:snapToGrid w:val="0"/>
        <w:spacing w:line="360" w:lineRule="auto"/>
        <w:ind w:firstLine="480" w:firstLineChars="200"/>
        <w:rPr>
          <w:rFonts w:cs="Times New Roman"/>
          <w:kern w:val="0"/>
          <w:szCs w:val="24"/>
        </w:rPr>
      </w:pPr>
      <w:r>
        <w:rPr>
          <w:rFonts w:cs="Times New Roman"/>
          <w:kern w:val="0"/>
          <w:szCs w:val="24"/>
        </w:rPr>
        <w:t>符合下列条件之一的，即满足应急终止条件：</w:t>
      </w:r>
    </w:p>
    <w:p>
      <w:pPr>
        <w:widowControl/>
        <w:adjustRightInd w:val="0"/>
        <w:snapToGrid w:val="0"/>
        <w:spacing w:line="360" w:lineRule="auto"/>
        <w:ind w:firstLine="480" w:firstLineChars="200"/>
        <w:rPr>
          <w:rFonts w:cs="Times New Roman"/>
          <w:kern w:val="0"/>
          <w:szCs w:val="24"/>
        </w:rPr>
      </w:pPr>
      <w:r>
        <w:rPr>
          <w:rFonts w:cs="Times New Roman"/>
          <w:kern w:val="0"/>
          <w:szCs w:val="24"/>
        </w:rPr>
        <w:t>（1）确认事故所造成的危害已经被彻底消除或可控，辐射污染源的泄漏或释放已降至规定限值以内，事故现场的各种专业应急处置行动已无继续的必要；</w:t>
      </w:r>
    </w:p>
    <w:p>
      <w:pPr>
        <w:widowControl/>
        <w:adjustRightInd w:val="0"/>
        <w:snapToGrid w:val="0"/>
        <w:spacing w:line="360" w:lineRule="auto"/>
        <w:ind w:firstLine="480" w:firstLineChars="200"/>
        <w:rPr>
          <w:rFonts w:cs="Times New Roman"/>
          <w:kern w:val="0"/>
          <w:szCs w:val="24"/>
        </w:rPr>
      </w:pPr>
      <w:r>
        <w:rPr>
          <w:rFonts w:cs="Times New Roman"/>
          <w:kern w:val="0"/>
          <w:szCs w:val="24"/>
        </w:rPr>
        <w:t>（2）如果发生放射性废物处理、贮存和处置设施辐射事故，需接到事故设施应急状态终止的报告，应急监测组确认应急状态已终止，并且经过技术分析，确认事故已得到有效控制，放射性物质的释放已经停止或者已经控制到可接受的水平，事故设施恢复到安全状态。</w:t>
      </w:r>
    </w:p>
    <w:p>
      <w:pPr>
        <w:widowControl/>
        <w:shd w:val="clear" w:color="auto" w:fill="FFFFFF"/>
        <w:adjustRightInd w:val="0"/>
        <w:snapToGrid w:val="0"/>
        <w:spacing w:line="360" w:lineRule="auto"/>
        <w:rPr>
          <w:rFonts w:cs="Times New Roman"/>
          <w:b/>
          <w:bCs/>
          <w:kern w:val="0"/>
          <w:szCs w:val="24"/>
        </w:rPr>
      </w:pPr>
      <w:r>
        <w:rPr>
          <w:rFonts w:cs="Times New Roman"/>
          <w:b/>
          <w:bCs/>
          <w:kern w:val="0"/>
          <w:szCs w:val="24"/>
        </w:rPr>
        <w:t>6.9.2应急终止程序</w:t>
      </w:r>
    </w:p>
    <w:p>
      <w:pPr>
        <w:adjustRightInd w:val="0"/>
        <w:snapToGrid w:val="0"/>
        <w:spacing w:line="360" w:lineRule="auto"/>
        <w:ind w:firstLine="480" w:firstLineChars="200"/>
        <w:rPr>
          <w:rFonts w:cs="Times New Roman"/>
          <w:szCs w:val="24"/>
        </w:rPr>
      </w:pPr>
      <w:r>
        <w:rPr>
          <w:rFonts w:cs="Times New Roman"/>
          <w:szCs w:val="24"/>
        </w:rPr>
        <w:t>（1）对于一般辐射事故应急状态的终止，经永州市生态环境局报请湖南省生态环境厅批准后，由市应急领导小组宣布应急终止。</w:t>
      </w:r>
    </w:p>
    <w:p>
      <w:pPr>
        <w:adjustRightInd w:val="0"/>
        <w:snapToGrid w:val="0"/>
        <w:spacing w:line="360" w:lineRule="auto"/>
        <w:ind w:firstLine="480" w:firstLineChars="200"/>
        <w:rPr>
          <w:rFonts w:cs="Times New Roman"/>
          <w:szCs w:val="24"/>
        </w:rPr>
      </w:pPr>
      <w:r>
        <w:rPr>
          <w:rFonts w:cs="Times New Roman"/>
          <w:szCs w:val="24"/>
        </w:rPr>
        <w:t>（2）对于特别重大、重大和较大辐射事故应急状态的终止，经省生态环境厅辐射事故应急领导小组批准后，由省辐射应急办实施终止。并将应急状态终止报告报生态环境部核与辐射事故应急办公室。</w:t>
      </w:r>
    </w:p>
    <w:p>
      <w:pPr>
        <w:pStyle w:val="3"/>
      </w:pPr>
      <w:bookmarkStart w:id="56" w:name="_Toc108453145"/>
      <w:r>
        <w:t>6.10应急终止后的行动</w:t>
      </w:r>
      <w:bookmarkEnd w:id="56"/>
    </w:p>
    <w:p>
      <w:pPr>
        <w:adjustRightInd w:val="0"/>
        <w:snapToGrid w:val="0"/>
        <w:spacing w:line="360" w:lineRule="auto"/>
        <w:ind w:firstLine="480" w:firstLineChars="200"/>
        <w:rPr>
          <w:rFonts w:cs="Times New Roman"/>
        </w:rPr>
      </w:pPr>
      <w:r>
        <w:rPr>
          <w:rFonts w:cs="Times New Roman"/>
        </w:rPr>
        <w:t>应急响应状态终止后，辐射事故应急监测组根据</w:t>
      </w:r>
      <w:r>
        <w:rPr>
          <w:rFonts w:cs="Times New Roman"/>
          <w:lang w:val="en"/>
        </w:rPr>
        <w:t>永州市生态环境应急指挥部</w:t>
      </w:r>
      <w:r>
        <w:rPr>
          <w:rFonts w:cs="Times New Roman"/>
        </w:rPr>
        <w:t>办公室的指示，继续进行环境放射性巡测、采样和评价工作，直到</w:t>
      </w:r>
      <w:r>
        <w:rPr>
          <w:rFonts w:cs="Times New Roman"/>
          <w:lang w:val="en"/>
        </w:rPr>
        <w:t>永州市生态环境应急指挥部</w:t>
      </w:r>
      <w:r>
        <w:rPr>
          <w:rFonts w:cs="Times New Roman"/>
        </w:rPr>
        <w:t>办公室下达监测终止命令；根据监测情况，编写辐射事故应急分报告，并于两周内提交给</w:t>
      </w:r>
      <w:r>
        <w:rPr>
          <w:rFonts w:cs="Times New Roman"/>
          <w:lang w:val="en"/>
        </w:rPr>
        <w:t>永州市生态环境应急指挥部</w:t>
      </w:r>
      <w:r>
        <w:rPr>
          <w:rFonts w:cs="Times New Roman"/>
        </w:rPr>
        <w:t>办公室。</w:t>
      </w:r>
      <w:r>
        <w:rPr>
          <w:rFonts w:cs="Times New Roman"/>
          <w:lang w:val="en"/>
        </w:rPr>
        <w:t>县（市）区</w:t>
      </w:r>
      <w:r>
        <w:rPr>
          <w:rFonts w:cs="Times New Roman"/>
        </w:rPr>
        <w:t>辐射事故应急领导机构应根据辖区担负的应急响应任务，指导有关部门和辐射事故责任单位查清原因，制定完善有关管理制度及预案，防止重复发生类似事故；对辐射事故的情况和在应急期间采取的主要行动进行综合评估，提出改进完善本预案的有关工作建议；评价辐射事故对环境和公众的影响，督促有关责任单位做好场地修复、伤亡人员救助抚恤、应急资金补偿等善后工作；编制辐射事故应急响应总结报告。</w:t>
      </w:r>
    </w:p>
    <w:p>
      <w:pPr>
        <w:adjustRightInd w:val="0"/>
        <w:snapToGrid w:val="0"/>
        <w:spacing w:line="360" w:lineRule="auto"/>
        <w:ind w:firstLine="480" w:firstLineChars="200"/>
        <w:rPr>
          <w:rFonts w:cs="Times New Roman"/>
        </w:rPr>
      </w:pPr>
      <w:r>
        <w:rPr>
          <w:rFonts w:cs="Times New Roman"/>
        </w:rPr>
        <w:t>辐射事故应急响应总结报告经本级辐射事故应急领导机构批准后，于应急响应终止后一个月内报上一级辐射事故应急领导机构及同级政府。</w:t>
      </w:r>
    </w:p>
    <w:p>
      <w:pPr>
        <w:pStyle w:val="2"/>
        <w:rPr>
          <w:rFonts w:cs="Times New Roman"/>
        </w:rPr>
      </w:pPr>
      <w:bookmarkStart w:id="57" w:name="_Toc27939"/>
      <w:bookmarkStart w:id="58" w:name="_Toc108453146"/>
      <w:r>
        <w:rPr>
          <w:rFonts w:cs="Times New Roman"/>
        </w:rPr>
        <w:t>7应急过程记录及总结</w:t>
      </w:r>
      <w:bookmarkEnd w:id="57"/>
      <w:bookmarkEnd w:id="58"/>
    </w:p>
    <w:p>
      <w:pPr>
        <w:pStyle w:val="3"/>
      </w:pPr>
      <w:bookmarkStart w:id="59" w:name="_Toc108453147"/>
      <w:bookmarkStart w:id="60" w:name="_Toc9720"/>
      <w:r>
        <w:t>7.1记录及归档</w:t>
      </w:r>
      <w:bookmarkEnd w:id="59"/>
      <w:bookmarkEnd w:id="60"/>
    </w:p>
    <w:p>
      <w:pPr>
        <w:widowControl/>
        <w:adjustRightInd w:val="0"/>
        <w:snapToGrid w:val="0"/>
        <w:spacing w:line="360" w:lineRule="auto"/>
        <w:ind w:firstLine="480" w:firstLineChars="200"/>
        <w:jc w:val="left"/>
        <w:rPr>
          <w:rFonts w:cs="Times New Roman"/>
        </w:rPr>
      </w:pPr>
      <w:r>
        <w:rPr>
          <w:rFonts w:cs="Times New Roman"/>
        </w:rPr>
        <w:t>（1）应急响应启动后，固定电话开启自动记录功能，如无此装置或通讯装置为移动电话时，通话双方均应记录通话时间、对象、内容等，记录格式见附</w:t>
      </w:r>
      <w:r>
        <w:rPr>
          <w:rFonts w:hint="eastAsia" w:cs="Times New Roman"/>
        </w:rPr>
        <w:t>表</w:t>
      </w:r>
      <w:r>
        <w:rPr>
          <w:rFonts w:cs="Times New Roman"/>
        </w:rPr>
        <w:t xml:space="preserve"> 9.4。</w:t>
      </w:r>
    </w:p>
    <w:p>
      <w:pPr>
        <w:widowControl/>
        <w:adjustRightInd w:val="0"/>
        <w:snapToGrid w:val="0"/>
        <w:spacing w:line="360" w:lineRule="auto"/>
        <w:ind w:firstLine="480" w:firstLineChars="200"/>
        <w:jc w:val="left"/>
        <w:rPr>
          <w:rFonts w:cs="Times New Roman"/>
        </w:rPr>
      </w:pPr>
      <w:r>
        <w:rPr>
          <w:rFonts w:cs="Times New Roman"/>
        </w:rPr>
        <w:t>（2）现场监测人员应认真填写原始记录（附</w:t>
      </w:r>
      <w:r>
        <w:rPr>
          <w:rFonts w:hint="eastAsia" w:cs="Times New Roman"/>
        </w:rPr>
        <w:t>表9</w:t>
      </w:r>
      <w:r>
        <w:rPr>
          <w:rFonts w:cs="Times New Roman"/>
        </w:rPr>
        <w:t>. 6）， 监测点位位置描述要准确，现场地图绘制需仔细，文字清晰，法定计量单位要统一。</w:t>
      </w:r>
    </w:p>
    <w:p>
      <w:pPr>
        <w:widowControl/>
        <w:adjustRightInd w:val="0"/>
        <w:snapToGrid w:val="0"/>
        <w:spacing w:line="360" w:lineRule="auto"/>
        <w:ind w:firstLine="480" w:firstLineChars="200"/>
        <w:jc w:val="left"/>
        <w:rPr>
          <w:rFonts w:cs="Times New Roman"/>
        </w:rPr>
      </w:pPr>
      <w:r>
        <w:rPr>
          <w:rFonts w:cs="Times New Roman"/>
        </w:rPr>
        <w:t>（3）各有关单位对事故应急过程中产生的所有文件、资料按内部文件要求进行归档。</w:t>
      </w:r>
    </w:p>
    <w:p>
      <w:pPr>
        <w:pStyle w:val="3"/>
      </w:pPr>
      <w:bookmarkStart w:id="61" w:name="_Toc27089"/>
      <w:bookmarkStart w:id="62" w:name="_Toc108453148"/>
      <w:r>
        <w:t>7.2总结报告</w:t>
      </w:r>
      <w:bookmarkEnd w:id="61"/>
      <w:bookmarkEnd w:id="62"/>
    </w:p>
    <w:p>
      <w:pPr>
        <w:adjustRightInd w:val="0"/>
        <w:snapToGrid w:val="0"/>
        <w:spacing w:line="360" w:lineRule="auto"/>
        <w:ind w:firstLine="480" w:firstLineChars="200"/>
        <w:rPr>
          <w:rFonts w:cs="Times New Roman"/>
          <w:szCs w:val="24"/>
        </w:rPr>
      </w:pPr>
      <w:r>
        <w:rPr>
          <w:rFonts w:cs="Times New Roman"/>
        </w:rPr>
        <w:t>事故应急监测工作结束后，由参加应急行动的各有关应急小组编写辐射事故应急分报告（附件 2），并于两周内提交给</w:t>
      </w:r>
      <w:r>
        <w:rPr>
          <w:rFonts w:cs="Times New Roman"/>
          <w:lang w:val="en"/>
        </w:rPr>
        <w:t>永州市生态环境应急指挥部</w:t>
      </w:r>
      <w:r>
        <w:rPr>
          <w:rFonts w:cs="Times New Roman"/>
        </w:rPr>
        <w:t>办公室，</w:t>
      </w:r>
      <w:r>
        <w:rPr>
          <w:rFonts w:cs="Times New Roman"/>
          <w:lang w:val="en"/>
        </w:rPr>
        <w:t>永州市生态环境应急指挥部</w:t>
      </w:r>
      <w:r>
        <w:rPr>
          <w:rFonts w:cs="Times New Roman"/>
        </w:rPr>
        <w:t>办公室接到报告后再编写辐射事故应急总结报告，并在两周内提交给省辐射事故应急办公室。</w:t>
      </w:r>
    </w:p>
    <w:p>
      <w:pPr>
        <w:pStyle w:val="2"/>
        <w:rPr>
          <w:rFonts w:cs="Times New Roman"/>
        </w:rPr>
      </w:pPr>
      <w:bookmarkStart w:id="63" w:name="_Toc108453149"/>
      <w:bookmarkStart w:id="64" w:name="_Toc27180"/>
      <w:r>
        <w:rPr>
          <w:rFonts w:cs="Times New Roman"/>
        </w:rPr>
        <w:t>8应急能力的维持与应急保障</w:t>
      </w:r>
      <w:bookmarkEnd w:id="63"/>
      <w:bookmarkEnd w:id="64"/>
    </w:p>
    <w:p>
      <w:pPr>
        <w:pStyle w:val="3"/>
      </w:pPr>
      <w:bookmarkStart w:id="65" w:name="_Toc156"/>
      <w:bookmarkStart w:id="66" w:name="_Toc108453150"/>
      <w:r>
        <w:rPr>
          <w:rFonts w:hint="eastAsia"/>
        </w:rPr>
        <w:t>8</w:t>
      </w:r>
      <w:r>
        <w:t>.1培训</w:t>
      </w:r>
      <w:bookmarkEnd w:id="65"/>
      <w:bookmarkEnd w:id="66"/>
    </w:p>
    <w:p>
      <w:pPr>
        <w:widowControl/>
        <w:adjustRightInd w:val="0"/>
        <w:snapToGrid w:val="0"/>
        <w:spacing w:line="360" w:lineRule="auto"/>
        <w:ind w:firstLine="480" w:firstLineChars="200"/>
        <w:jc w:val="left"/>
        <w:rPr>
          <w:rFonts w:cs="Times New Roman"/>
        </w:rPr>
      </w:pPr>
      <w:r>
        <w:rPr>
          <w:rFonts w:cs="Times New Roman"/>
          <w:lang w:val="en"/>
        </w:rPr>
        <w:t>永州市生态环境应急指挥部</w:t>
      </w:r>
      <w:r>
        <w:rPr>
          <w:rFonts w:cs="Times New Roman"/>
        </w:rPr>
        <w:t>办公室</w:t>
      </w:r>
      <w:r>
        <w:rPr>
          <w:rFonts w:hint="eastAsia" w:cs="Times New Roman"/>
        </w:rPr>
        <w:t>制定</w:t>
      </w:r>
      <w:r>
        <w:rPr>
          <w:rFonts w:cs="Times New Roman"/>
        </w:rPr>
        <w:t>永州市辐射事故应急人员培训计划，并按照计划</w:t>
      </w:r>
      <w:r>
        <w:rPr>
          <w:rFonts w:hint="eastAsia" w:cs="Times New Roman"/>
        </w:rPr>
        <w:t>积极</w:t>
      </w:r>
      <w:r>
        <w:rPr>
          <w:rFonts w:cs="Times New Roman"/>
        </w:rPr>
        <w:t>开展应急培训，进行国家有关法律法规和应急专业知识方面的培训和继续教育，提高其应急能力。各应急组织也要定期开展自身培训，熟悉业务和流程。</w:t>
      </w:r>
    </w:p>
    <w:p>
      <w:pPr>
        <w:widowControl/>
        <w:adjustRightInd w:val="0"/>
        <w:snapToGrid w:val="0"/>
        <w:spacing w:line="360" w:lineRule="auto"/>
        <w:ind w:firstLine="480" w:firstLineChars="200"/>
        <w:jc w:val="left"/>
        <w:rPr>
          <w:rFonts w:cs="Times New Roman"/>
        </w:rPr>
      </w:pPr>
      <w:r>
        <w:rPr>
          <w:rFonts w:cs="Times New Roman"/>
        </w:rPr>
        <w:t>地方人民政府或其授权的相关部门对参与本市辐射事故应急行动的人员应定期组织培训，或参与市里举办的应急培训，提升自身应急能力。</w:t>
      </w:r>
    </w:p>
    <w:p>
      <w:pPr>
        <w:pStyle w:val="3"/>
      </w:pPr>
      <w:bookmarkStart w:id="67" w:name="_Toc17720"/>
      <w:bookmarkStart w:id="68" w:name="_Toc108453151"/>
      <w:r>
        <w:t>8.2演练</w:t>
      </w:r>
      <w:bookmarkEnd w:id="67"/>
      <w:bookmarkEnd w:id="68"/>
    </w:p>
    <w:p>
      <w:pPr>
        <w:widowControl/>
        <w:adjustRightInd w:val="0"/>
        <w:snapToGrid w:val="0"/>
        <w:spacing w:line="360" w:lineRule="auto"/>
        <w:ind w:firstLine="480" w:firstLineChars="200"/>
        <w:rPr>
          <w:rFonts w:cs="Times New Roman"/>
        </w:rPr>
      </w:pPr>
      <w:r>
        <w:rPr>
          <w:rFonts w:cs="Times New Roman"/>
          <w:lang w:val="en"/>
        </w:rPr>
        <w:t>永州市生态环境应急指挥部</w:t>
      </w:r>
      <w:r>
        <w:rPr>
          <w:rFonts w:cs="Times New Roman"/>
        </w:rPr>
        <w:t>办公室适时制定并积极开展辐射事故应急演</w:t>
      </w:r>
      <w:r>
        <w:rPr>
          <w:rFonts w:hint="eastAsia" w:cs="Times New Roman"/>
        </w:rPr>
        <w:t>练</w:t>
      </w:r>
      <w:r>
        <w:rPr>
          <w:rFonts w:cs="Times New Roman"/>
        </w:rPr>
        <w:t>。组织地方人民政府或其授权的相关部门积极参与应急演</w:t>
      </w:r>
      <w:r>
        <w:rPr>
          <w:rFonts w:hint="eastAsia" w:cs="Times New Roman"/>
        </w:rPr>
        <w:t>练</w:t>
      </w:r>
      <w:r>
        <w:rPr>
          <w:rFonts w:cs="Times New Roman"/>
        </w:rPr>
        <w:t>。演</w:t>
      </w:r>
      <w:r>
        <w:rPr>
          <w:rFonts w:hint="eastAsia" w:cs="Times New Roman"/>
        </w:rPr>
        <w:t>练</w:t>
      </w:r>
      <w:r>
        <w:rPr>
          <w:rFonts w:cs="Times New Roman"/>
        </w:rPr>
        <w:t>后进行评估，总结经验，分析已有应急预案存在的不足，及时修订。</w:t>
      </w:r>
    </w:p>
    <w:p>
      <w:pPr>
        <w:adjustRightInd w:val="0"/>
        <w:snapToGrid w:val="0"/>
        <w:spacing w:line="360" w:lineRule="auto"/>
        <w:ind w:firstLine="480" w:firstLineChars="200"/>
        <w:rPr>
          <w:rFonts w:cs="Times New Roman"/>
        </w:rPr>
      </w:pPr>
      <w:r>
        <w:rPr>
          <w:rFonts w:cs="Times New Roman"/>
          <w:lang w:val="en"/>
        </w:rPr>
        <w:t>永州市生态环境应急指挥部</w:t>
      </w:r>
      <w:r>
        <w:rPr>
          <w:rFonts w:cs="Times New Roman"/>
        </w:rPr>
        <w:t>应结合实际情况，每二年组织1次全市综合性辐射事故应急演练；</w:t>
      </w:r>
      <w:r>
        <w:rPr>
          <w:rFonts w:cs="Times New Roman"/>
          <w:lang w:val="en"/>
        </w:rPr>
        <w:t>县（市）区</w:t>
      </w:r>
      <w:r>
        <w:rPr>
          <w:rFonts w:cs="Times New Roman"/>
        </w:rPr>
        <w:t>政府、辐射事故责任单位（含运输单位）每年至少组织开展1次辐射事故应急演练，演练计划和实施方案，于每年1月上旬报</w:t>
      </w:r>
      <w:r>
        <w:rPr>
          <w:rFonts w:cs="Times New Roman"/>
          <w:lang w:val="en"/>
        </w:rPr>
        <w:t>永州市生态环境应急指挥部</w:t>
      </w:r>
      <w:r>
        <w:rPr>
          <w:rFonts w:cs="Times New Roman"/>
        </w:rPr>
        <w:t>办公室。</w:t>
      </w:r>
    </w:p>
    <w:p>
      <w:pPr>
        <w:adjustRightInd w:val="0"/>
        <w:snapToGrid w:val="0"/>
        <w:spacing w:line="360" w:lineRule="auto"/>
        <w:ind w:firstLine="480" w:firstLineChars="200"/>
        <w:rPr>
          <w:rFonts w:cs="Times New Roman"/>
        </w:rPr>
      </w:pPr>
      <w:r>
        <w:rPr>
          <w:rFonts w:cs="Times New Roman"/>
        </w:rPr>
        <w:t>演练计划、演练方案、演练脚本、演练评估和演练音像资料要及时归档备查。</w:t>
      </w:r>
    </w:p>
    <w:p>
      <w:pPr>
        <w:pStyle w:val="3"/>
      </w:pPr>
      <w:bookmarkStart w:id="69" w:name="_Toc108453152"/>
      <w:bookmarkStart w:id="70" w:name="_Toc13387"/>
      <w:r>
        <w:t>8.3应急设备、设施的日常维护</w:t>
      </w:r>
      <w:bookmarkEnd w:id="69"/>
      <w:bookmarkEnd w:id="70"/>
    </w:p>
    <w:p>
      <w:pPr>
        <w:adjustRightInd w:val="0"/>
        <w:snapToGrid w:val="0"/>
        <w:spacing w:line="360" w:lineRule="auto"/>
        <w:ind w:firstLine="480" w:firstLineChars="200"/>
        <w:jc w:val="left"/>
        <w:rPr>
          <w:rFonts w:cs="Times New Roman"/>
        </w:rPr>
      </w:pPr>
      <w:r>
        <w:rPr>
          <w:rFonts w:cs="Times New Roman"/>
        </w:rPr>
        <w:t>所有辐射事故应急设施设备，不论专用或兼用，都由权属单位进行维护。权属单位应健全管理制度，设立专人负责保管维护，重要的设施设备要有操作规程，进行定期检查和试运行，保证可以随时启用。厅辐射应急办应对应急设备、设施进行不定期检查，发现问题及时督促改进。</w:t>
      </w:r>
    </w:p>
    <w:p>
      <w:pPr>
        <w:pStyle w:val="3"/>
      </w:pPr>
      <w:bookmarkStart w:id="71" w:name="_Toc29259"/>
      <w:bookmarkStart w:id="72" w:name="_Toc108453153"/>
      <w:r>
        <w:t>8.4应急资金</w:t>
      </w:r>
      <w:bookmarkEnd w:id="71"/>
      <w:bookmarkEnd w:id="72"/>
    </w:p>
    <w:p>
      <w:pPr>
        <w:adjustRightInd w:val="0"/>
        <w:snapToGrid w:val="0"/>
        <w:spacing w:line="360" w:lineRule="auto"/>
        <w:ind w:firstLine="480" w:firstLineChars="200"/>
        <w:jc w:val="left"/>
        <w:rPr>
          <w:rFonts w:cs="Times New Roman"/>
        </w:rPr>
      </w:pPr>
      <w:r>
        <w:rPr>
          <w:rFonts w:cs="Times New Roman"/>
        </w:rPr>
        <w:t>应急资金根据辐射事故应急准备与响应的需要，由生态环境部门协调其他成员单位统一做出辐射事故应急资金预算，经市财政审核后报市政府审批。</w:t>
      </w:r>
    </w:p>
    <w:p>
      <w:pPr>
        <w:pStyle w:val="3"/>
      </w:pPr>
      <w:bookmarkStart w:id="73" w:name="_Toc108453154"/>
      <w:bookmarkStart w:id="74" w:name="_Toc4305"/>
      <w:r>
        <w:t>8.5应急设施设备</w:t>
      </w:r>
      <w:bookmarkEnd w:id="73"/>
      <w:bookmarkEnd w:id="74"/>
    </w:p>
    <w:p>
      <w:pPr>
        <w:widowControl/>
        <w:adjustRightInd w:val="0"/>
        <w:snapToGrid w:val="0"/>
        <w:spacing w:line="360" w:lineRule="auto"/>
        <w:ind w:firstLine="480" w:firstLineChars="200"/>
        <w:rPr>
          <w:rFonts w:cs="Times New Roman"/>
          <w:kern w:val="0"/>
          <w:szCs w:val="24"/>
        </w:rPr>
      </w:pPr>
      <w:r>
        <w:rPr>
          <w:rFonts w:cs="Times New Roman"/>
          <w:kern w:val="0"/>
          <w:szCs w:val="24"/>
        </w:rPr>
        <w:t>根据本预案规定的职责，</w:t>
      </w:r>
      <w:r>
        <w:rPr>
          <w:rFonts w:cs="Times New Roman"/>
          <w:szCs w:val="24"/>
        </w:rPr>
        <w:t>市应急领导小组</w:t>
      </w:r>
      <w:r>
        <w:rPr>
          <w:rFonts w:cs="Times New Roman"/>
          <w:kern w:val="0"/>
          <w:szCs w:val="24"/>
        </w:rPr>
        <w:t>组织各责任单位建立健全辐射事故环保应急设备、装备和物质准备机制，做好准备工作，及时检查更新。辐射事故环保应急物质和装备包括通讯设备、交通设备、辐射防护装备、辐射测量仪器等。</w:t>
      </w:r>
    </w:p>
    <w:p>
      <w:pPr>
        <w:pStyle w:val="3"/>
        <w:rPr>
          <w:rStyle w:val="24"/>
          <w:rFonts w:eastAsia="仿宋"/>
          <w:b/>
          <w:bCs/>
          <w:sz w:val="28"/>
          <w:szCs w:val="28"/>
        </w:rPr>
      </w:pPr>
      <w:bookmarkStart w:id="75" w:name="_Toc108453155"/>
      <w:r>
        <w:rPr>
          <w:rStyle w:val="24"/>
          <w:rFonts w:eastAsia="仿宋"/>
          <w:b/>
          <w:bCs/>
          <w:sz w:val="28"/>
          <w:szCs w:val="28"/>
        </w:rPr>
        <w:t>8.6</w:t>
      </w:r>
      <w:r>
        <w:rPr>
          <w:rStyle w:val="24"/>
          <w:rFonts w:hint="eastAsia" w:eastAsia="仿宋"/>
          <w:b/>
          <w:bCs/>
          <w:sz w:val="28"/>
          <w:szCs w:val="28"/>
        </w:rPr>
        <w:t>技术</w:t>
      </w:r>
      <w:r>
        <w:rPr>
          <w:rStyle w:val="24"/>
          <w:rFonts w:eastAsia="仿宋"/>
          <w:b/>
          <w:bCs/>
          <w:sz w:val="28"/>
          <w:szCs w:val="28"/>
        </w:rPr>
        <w:t>保障</w:t>
      </w:r>
      <w:bookmarkEnd w:id="75"/>
    </w:p>
    <w:p>
      <w:pPr>
        <w:widowControl/>
        <w:adjustRightInd w:val="0"/>
        <w:snapToGrid w:val="0"/>
        <w:spacing w:line="360" w:lineRule="auto"/>
        <w:ind w:firstLine="480" w:firstLineChars="200"/>
        <w:rPr>
          <w:rFonts w:cs="Times New Roman"/>
          <w:kern w:val="0"/>
          <w:szCs w:val="24"/>
        </w:rPr>
      </w:pPr>
      <w:r>
        <w:rPr>
          <w:rFonts w:cs="Times New Roman"/>
        </w:rPr>
        <w:t>积极组建永州市辐射事故</w:t>
      </w:r>
      <w:r>
        <w:rPr>
          <w:rFonts w:cs="Times New Roman"/>
          <w:szCs w:val="24"/>
        </w:rPr>
        <w:t>专家组和</w:t>
      </w:r>
      <w:r>
        <w:rPr>
          <w:rFonts w:cs="Times New Roman"/>
        </w:rPr>
        <w:t>应急监测队伍</w:t>
      </w:r>
      <w:r>
        <w:rPr>
          <w:rFonts w:cs="Times New Roman"/>
          <w:szCs w:val="24"/>
        </w:rPr>
        <w:t>，确保在启动预警前、事件发生后相关专家能迅速到位，为指挥决策提供服务。建立辐射事故应急数据库，建立健全各专业应急队伍</w:t>
      </w:r>
      <w:r>
        <w:rPr>
          <w:rFonts w:cs="Times New Roman"/>
        </w:rPr>
        <w:t>，提升全市辐射事故应急能力</w:t>
      </w:r>
      <w:r>
        <w:rPr>
          <w:rFonts w:hint="eastAsia" w:cs="Times New Roman"/>
        </w:rPr>
        <w:t>。</w:t>
      </w:r>
    </w:p>
    <w:p>
      <w:pPr>
        <w:pStyle w:val="3"/>
        <w:rPr>
          <w:rStyle w:val="24"/>
          <w:rFonts w:eastAsia="仿宋"/>
          <w:b/>
          <w:bCs/>
          <w:sz w:val="28"/>
          <w:szCs w:val="28"/>
        </w:rPr>
      </w:pPr>
      <w:bookmarkStart w:id="76" w:name="_Toc108453156"/>
      <w:r>
        <w:rPr>
          <w:rStyle w:val="24"/>
          <w:rFonts w:eastAsia="仿宋"/>
          <w:b/>
          <w:bCs/>
          <w:sz w:val="28"/>
          <w:szCs w:val="28"/>
        </w:rPr>
        <w:t>8.7通信、医疗和治安保障</w:t>
      </w:r>
      <w:bookmarkEnd w:id="76"/>
    </w:p>
    <w:p>
      <w:pPr>
        <w:adjustRightInd w:val="0"/>
        <w:snapToGrid w:val="0"/>
        <w:spacing w:line="360" w:lineRule="auto"/>
        <w:ind w:firstLine="480" w:firstLineChars="200"/>
        <w:rPr>
          <w:rFonts w:cs="Times New Roman"/>
          <w:szCs w:val="24"/>
        </w:rPr>
      </w:pPr>
      <w:r>
        <w:rPr>
          <w:rFonts w:cs="Times New Roman"/>
          <w:szCs w:val="24"/>
        </w:rPr>
        <w:t>辐射事故应急处置工作所需的通信保障体系，由市工信局和有关部门协助建立。配备必要的有线、无线通信器材，确保本预案启动时应急行动指挥通信的畅通。</w:t>
      </w:r>
    </w:p>
    <w:p>
      <w:pPr>
        <w:adjustRightInd w:val="0"/>
        <w:snapToGrid w:val="0"/>
        <w:spacing w:line="360" w:lineRule="auto"/>
        <w:ind w:firstLine="480" w:firstLineChars="200"/>
        <w:rPr>
          <w:rFonts w:cs="Times New Roman"/>
          <w:szCs w:val="24"/>
        </w:rPr>
      </w:pPr>
      <w:r>
        <w:rPr>
          <w:rFonts w:cs="Times New Roman"/>
          <w:szCs w:val="24"/>
        </w:rPr>
        <w:t>市卫生局负责辐射事故应急医疗卫生保障，根据医疗救治和疾病预防控制机构的资源分布、救治能力和专业特长等因素，建立辐射事故医疗卫生应急救援体系。</w:t>
      </w:r>
    </w:p>
    <w:p>
      <w:pPr>
        <w:adjustRightInd w:val="0"/>
        <w:snapToGrid w:val="0"/>
        <w:spacing w:line="360" w:lineRule="auto"/>
        <w:ind w:firstLine="480" w:firstLineChars="200"/>
        <w:rPr>
          <w:rFonts w:cs="Times New Roman"/>
          <w:szCs w:val="24"/>
        </w:rPr>
      </w:pPr>
      <w:r>
        <w:rPr>
          <w:rFonts w:cs="Times New Roman"/>
          <w:szCs w:val="24"/>
        </w:rPr>
        <w:t>市公安局负责辐射应急处置行动中的治安保障，根据事故严重程度，调集各地警力，在应急救援现场设立警戒区和警戒哨，维持现场治安秩序，必要时疏散受灾群众；对重要场所、目标和设施加强警卫。</w:t>
      </w:r>
    </w:p>
    <w:p>
      <w:pPr>
        <w:pStyle w:val="2"/>
        <w:rPr>
          <w:rFonts w:cs="Times New Roman"/>
        </w:rPr>
      </w:pPr>
      <w:bookmarkStart w:id="77" w:name="_Toc108453157"/>
      <w:r>
        <w:rPr>
          <w:rFonts w:cs="Times New Roman"/>
        </w:rPr>
        <w:t>9附则</w:t>
      </w:r>
      <w:bookmarkEnd w:id="77"/>
    </w:p>
    <w:p>
      <w:pPr>
        <w:pStyle w:val="3"/>
      </w:pPr>
      <w:bookmarkStart w:id="78" w:name="_Toc108453158"/>
      <w:r>
        <w:t>9.1奖励与责任追究</w:t>
      </w:r>
      <w:bookmarkEnd w:id="78"/>
    </w:p>
    <w:p>
      <w:pPr>
        <w:adjustRightInd w:val="0"/>
        <w:snapToGrid w:val="0"/>
        <w:spacing w:line="360" w:lineRule="auto"/>
        <w:ind w:firstLine="480" w:firstLineChars="200"/>
        <w:rPr>
          <w:rFonts w:cs="Times New Roman"/>
          <w:lang w:val="en"/>
        </w:rPr>
      </w:pPr>
      <w:r>
        <w:rPr>
          <w:rFonts w:cs="Times New Roman"/>
          <w:lang w:val="en"/>
        </w:rPr>
        <w:t>在辐射事故应急救援行动中，对于完成应急处置任务、防范突发辐射事故表现出色的单位和个人，应依据有关规定给予表彰奖励。</w:t>
      </w:r>
    </w:p>
    <w:p>
      <w:pPr>
        <w:adjustRightInd w:val="0"/>
        <w:snapToGrid w:val="0"/>
        <w:spacing w:line="360" w:lineRule="auto"/>
        <w:ind w:firstLine="480" w:firstLineChars="200"/>
        <w:rPr>
          <w:rFonts w:cs="Times New Roman"/>
          <w:lang w:val="en"/>
        </w:rPr>
      </w:pPr>
      <w:r>
        <w:rPr>
          <w:rFonts w:cs="Times New Roman"/>
          <w:lang w:val="en"/>
        </w:rPr>
        <w:t>造成辐射事故的单位和个人，应根据有关法律规定排除危害，并对直接受到损失的单位或个人进行赔偿</w:t>
      </w:r>
      <w:r>
        <w:rPr>
          <w:rFonts w:hint="eastAsia" w:cs="Times New Roman"/>
          <w:lang w:val="en"/>
        </w:rPr>
        <w:t>，</w:t>
      </w:r>
      <w:r>
        <w:rPr>
          <w:rFonts w:cs="Times New Roman"/>
          <w:lang w:val="en"/>
        </w:rPr>
        <w:t>并依据《中华人民共和国放射性污染防治法》、《</w:t>
      </w:r>
      <w:r>
        <w:rPr>
          <w:rFonts w:hint="eastAsia" w:cs="Times New Roman"/>
          <w:lang w:val="en"/>
        </w:rPr>
        <w:t>放射性同位素与射线装置安全和防护条例</w:t>
      </w:r>
      <w:r>
        <w:rPr>
          <w:rFonts w:cs="Times New Roman"/>
          <w:lang w:val="en"/>
        </w:rPr>
        <w:t>》和《放射事故管理规定》等有关规定进行处罚；构成犯罪的，追究刑事责任。</w:t>
      </w:r>
    </w:p>
    <w:p>
      <w:pPr>
        <w:pStyle w:val="3"/>
        <w:keepNext/>
        <w:keepLines/>
        <w:pageBreakBefore w:val="0"/>
        <w:widowControl w:val="0"/>
        <w:kinsoku/>
        <w:wordWrap/>
        <w:overflowPunct/>
        <w:topLinePunct w:val="0"/>
        <w:autoSpaceDE/>
        <w:autoSpaceDN/>
        <w:bidi w:val="0"/>
        <w:adjustRightInd w:val="0"/>
        <w:snapToGrid w:val="0"/>
        <w:ind w:firstLine="480" w:firstLineChars="200"/>
        <w:textAlignment w:val="auto"/>
        <w:rPr>
          <w:rFonts w:ascii="Times New Roman" w:hAnsi="Times New Roman" w:eastAsia="仿宋" w:cs="Times New Roman"/>
          <w:b w:val="0"/>
          <w:bCs w:val="0"/>
          <w:kern w:val="2"/>
          <w:sz w:val="24"/>
          <w:szCs w:val="22"/>
          <w:lang w:val="en" w:eastAsia="zh-CN" w:bidi="ar-SA"/>
        </w:rPr>
      </w:pPr>
      <w:r>
        <w:rPr>
          <w:rFonts w:ascii="Times New Roman" w:hAnsi="Times New Roman" w:eastAsia="仿宋" w:cs="Times New Roman"/>
          <w:b w:val="0"/>
          <w:bCs w:val="0"/>
          <w:kern w:val="2"/>
          <w:sz w:val="24"/>
          <w:szCs w:val="22"/>
          <w:lang w:val="en" w:eastAsia="zh-CN" w:bidi="ar-SA"/>
        </w:rPr>
        <w:t>在辐射事故应急处置行动中，有渎职、失职及临阵脱逃等行为的，按照法律和规定，对有关责任人员视情节严重程度和危害后果，由其所在单位或者上级机关给予行政处分；对公务员和行政机关任命的其他人员，分别由任免机关或者监察机关给予行政处分；</w:t>
      </w:r>
      <w:r>
        <w:rPr>
          <w:rFonts w:hint="eastAsia" w:cs="Times New Roman"/>
          <w:b w:val="0"/>
          <w:bCs w:val="0"/>
          <w:kern w:val="2"/>
          <w:sz w:val="24"/>
          <w:szCs w:val="22"/>
          <w:lang w:val="en" w:eastAsia="zh-CN" w:bidi="ar-SA"/>
        </w:rPr>
        <w:t>涉嫌犯罪的</w:t>
      </w:r>
      <w:r>
        <w:rPr>
          <w:rFonts w:ascii="Times New Roman" w:hAnsi="Times New Roman" w:eastAsia="仿宋" w:cs="Times New Roman"/>
          <w:b w:val="0"/>
          <w:bCs w:val="0"/>
          <w:kern w:val="2"/>
          <w:sz w:val="24"/>
          <w:szCs w:val="22"/>
          <w:lang w:val="en" w:eastAsia="zh-CN" w:bidi="ar-SA"/>
        </w:rPr>
        <w:t>，</w:t>
      </w:r>
      <w:r>
        <w:rPr>
          <w:rFonts w:hint="eastAsia" w:cs="Times New Roman"/>
          <w:b w:val="0"/>
          <w:bCs w:val="0"/>
          <w:kern w:val="2"/>
          <w:sz w:val="24"/>
          <w:szCs w:val="22"/>
          <w:lang w:val="en" w:eastAsia="zh-CN" w:bidi="ar-SA"/>
        </w:rPr>
        <w:t>依法移送司法机关追究刑事责任</w:t>
      </w:r>
      <w:r>
        <w:rPr>
          <w:rFonts w:ascii="Times New Roman" w:hAnsi="Times New Roman" w:eastAsia="仿宋" w:cs="Times New Roman"/>
          <w:b w:val="0"/>
          <w:bCs w:val="0"/>
          <w:kern w:val="2"/>
          <w:sz w:val="24"/>
          <w:szCs w:val="22"/>
          <w:lang w:val="en" w:eastAsia="zh-CN" w:bidi="ar-SA"/>
        </w:rPr>
        <w:t>。</w:t>
      </w:r>
      <w:bookmarkStart w:id="79" w:name="_Toc9071"/>
      <w:bookmarkStart w:id="80" w:name="_Toc108453159"/>
    </w:p>
    <w:p>
      <w:pPr>
        <w:pStyle w:val="3"/>
        <w:keepNext/>
        <w:keepLines/>
        <w:pageBreakBefore w:val="0"/>
        <w:widowControl w:val="0"/>
        <w:kinsoku/>
        <w:wordWrap/>
        <w:overflowPunct/>
        <w:topLinePunct w:val="0"/>
        <w:autoSpaceDE/>
        <w:autoSpaceDN/>
        <w:bidi w:val="0"/>
        <w:adjustRightInd w:val="0"/>
        <w:snapToGrid w:val="0"/>
        <w:textAlignment w:val="auto"/>
      </w:pPr>
      <w:r>
        <w:t>9.2预案管理、解释及实施</w:t>
      </w:r>
      <w:bookmarkEnd w:id="79"/>
      <w:bookmarkEnd w:id="80"/>
    </w:p>
    <w:p>
      <w:pPr>
        <w:adjustRightInd w:val="0"/>
        <w:snapToGrid w:val="0"/>
        <w:spacing w:line="360" w:lineRule="auto"/>
        <w:ind w:firstLine="480" w:firstLineChars="200"/>
        <w:rPr>
          <w:rFonts w:cs="Times New Roman"/>
        </w:rPr>
      </w:pPr>
      <w:r>
        <w:rPr>
          <w:rFonts w:cs="Times New Roman"/>
          <w:lang w:val="en"/>
        </w:rPr>
        <w:t>本预案由永州市人民政府</w:t>
      </w:r>
      <w:r>
        <w:rPr>
          <w:rFonts w:hint="eastAsia" w:cs="Times New Roman"/>
          <w:lang w:val="en" w:eastAsia="zh-CN"/>
        </w:rPr>
        <w:t>审定批准后发布</w:t>
      </w:r>
      <w:r>
        <w:rPr>
          <w:rFonts w:cs="Times New Roman"/>
          <w:lang w:val="en"/>
        </w:rPr>
        <w:t>。县（市）区政府参照本预案，结合实际情况，制订本辖区辐</w:t>
      </w:r>
      <w:r>
        <w:rPr>
          <w:rFonts w:cs="Times New Roman"/>
        </w:rPr>
        <w:t>射事故应急预案，报</w:t>
      </w:r>
      <w:r>
        <w:rPr>
          <w:rFonts w:cs="Times New Roman"/>
          <w:lang w:val="en"/>
        </w:rPr>
        <w:t>永州市生态环境应急指挥部</w:t>
      </w:r>
      <w:r>
        <w:rPr>
          <w:rFonts w:cs="Times New Roman"/>
        </w:rPr>
        <w:t>办公室备案。</w:t>
      </w:r>
      <w:r>
        <w:rPr>
          <w:rFonts w:hint="eastAsia" w:cs="Times New Roman"/>
          <w:lang w:eastAsia="zh-CN"/>
        </w:rPr>
        <w:t>并</w:t>
      </w:r>
      <w:r>
        <w:rPr>
          <w:rFonts w:cs="Times New Roman"/>
        </w:rPr>
        <w:t>根据工作需要适时更新相关附件，由</w:t>
      </w:r>
      <w:r>
        <w:rPr>
          <w:rFonts w:cs="Times New Roman"/>
          <w:lang w:val="en"/>
        </w:rPr>
        <w:t>永州市生态环境应急指挥部</w:t>
      </w:r>
      <w:r>
        <w:rPr>
          <w:rFonts w:cs="Times New Roman"/>
        </w:rPr>
        <w:t>办公室组织修订并审批。</w:t>
      </w:r>
    </w:p>
    <w:p>
      <w:pPr>
        <w:pStyle w:val="3"/>
      </w:pPr>
      <w:bookmarkStart w:id="81" w:name="_Toc3887"/>
      <w:bookmarkStart w:id="82" w:name="_Toc108453160"/>
      <w:r>
        <w:t>9.3</w:t>
      </w:r>
      <w:bookmarkEnd w:id="81"/>
      <w:r>
        <w:rPr>
          <w:shd w:val="clear" w:color="auto" w:fill="FFFFFF"/>
        </w:rPr>
        <w:t>预案管理与更新</w:t>
      </w:r>
      <w:bookmarkEnd w:id="82"/>
    </w:p>
    <w:p>
      <w:pPr>
        <w:adjustRightInd w:val="0"/>
        <w:snapToGrid w:val="0"/>
        <w:spacing w:line="360" w:lineRule="auto"/>
        <w:ind w:firstLine="480" w:firstLineChars="200"/>
        <w:rPr>
          <w:rFonts w:cs="Times New Roman"/>
          <w:lang w:val="en"/>
        </w:rPr>
      </w:pPr>
      <w:r>
        <w:rPr>
          <w:rFonts w:cs="Times New Roman"/>
          <w:lang w:val="en"/>
        </w:rPr>
        <w:t>永州市生态环境应急指挥部办公室按照《湖南省突发事件应急预案管理办法》（湘政办发[2014]86号）的有关规定，结合应急处置和演练总结评估情况，适时组织对本预案进行修订，实现预案可持续改进。</w:t>
      </w:r>
    </w:p>
    <w:p>
      <w:pPr>
        <w:pStyle w:val="3"/>
        <w:rPr>
          <w:shd w:val="clear" w:color="auto" w:fill="FFFFFF"/>
        </w:rPr>
      </w:pPr>
      <w:bookmarkStart w:id="83" w:name="_Toc108453161"/>
      <w:r>
        <w:rPr>
          <w:shd w:val="clear" w:color="auto" w:fill="FFFFFF"/>
        </w:rPr>
        <w:t>9.4预案实施</w:t>
      </w:r>
      <w:bookmarkEnd w:id="83"/>
    </w:p>
    <w:p>
      <w:pPr>
        <w:adjustRightInd w:val="0"/>
        <w:snapToGrid w:val="0"/>
        <w:spacing w:line="360" w:lineRule="auto"/>
        <w:ind w:firstLine="480" w:firstLineChars="200"/>
        <w:rPr>
          <w:rFonts w:cs="Times New Roman"/>
          <w:szCs w:val="24"/>
        </w:rPr>
      </w:pPr>
      <w:r>
        <w:rPr>
          <w:rFonts w:cs="Times New Roman"/>
          <w:szCs w:val="24"/>
        </w:rPr>
        <w:t>本预案自印发之日起实施。</w:t>
      </w:r>
    </w:p>
    <w:p>
      <w:pPr>
        <w:widowControl/>
        <w:spacing w:line="240" w:lineRule="auto"/>
        <w:jc w:val="left"/>
        <w:rPr>
          <w:rFonts w:cs="Times New Roman"/>
          <w:szCs w:val="24"/>
        </w:rPr>
      </w:pPr>
      <w:r>
        <w:rPr>
          <w:rFonts w:cs="Times New Roman"/>
          <w:szCs w:val="24"/>
        </w:rPr>
        <w:br w:type="page"/>
      </w:r>
    </w:p>
    <w:p>
      <w:pPr>
        <w:pStyle w:val="2"/>
        <w:rPr>
          <w:rFonts w:cs="Times New Roman"/>
        </w:rPr>
      </w:pPr>
      <w:bookmarkStart w:id="84" w:name="_Toc108453162"/>
      <w:r>
        <w:rPr>
          <w:rFonts w:cs="Times New Roman"/>
        </w:rPr>
        <w:t>10附表</w:t>
      </w:r>
      <w:bookmarkEnd w:id="84"/>
    </w:p>
    <w:p>
      <w:pPr>
        <w:pStyle w:val="3"/>
        <w:rPr>
          <w:shd w:val="clear" w:color="auto" w:fill="FFFFFF"/>
        </w:rPr>
      </w:pPr>
      <w:bookmarkStart w:id="85" w:name="_Toc108453163"/>
      <w:bookmarkStart w:id="86" w:name="_Toc407803793"/>
      <w:r>
        <w:rPr>
          <w:shd w:val="clear" w:color="auto" w:fill="FFFFFF"/>
        </w:rPr>
        <w:t>10.1应急人员名单</w:t>
      </w:r>
      <w:bookmarkEnd w:id="85"/>
      <w:bookmarkEnd w:id="86"/>
    </w:p>
    <w:p>
      <w:pPr>
        <w:adjustRightInd w:val="0"/>
        <w:snapToGrid w:val="0"/>
        <w:spacing w:line="360" w:lineRule="auto"/>
        <w:jc w:val="center"/>
        <w:rPr>
          <w:rFonts w:cs="Times New Roman"/>
          <w:b/>
          <w:szCs w:val="24"/>
        </w:rPr>
      </w:pPr>
      <w:r>
        <w:rPr>
          <w:rFonts w:cs="Times New Roman"/>
          <w:b/>
          <w:szCs w:val="24"/>
        </w:rPr>
        <w:t>表2 永州市生态环境应急指挥部成员名单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表3 永州市生态环境应急指挥部办公室成员名单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表4 永州市辐射事故专家咨询组成员名单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表5 永州市辐射事故应急处置组成员名单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表6 永州市辐射事故应急监测组成员名单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p>
    <w:p>
      <w:pPr>
        <w:adjustRightInd w:val="0"/>
        <w:snapToGrid w:val="0"/>
        <w:spacing w:before="120" w:beforeLines="50" w:line="360" w:lineRule="auto"/>
        <w:jc w:val="center"/>
        <w:rPr>
          <w:rFonts w:cs="Times New Roman"/>
          <w:b/>
          <w:szCs w:val="24"/>
        </w:rPr>
      </w:pPr>
    </w:p>
    <w:p>
      <w:pPr>
        <w:adjustRightInd w:val="0"/>
        <w:snapToGrid w:val="0"/>
        <w:spacing w:before="120" w:beforeLines="50" w:line="360" w:lineRule="auto"/>
        <w:jc w:val="center"/>
        <w:rPr>
          <w:rFonts w:cs="Times New Roman"/>
          <w:b/>
          <w:szCs w:val="24"/>
        </w:rPr>
      </w:pPr>
      <w:r>
        <w:rPr>
          <w:rFonts w:cs="Times New Roman"/>
          <w:b/>
          <w:szCs w:val="24"/>
        </w:rPr>
        <w:t>表7 永州市辐射事故信息综合组成员名单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表8 永州市辐射事故后勤保障组成员名单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表9 永州市辐射事故应急后续协调组成员名单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表10 公安、卫生等接口部门联系人名单</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85"/>
        <w:gridCol w:w="2090"/>
        <w:gridCol w:w="2827"/>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jc w:val="center"/>
              <w:rPr>
                <w:rFonts w:cs="Times New Roman"/>
                <w:szCs w:val="24"/>
              </w:rPr>
            </w:pPr>
            <w:r>
              <w:rPr>
                <w:rFonts w:cs="Times New Roman"/>
                <w:szCs w:val="24"/>
              </w:rPr>
              <w:t>姓名</w:t>
            </w:r>
          </w:p>
        </w:tc>
        <w:tc>
          <w:tcPr>
            <w:tcW w:w="985" w:type="dxa"/>
            <w:vAlign w:val="center"/>
          </w:tcPr>
          <w:p>
            <w:pPr>
              <w:spacing w:line="360" w:lineRule="auto"/>
              <w:jc w:val="center"/>
              <w:rPr>
                <w:rFonts w:cs="Times New Roman"/>
                <w:szCs w:val="24"/>
              </w:rPr>
            </w:pPr>
            <w:r>
              <w:rPr>
                <w:rFonts w:cs="Times New Roman"/>
                <w:szCs w:val="24"/>
              </w:rPr>
              <w:t>职务</w:t>
            </w:r>
          </w:p>
        </w:tc>
        <w:tc>
          <w:tcPr>
            <w:tcW w:w="2090" w:type="dxa"/>
            <w:vAlign w:val="center"/>
          </w:tcPr>
          <w:p>
            <w:pPr>
              <w:spacing w:line="360" w:lineRule="auto"/>
              <w:jc w:val="center"/>
              <w:rPr>
                <w:rFonts w:cs="Times New Roman"/>
                <w:szCs w:val="24"/>
              </w:rPr>
            </w:pPr>
            <w:r>
              <w:rPr>
                <w:rFonts w:cs="Times New Roman"/>
                <w:szCs w:val="24"/>
              </w:rPr>
              <w:t>单位及职务</w:t>
            </w:r>
          </w:p>
        </w:tc>
        <w:tc>
          <w:tcPr>
            <w:tcW w:w="2827" w:type="dxa"/>
            <w:vAlign w:val="center"/>
          </w:tcPr>
          <w:p>
            <w:pPr>
              <w:spacing w:line="360" w:lineRule="auto"/>
              <w:jc w:val="center"/>
              <w:rPr>
                <w:rFonts w:cs="Times New Roman"/>
                <w:szCs w:val="24"/>
              </w:rPr>
            </w:pPr>
            <w:r>
              <w:rPr>
                <w:rFonts w:cs="Times New Roman"/>
                <w:szCs w:val="24"/>
              </w:rPr>
              <w:t>办公室电话号码</w:t>
            </w:r>
          </w:p>
        </w:tc>
        <w:tc>
          <w:tcPr>
            <w:tcW w:w="1721" w:type="dxa"/>
            <w:vAlign w:val="center"/>
          </w:tcPr>
          <w:p>
            <w:pPr>
              <w:spacing w:line="360" w:lineRule="auto"/>
              <w:jc w:val="center"/>
              <w:rPr>
                <w:rFonts w:cs="Times New Roman"/>
                <w:szCs w:val="24"/>
              </w:rPr>
            </w:pPr>
            <w:r>
              <w:rPr>
                <w:rFonts w:cs="Times New Roman"/>
                <w:szCs w:val="24"/>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 w:type="dxa"/>
            <w:vAlign w:val="center"/>
          </w:tcPr>
          <w:p>
            <w:pPr>
              <w:spacing w:line="360" w:lineRule="auto"/>
              <w:ind w:firstLine="480" w:firstLineChars="200"/>
              <w:jc w:val="center"/>
              <w:rPr>
                <w:rFonts w:cs="Times New Roman"/>
                <w:szCs w:val="24"/>
              </w:rPr>
            </w:pPr>
          </w:p>
        </w:tc>
        <w:tc>
          <w:tcPr>
            <w:tcW w:w="985" w:type="dxa"/>
            <w:vAlign w:val="center"/>
          </w:tcPr>
          <w:p>
            <w:pPr>
              <w:spacing w:line="360" w:lineRule="auto"/>
              <w:ind w:firstLine="480" w:firstLineChars="200"/>
              <w:jc w:val="center"/>
              <w:rPr>
                <w:rFonts w:cs="Times New Roman"/>
                <w:szCs w:val="24"/>
              </w:rPr>
            </w:pPr>
          </w:p>
        </w:tc>
        <w:tc>
          <w:tcPr>
            <w:tcW w:w="2090" w:type="dxa"/>
            <w:vAlign w:val="center"/>
          </w:tcPr>
          <w:p>
            <w:pPr>
              <w:spacing w:line="360" w:lineRule="auto"/>
              <w:ind w:firstLine="480" w:firstLineChars="200"/>
              <w:jc w:val="center"/>
              <w:rPr>
                <w:rFonts w:cs="Times New Roman"/>
                <w:szCs w:val="24"/>
              </w:rPr>
            </w:pPr>
          </w:p>
        </w:tc>
        <w:tc>
          <w:tcPr>
            <w:tcW w:w="2827" w:type="dxa"/>
            <w:vAlign w:val="center"/>
          </w:tcPr>
          <w:p>
            <w:pPr>
              <w:spacing w:line="360" w:lineRule="auto"/>
              <w:ind w:firstLine="480" w:firstLineChars="200"/>
              <w:jc w:val="center"/>
              <w:rPr>
                <w:rFonts w:cs="Times New Roman"/>
                <w:szCs w:val="24"/>
              </w:rPr>
            </w:pPr>
          </w:p>
        </w:tc>
        <w:tc>
          <w:tcPr>
            <w:tcW w:w="1721" w:type="dxa"/>
            <w:vAlign w:val="center"/>
          </w:tcPr>
          <w:p>
            <w:pPr>
              <w:spacing w:line="360" w:lineRule="auto"/>
              <w:ind w:firstLine="480" w:firstLineChars="200"/>
              <w:jc w:val="center"/>
              <w:rPr>
                <w:rFonts w:cs="Times New Roman"/>
                <w:szCs w:val="24"/>
              </w:rPr>
            </w:pPr>
          </w:p>
        </w:tc>
      </w:tr>
    </w:tbl>
    <w:p>
      <w:pPr>
        <w:adjustRightInd w:val="0"/>
        <w:snapToGrid w:val="0"/>
        <w:spacing w:before="120" w:beforeLines="50" w:line="360" w:lineRule="auto"/>
        <w:jc w:val="center"/>
        <w:rPr>
          <w:rFonts w:cs="Times New Roman"/>
          <w:b/>
          <w:szCs w:val="24"/>
        </w:rPr>
      </w:pPr>
      <w:r>
        <w:rPr>
          <w:rFonts w:cs="Times New Roman"/>
          <w:b/>
          <w:szCs w:val="24"/>
        </w:rPr>
        <w:t>表11 永州市政府应急组织成员签到表</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3217"/>
        <w:gridCol w:w="1752"/>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424" w:type="dxa"/>
            <w:vAlign w:val="center"/>
          </w:tcPr>
          <w:p>
            <w:pPr>
              <w:spacing w:line="360" w:lineRule="auto"/>
              <w:jc w:val="center"/>
              <w:rPr>
                <w:rFonts w:cs="Times New Roman"/>
                <w:szCs w:val="24"/>
              </w:rPr>
            </w:pPr>
            <w:r>
              <w:rPr>
                <w:rFonts w:cs="Times New Roman"/>
                <w:szCs w:val="24"/>
              </w:rPr>
              <w:t>姓名</w:t>
            </w:r>
          </w:p>
        </w:tc>
        <w:tc>
          <w:tcPr>
            <w:tcW w:w="3217" w:type="dxa"/>
            <w:vAlign w:val="center"/>
          </w:tcPr>
          <w:p>
            <w:pPr>
              <w:spacing w:line="360" w:lineRule="auto"/>
              <w:jc w:val="center"/>
              <w:rPr>
                <w:rFonts w:cs="Times New Roman"/>
                <w:szCs w:val="24"/>
              </w:rPr>
            </w:pPr>
            <w:r>
              <w:rPr>
                <w:rFonts w:cs="Times New Roman"/>
                <w:szCs w:val="24"/>
              </w:rPr>
              <w:t>应急响应岗位</w:t>
            </w:r>
          </w:p>
        </w:tc>
        <w:tc>
          <w:tcPr>
            <w:tcW w:w="1752" w:type="dxa"/>
            <w:vAlign w:val="center"/>
          </w:tcPr>
          <w:p>
            <w:pPr>
              <w:spacing w:line="360" w:lineRule="auto"/>
              <w:jc w:val="center"/>
              <w:rPr>
                <w:rFonts w:cs="Times New Roman"/>
                <w:szCs w:val="24"/>
              </w:rPr>
            </w:pPr>
            <w:r>
              <w:rPr>
                <w:rFonts w:cs="Times New Roman"/>
                <w:szCs w:val="24"/>
              </w:rPr>
              <w:t>到岗时间</w:t>
            </w:r>
          </w:p>
        </w:tc>
        <w:tc>
          <w:tcPr>
            <w:tcW w:w="1214" w:type="dxa"/>
            <w:vAlign w:val="center"/>
          </w:tcPr>
          <w:p>
            <w:pPr>
              <w:spacing w:line="360" w:lineRule="auto"/>
              <w:jc w:val="center"/>
              <w:rPr>
                <w:rFonts w:cs="Times New Roman"/>
                <w:szCs w:val="24"/>
              </w:rPr>
            </w:pPr>
            <w:r>
              <w:rPr>
                <w:rFonts w:cs="Times New Roman"/>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4" w:type="dxa"/>
            <w:vAlign w:val="center"/>
          </w:tcPr>
          <w:p>
            <w:pPr>
              <w:spacing w:line="360" w:lineRule="auto"/>
              <w:ind w:firstLine="480" w:firstLineChars="200"/>
              <w:jc w:val="center"/>
              <w:rPr>
                <w:rFonts w:cs="Times New Roman"/>
                <w:szCs w:val="24"/>
              </w:rPr>
            </w:pPr>
          </w:p>
        </w:tc>
        <w:tc>
          <w:tcPr>
            <w:tcW w:w="3217" w:type="dxa"/>
            <w:vAlign w:val="center"/>
          </w:tcPr>
          <w:p>
            <w:pPr>
              <w:spacing w:line="360" w:lineRule="auto"/>
              <w:ind w:firstLine="480" w:firstLineChars="200"/>
              <w:jc w:val="center"/>
              <w:rPr>
                <w:rFonts w:cs="Times New Roman"/>
                <w:szCs w:val="24"/>
              </w:rPr>
            </w:pPr>
          </w:p>
        </w:tc>
        <w:tc>
          <w:tcPr>
            <w:tcW w:w="1752" w:type="dxa"/>
            <w:vAlign w:val="center"/>
          </w:tcPr>
          <w:p>
            <w:pPr>
              <w:spacing w:line="360" w:lineRule="auto"/>
              <w:ind w:firstLine="480" w:firstLineChars="200"/>
              <w:jc w:val="center"/>
              <w:rPr>
                <w:rFonts w:cs="Times New Roman"/>
                <w:szCs w:val="24"/>
              </w:rPr>
            </w:pPr>
          </w:p>
        </w:tc>
        <w:tc>
          <w:tcPr>
            <w:tcW w:w="1214"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4" w:type="dxa"/>
            <w:vAlign w:val="center"/>
          </w:tcPr>
          <w:p>
            <w:pPr>
              <w:spacing w:line="360" w:lineRule="auto"/>
              <w:ind w:firstLine="480" w:firstLineChars="200"/>
              <w:jc w:val="center"/>
              <w:rPr>
                <w:rFonts w:cs="Times New Roman"/>
                <w:szCs w:val="24"/>
              </w:rPr>
            </w:pPr>
          </w:p>
        </w:tc>
        <w:tc>
          <w:tcPr>
            <w:tcW w:w="3217" w:type="dxa"/>
            <w:vAlign w:val="center"/>
          </w:tcPr>
          <w:p>
            <w:pPr>
              <w:spacing w:line="360" w:lineRule="auto"/>
              <w:ind w:firstLine="480" w:firstLineChars="200"/>
              <w:jc w:val="center"/>
              <w:rPr>
                <w:rFonts w:cs="Times New Roman"/>
                <w:szCs w:val="24"/>
              </w:rPr>
            </w:pPr>
          </w:p>
        </w:tc>
        <w:tc>
          <w:tcPr>
            <w:tcW w:w="1752" w:type="dxa"/>
            <w:vAlign w:val="center"/>
          </w:tcPr>
          <w:p>
            <w:pPr>
              <w:spacing w:line="360" w:lineRule="auto"/>
              <w:ind w:firstLine="480" w:firstLineChars="200"/>
              <w:jc w:val="center"/>
              <w:rPr>
                <w:rFonts w:cs="Times New Roman"/>
                <w:szCs w:val="24"/>
              </w:rPr>
            </w:pPr>
          </w:p>
        </w:tc>
        <w:tc>
          <w:tcPr>
            <w:tcW w:w="1214" w:type="dxa"/>
            <w:vAlign w:val="center"/>
          </w:tcPr>
          <w:p>
            <w:pPr>
              <w:spacing w:line="360" w:lineRule="auto"/>
              <w:ind w:firstLine="480" w:firstLineChars="200"/>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4" w:type="dxa"/>
            <w:vAlign w:val="center"/>
          </w:tcPr>
          <w:p>
            <w:pPr>
              <w:spacing w:line="360" w:lineRule="auto"/>
              <w:ind w:firstLine="480" w:firstLineChars="200"/>
              <w:jc w:val="center"/>
              <w:rPr>
                <w:rFonts w:cs="Times New Roman"/>
                <w:szCs w:val="24"/>
              </w:rPr>
            </w:pPr>
          </w:p>
        </w:tc>
        <w:tc>
          <w:tcPr>
            <w:tcW w:w="3217" w:type="dxa"/>
            <w:vAlign w:val="center"/>
          </w:tcPr>
          <w:p>
            <w:pPr>
              <w:spacing w:line="360" w:lineRule="auto"/>
              <w:ind w:firstLine="480" w:firstLineChars="200"/>
              <w:jc w:val="center"/>
              <w:rPr>
                <w:rFonts w:cs="Times New Roman"/>
                <w:szCs w:val="24"/>
              </w:rPr>
            </w:pPr>
          </w:p>
        </w:tc>
        <w:tc>
          <w:tcPr>
            <w:tcW w:w="1752" w:type="dxa"/>
            <w:vAlign w:val="center"/>
          </w:tcPr>
          <w:p>
            <w:pPr>
              <w:spacing w:line="360" w:lineRule="auto"/>
              <w:ind w:firstLine="480" w:firstLineChars="200"/>
              <w:jc w:val="center"/>
              <w:rPr>
                <w:rFonts w:cs="Times New Roman"/>
                <w:szCs w:val="24"/>
              </w:rPr>
            </w:pPr>
          </w:p>
        </w:tc>
        <w:tc>
          <w:tcPr>
            <w:tcW w:w="1214" w:type="dxa"/>
            <w:vAlign w:val="center"/>
          </w:tcPr>
          <w:p>
            <w:pPr>
              <w:spacing w:line="360" w:lineRule="auto"/>
              <w:ind w:firstLine="480" w:firstLineChars="200"/>
              <w:jc w:val="center"/>
              <w:rPr>
                <w:rFonts w:cs="Times New Roman"/>
                <w:szCs w:val="24"/>
              </w:rPr>
            </w:pPr>
          </w:p>
        </w:tc>
      </w:tr>
    </w:tbl>
    <w:p>
      <w:pPr>
        <w:spacing w:line="360" w:lineRule="auto"/>
        <w:ind w:firstLine="480" w:firstLineChars="200"/>
        <w:rPr>
          <w:rFonts w:cs="Times New Roman"/>
          <w:szCs w:val="24"/>
        </w:rPr>
      </w:pPr>
    </w:p>
    <w:p>
      <w:pPr>
        <w:spacing w:line="360" w:lineRule="auto"/>
        <w:rPr>
          <w:rFonts w:cs="Times New Roman"/>
          <w:szCs w:val="24"/>
        </w:rPr>
      </w:pPr>
    </w:p>
    <w:p>
      <w:pPr>
        <w:spacing w:line="360" w:lineRule="auto"/>
        <w:rPr>
          <w:rFonts w:cs="Times New Roman"/>
          <w:szCs w:val="24"/>
        </w:rPr>
      </w:pPr>
    </w:p>
    <w:p>
      <w:pPr>
        <w:widowControl/>
        <w:spacing w:line="360" w:lineRule="auto"/>
        <w:jc w:val="left"/>
        <w:rPr>
          <w:rFonts w:cs="Times New Roman"/>
          <w:szCs w:val="24"/>
        </w:rPr>
      </w:pPr>
      <w:r>
        <w:rPr>
          <w:rFonts w:cs="Times New Roman"/>
          <w:szCs w:val="24"/>
        </w:rPr>
        <w:br w:type="page"/>
      </w:r>
    </w:p>
    <w:p>
      <w:pPr>
        <w:pStyle w:val="3"/>
        <w:rPr>
          <w:shd w:val="clear" w:color="auto" w:fill="FFFFFF"/>
        </w:rPr>
      </w:pPr>
      <w:bookmarkStart w:id="87" w:name="_Toc407803794"/>
      <w:bookmarkStart w:id="88" w:name="_Toc108453164"/>
      <w:r>
        <w:rPr>
          <w:shd w:val="clear" w:color="auto" w:fill="FFFFFF"/>
        </w:rPr>
        <w:t>10.2辐射事故报告表</w:t>
      </w:r>
      <w:bookmarkEnd w:id="87"/>
      <w:bookmarkEnd w:id="88"/>
    </w:p>
    <w:p>
      <w:pPr>
        <w:adjustRightInd w:val="0"/>
        <w:snapToGrid w:val="0"/>
        <w:spacing w:before="120" w:beforeLines="50" w:line="360" w:lineRule="auto"/>
        <w:jc w:val="center"/>
        <w:rPr>
          <w:rFonts w:cs="Times New Roman"/>
          <w:b/>
          <w:szCs w:val="24"/>
        </w:rPr>
      </w:pPr>
      <w:r>
        <w:rPr>
          <w:rFonts w:cs="Times New Roman"/>
          <w:b/>
          <w:szCs w:val="24"/>
        </w:rPr>
        <w:t>表12 永州市辐射事故应急初报表</w:t>
      </w:r>
    </w:p>
    <w:tbl>
      <w:tblPr>
        <w:tblStyle w:val="16"/>
        <w:tblW w:w="82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3582"/>
        <w:gridCol w:w="2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0" w:type="dxa"/>
            <w:gridSpan w:val="2"/>
            <w:vAlign w:val="center"/>
          </w:tcPr>
          <w:p>
            <w:pPr>
              <w:snapToGrid w:val="0"/>
              <w:spacing w:line="360" w:lineRule="auto"/>
              <w:jc w:val="center"/>
              <w:rPr>
                <w:rFonts w:cs="Times New Roman"/>
                <w:szCs w:val="24"/>
              </w:rPr>
            </w:pPr>
            <w:r>
              <w:rPr>
                <w:rFonts w:cs="Times New Roman"/>
                <w:szCs w:val="24"/>
              </w:rPr>
              <w:t>辐射事故单位</w:t>
            </w:r>
          </w:p>
        </w:tc>
        <w:tc>
          <w:tcPr>
            <w:tcW w:w="3582" w:type="dxa"/>
            <w:vAlign w:val="center"/>
          </w:tcPr>
          <w:p>
            <w:pPr>
              <w:snapToGrid w:val="0"/>
              <w:spacing w:line="360" w:lineRule="auto"/>
              <w:jc w:val="center"/>
              <w:rPr>
                <w:rFonts w:cs="Times New Roman"/>
                <w:szCs w:val="24"/>
              </w:rPr>
            </w:pPr>
          </w:p>
        </w:tc>
        <w:tc>
          <w:tcPr>
            <w:tcW w:w="2538" w:type="dxa"/>
            <w:vMerge w:val="restart"/>
          </w:tcPr>
          <w:p>
            <w:pPr>
              <w:snapToGrid w:val="0"/>
              <w:spacing w:line="360" w:lineRule="auto"/>
              <w:rPr>
                <w:rFonts w:cs="Times New Roman"/>
                <w:szCs w:val="24"/>
              </w:rPr>
            </w:pPr>
            <w:r>
              <w:rPr>
                <w:rFonts w:cs="Times New Roman"/>
                <w:szCs w:val="24"/>
              </w:rPr>
              <w:t>通告编号：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0" w:type="dxa"/>
            <w:gridSpan w:val="2"/>
            <w:vAlign w:val="center"/>
          </w:tcPr>
          <w:p>
            <w:pPr>
              <w:snapToGrid w:val="0"/>
              <w:spacing w:line="360" w:lineRule="auto"/>
              <w:jc w:val="center"/>
              <w:rPr>
                <w:rFonts w:cs="Times New Roman"/>
                <w:szCs w:val="24"/>
              </w:rPr>
            </w:pPr>
            <w:r>
              <w:rPr>
                <w:rFonts w:cs="Times New Roman"/>
                <w:szCs w:val="24"/>
              </w:rPr>
              <w:t>联系人</w:t>
            </w:r>
          </w:p>
        </w:tc>
        <w:tc>
          <w:tcPr>
            <w:tcW w:w="3582" w:type="dxa"/>
            <w:vAlign w:val="center"/>
          </w:tcPr>
          <w:p>
            <w:pPr>
              <w:snapToGrid w:val="0"/>
              <w:spacing w:line="360" w:lineRule="auto"/>
              <w:jc w:val="center"/>
              <w:rPr>
                <w:rFonts w:cs="Times New Roman"/>
                <w:szCs w:val="24"/>
              </w:rPr>
            </w:pPr>
          </w:p>
        </w:tc>
        <w:tc>
          <w:tcPr>
            <w:tcW w:w="2538" w:type="dxa"/>
            <w:vMerge w:val="continue"/>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0" w:type="dxa"/>
            <w:gridSpan w:val="2"/>
            <w:vAlign w:val="center"/>
          </w:tcPr>
          <w:p>
            <w:pPr>
              <w:snapToGrid w:val="0"/>
              <w:spacing w:line="360" w:lineRule="auto"/>
              <w:jc w:val="center"/>
              <w:rPr>
                <w:rFonts w:cs="Times New Roman"/>
                <w:szCs w:val="24"/>
              </w:rPr>
            </w:pPr>
            <w:r>
              <w:rPr>
                <w:rFonts w:cs="Times New Roman"/>
                <w:szCs w:val="24"/>
              </w:rPr>
              <w:t>联系电话</w:t>
            </w:r>
          </w:p>
        </w:tc>
        <w:tc>
          <w:tcPr>
            <w:tcW w:w="3582" w:type="dxa"/>
            <w:vAlign w:val="center"/>
          </w:tcPr>
          <w:p>
            <w:pPr>
              <w:snapToGrid w:val="0"/>
              <w:spacing w:line="360" w:lineRule="auto"/>
              <w:jc w:val="center"/>
              <w:rPr>
                <w:rFonts w:cs="Times New Roman"/>
                <w:szCs w:val="24"/>
              </w:rPr>
            </w:pPr>
          </w:p>
        </w:tc>
        <w:tc>
          <w:tcPr>
            <w:tcW w:w="2538" w:type="dxa"/>
            <w:vMerge w:val="continue"/>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0" w:type="dxa"/>
            <w:gridSpan w:val="2"/>
            <w:vAlign w:val="center"/>
          </w:tcPr>
          <w:p>
            <w:pPr>
              <w:snapToGrid w:val="0"/>
              <w:spacing w:line="360" w:lineRule="auto"/>
              <w:jc w:val="center"/>
              <w:rPr>
                <w:rFonts w:cs="Times New Roman"/>
                <w:szCs w:val="24"/>
              </w:rPr>
            </w:pPr>
            <w:r>
              <w:rPr>
                <w:rFonts w:cs="Times New Roman"/>
                <w:szCs w:val="24"/>
              </w:rPr>
              <w:t>事故名称</w:t>
            </w:r>
          </w:p>
        </w:tc>
        <w:tc>
          <w:tcPr>
            <w:tcW w:w="6120" w:type="dxa"/>
            <w:gridSpan w:val="2"/>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080" w:type="dxa"/>
            <w:vMerge w:val="restart"/>
            <w:vAlign w:val="center"/>
          </w:tcPr>
          <w:p>
            <w:pPr>
              <w:snapToGrid w:val="0"/>
              <w:spacing w:line="360" w:lineRule="auto"/>
              <w:jc w:val="center"/>
              <w:rPr>
                <w:rFonts w:cs="Times New Roman"/>
                <w:szCs w:val="24"/>
              </w:rPr>
            </w:pPr>
            <w:r>
              <w:rPr>
                <w:rFonts w:cs="Times New Roman"/>
                <w:szCs w:val="24"/>
              </w:rPr>
              <w:t>事故发生地点和时间</w:t>
            </w:r>
          </w:p>
        </w:tc>
        <w:tc>
          <w:tcPr>
            <w:tcW w:w="1080" w:type="dxa"/>
            <w:vAlign w:val="center"/>
          </w:tcPr>
          <w:p>
            <w:pPr>
              <w:snapToGrid w:val="0"/>
              <w:spacing w:line="240" w:lineRule="auto"/>
              <w:jc w:val="center"/>
              <w:rPr>
                <w:rFonts w:cs="Times New Roman"/>
                <w:szCs w:val="24"/>
              </w:rPr>
            </w:pPr>
            <w:r>
              <w:rPr>
                <w:rFonts w:cs="Times New Roman"/>
                <w:szCs w:val="24"/>
              </w:rPr>
              <w:t>事故发</w:t>
            </w:r>
          </w:p>
          <w:p>
            <w:pPr>
              <w:snapToGrid w:val="0"/>
              <w:spacing w:line="240" w:lineRule="auto"/>
              <w:jc w:val="center"/>
              <w:rPr>
                <w:rFonts w:cs="Times New Roman"/>
                <w:szCs w:val="24"/>
              </w:rPr>
            </w:pPr>
            <w:r>
              <w:rPr>
                <w:rFonts w:cs="Times New Roman"/>
                <w:szCs w:val="24"/>
              </w:rPr>
              <w:t>生时间</w:t>
            </w:r>
          </w:p>
        </w:tc>
        <w:tc>
          <w:tcPr>
            <w:tcW w:w="6120" w:type="dxa"/>
            <w:gridSpan w:val="2"/>
            <w:vAlign w:val="center"/>
          </w:tcPr>
          <w:p>
            <w:pPr>
              <w:snapToGrid w:val="0"/>
              <w:spacing w:line="360" w:lineRule="auto"/>
              <w:ind w:firstLine="705" w:firstLineChars="294"/>
              <w:jc w:val="center"/>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080" w:type="dxa"/>
            <w:vMerge w:val="continue"/>
            <w:vAlign w:val="center"/>
          </w:tcPr>
          <w:p>
            <w:pPr>
              <w:snapToGrid w:val="0"/>
              <w:spacing w:line="360" w:lineRule="auto"/>
              <w:jc w:val="center"/>
              <w:rPr>
                <w:rFonts w:cs="Times New Roman"/>
                <w:szCs w:val="24"/>
              </w:rPr>
            </w:pPr>
          </w:p>
        </w:tc>
        <w:tc>
          <w:tcPr>
            <w:tcW w:w="1080" w:type="dxa"/>
            <w:vAlign w:val="center"/>
          </w:tcPr>
          <w:p>
            <w:pPr>
              <w:snapToGrid w:val="0"/>
              <w:spacing w:line="240" w:lineRule="auto"/>
              <w:jc w:val="center"/>
              <w:rPr>
                <w:rFonts w:cs="Times New Roman"/>
                <w:szCs w:val="24"/>
              </w:rPr>
            </w:pPr>
            <w:r>
              <w:rPr>
                <w:rFonts w:cs="Times New Roman"/>
                <w:szCs w:val="24"/>
              </w:rPr>
              <w:t>出事地点（省/区）</w:t>
            </w:r>
          </w:p>
        </w:tc>
        <w:tc>
          <w:tcPr>
            <w:tcW w:w="6120" w:type="dxa"/>
            <w:gridSpan w:val="2"/>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trPr>
        <w:tc>
          <w:tcPr>
            <w:tcW w:w="1080" w:type="dxa"/>
            <w:vAlign w:val="center"/>
          </w:tcPr>
          <w:p>
            <w:pPr>
              <w:snapToGrid w:val="0"/>
              <w:spacing w:line="240" w:lineRule="auto"/>
              <w:jc w:val="center"/>
              <w:rPr>
                <w:rFonts w:cs="Times New Roman"/>
                <w:szCs w:val="24"/>
              </w:rPr>
            </w:pPr>
            <w:r>
              <w:rPr>
                <w:rFonts w:cs="Times New Roman"/>
                <w:szCs w:val="24"/>
              </w:rPr>
              <w:t>事故</w:t>
            </w:r>
          </w:p>
          <w:p>
            <w:pPr>
              <w:snapToGrid w:val="0"/>
              <w:spacing w:line="240" w:lineRule="auto"/>
              <w:jc w:val="center"/>
              <w:rPr>
                <w:rFonts w:cs="Times New Roman"/>
                <w:szCs w:val="24"/>
              </w:rPr>
            </w:pPr>
            <w:r>
              <w:rPr>
                <w:rFonts w:cs="Times New Roman"/>
                <w:szCs w:val="24"/>
              </w:rPr>
              <w:t>种类</w:t>
            </w:r>
          </w:p>
        </w:tc>
        <w:tc>
          <w:tcPr>
            <w:tcW w:w="7200" w:type="dxa"/>
            <w:gridSpan w:val="3"/>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trPr>
        <w:tc>
          <w:tcPr>
            <w:tcW w:w="1080" w:type="dxa"/>
            <w:vAlign w:val="center"/>
          </w:tcPr>
          <w:p>
            <w:pPr>
              <w:snapToGrid w:val="0"/>
              <w:spacing w:line="240" w:lineRule="auto"/>
              <w:jc w:val="center"/>
              <w:rPr>
                <w:rFonts w:cs="Times New Roman"/>
                <w:szCs w:val="24"/>
              </w:rPr>
            </w:pPr>
            <w:r>
              <w:rPr>
                <w:rFonts w:cs="Times New Roman"/>
                <w:szCs w:val="24"/>
              </w:rPr>
              <w:t>事故</w:t>
            </w:r>
          </w:p>
          <w:p>
            <w:pPr>
              <w:snapToGrid w:val="0"/>
              <w:spacing w:line="240" w:lineRule="auto"/>
              <w:jc w:val="center"/>
              <w:rPr>
                <w:rFonts w:cs="Times New Roman"/>
                <w:szCs w:val="24"/>
              </w:rPr>
            </w:pPr>
            <w:r>
              <w:rPr>
                <w:rFonts w:cs="Times New Roman"/>
                <w:szCs w:val="24"/>
              </w:rPr>
              <w:t>原因</w:t>
            </w:r>
          </w:p>
        </w:tc>
        <w:tc>
          <w:tcPr>
            <w:tcW w:w="7200" w:type="dxa"/>
            <w:gridSpan w:val="3"/>
            <w:vAlign w:val="center"/>
          </w:tcPr>
          <w:p>
            <w:pPr>
              <w:snapToGrid w:val="0"/>
              <w:spacing w:line="24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1080" w:type="dxa"/>
            <w:vAlign w:val="center"/>
          </w:tcPr>
          <w:p>
            <w:pPr>
              <w:snapToGrid w:val="0"/>
              <w:spacing w:line="240" w:lineRule="auto"/>
              <w:jc w:val="center"/>
              <w:rPr>
                <w:rFonts w:cs="Times New Roman"/>
                <w:szCs w:val="24"/>
              </w:rPr>
            </w:pPr>
            <w:r>
              <w:rPr>
                <w:rFonts w:cs="Times New Roman"/>
                <w:szCs w:val="24"/>
              </w:rPr>
              <w:t>人员</w:t>
            </w:r>
          </w:p>
          <w:p>
            <w:pPr>
              <w:snapToGrid w:val="0"/>
              <w:spacing w:line="240" w:lineRule="auto"/>
              <w:jc w:val="center"/>
              <w:rPr>
                <w:rFonts w:cs="Times New Roman"/>
                <w:szCs w:val="24"/>
              </w:rPr>
            </w:pPr>
            <w:r>
              <w:rPr>
                <w:rFonts w:cs="Times New Roman"/>
                <w:szCs w:val="24"/>
              </w:rPr>
              <w:t>情况</w:t>
            </w:r>
          </w:p>
        </w:tc>
        <w:tc>
          <w:tcPr>
            <w:tcW w:w="7200" w:type="dxa"/>
            <w:gridSpan w:val="3"/>
            <w:vAlign w:val="center"/>
          </w:tcPr>
          <w:p>
            <w:pPr>
              <w:snapToGrid w:val="0"/>
              <w:spacing w:line="24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trPr>
        <w:tc>
          <w:tcPr>
            <w:tcW w:w="1080" w:type="dxa"/>
            <w:vAlign w:val="center"/>
          </w:tcPr>
          <w:p>
            <w:pPr>
              <w:snapToGrid w:val="0"/>
              <w:spacing w:line="240" w:lineRule="auto"/>
              <w:jc w:val="center"/>
              <w:rPr>
                <w:rFonts w:cs="Times New Roman"/>
                <w:szCs w:val="24"/>
              </w:rPr>
            </w:pPr>
            <w:r>
              <w:rPr>
                <w:rFonts w:cs="Times New Roman"/>
                <w:szCs w:val="24"/>
              </w:rPr>
              <w:t>屏蔽完整性受损概况</w:t>
            </w:r>
          </w:p>
        </w:tc>
        <w:tc>
          <w:tcPr>
            <w:tcW w:w="7200" w:type="dxa"/>
            <w:gridSpan w:val="3"/>
            <w:vAlign w:val="center"/>
          </w:tcPr>
          <w:p>
            <w:pPr>
              <w:snapToGrid w:val="0"/>
              <w:spacing w:line="24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trPr>
        <w:tc>
          <w:tcPr>
            <w:tcW w:w="1080" w:type="dxa"/>
            <w:vAlign w:val="center"/>
          </w:tcPr>
          <w:p>
            <w:pPr>
              <w:snapToGrid w:val="0"/>
              <w:spacing w:line="240" w:lineRule="auto"/>
              <w:jc w:val="center"/>
              <w:rPr>
                <w:rFonts w:cs="Times New Roman"/>
                <w:szCs w:val="24"/>
              </w:rPr>
            </w:pPr>
            <w:r>
              <w:rPr>
                <w:rFonts w:cs="Times New Roman"/>
                <w:szCs w:val="24"/>
              </w:rPr>
              <w:t>放射性泄漏情况</w:t>
            </w:r>
          </w:p>
        </w:tc>
        <w:tc>
          <w:tcPr>
            <w:tcW w:w="7200" w:type="dxa"/>
            <w:gridSpan w:val="3"/>
            <w:vAlign w:val="center"/>
          </w:tcPr>
          <w:p>
            <w:pPr>
              <w:snapToGrid w:val="0"/>
              <w:spacing w:line="24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trPr>
        <w:tc>
          <w:tcPr>
            <w:tcW w:w="1080" w:type="dxa"/>
            <w:vAlign w:val="center"/>
          </w:tcPr>
          <w:p>
            <w:pPr>
              <w:snapToGrid w:val="0"/>
              <w:spacing w:line="240" w:lineRule="auto"/>
              <w:jc w:val="center"/>
              <w:rPr>
                <w:rFonts w:cs="Times New Roman"/>
                <w:szCs w:val="24"/>
              </w:rPr>
            </w:pPr>
            <w:r>
              <w:rPr>
                <w:rFonts w:cs="Times New Roman"/>
                <w:szCs w:val="24"/>
              </w:rPr>
              <w:t>与事故有关的其他情况</w:t>
            </w:r>
          </w:p>
        </w:tc>
        <w:tc>
          <w:tcPr>
            <w:tcW w:w="7200" w:type="dxa"/>
            <w:gridSpan w:val="3"/>
            <w:vAlign w:val="center"/>
          </w:tcPr>
          <w:p>
            <w:pPr>
              <w:snapToGrid w:val="0"/>
              <w:spacing w:line="24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1" w:hRule="atLeast"/>
        </w:trPr>
        <w:tc>
          <w:tcPr>
            <w:tcW w:w="1080" w:type="dxa"/>
            <w:vAlign w:val="center"/>
          </w:tcPr>
          <w:p>
            <w:pPr>
              <w:snapToGrid w:val="0"/>
              <w:spacing w:line="240" w:lineRule="auto"/>
              <w:jc w:val="center"/>
              <w:rPr>
                <w:rFonts w:cs="Times New Roman"/>
                <w:szCs w:val="24"/>
              </w:rPr>
            </w:pPr>
            <w:r>
              <w:rPr>
                <w:rFonts w:cs="Times New Roman"/>
                <w:szCs w:val="24"/>
              </w:rPr>
              <w:t>初步判断的应急级别</w:t>
            </w:r>
          </w:p>
        </w:tc>
        <w:tc>
          <w:tcPr>
            <w:tcW w:w="7200" w:type="dxa"/>
            <w:gridSpan w:val="3"/>
            <w:vAlign w:val="center"/>
          </w:tcPr>
          <w:p>
            <w:pPr>
              <w:snapToGrid w:val="0"/>
              <w:spacing w:line="360" w:lineRule="auto"/>
              <w:jc w:val="center"/>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0" w:type="dxa"/>
            <w:gridSpan w:val="4"/>
            <w:vAlign w:val="center"/>
          </w:tcPr>
          <w:p>
            <w:pPr>
              <w:snapToGrid w:val="0"/>
              <w:spacing w:line="360" w:lineRule="auto"/>
              <w:jc w:val="left"/>
              <w:rPr>
                <w:rFonts w:cs="Times New Roman"/>
                <w:szCs w:val="24"/>
              </w:rPr>
            </w:pPr>
            <w:r>
              <w:rPr>
                <w:rFonts w:cs="Times New Roman"/>
                <w:szCs w:val="24"/>
              </w:rPr>
              <w:t>报告人（签名）：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0" w:type="dxa"/>
            <w:gridSpan w:val="4"/>
            <w:vAlign w:val="center"/>
          </w:tcPr>
          <w:p>
            <w:pPr>
              <w:snapToGrid w:val="0"/>
              <w:spacing w:line="360" w:lineRule="auto"/>
              <w:jc w:val="left"/>
              <w:rPr>
                <w:rFonts w:cs="Times New Roman"/>
                <w:szCs w:val="24"/>
              </w:rPr>
            </w:pPr>
            <w:r>
              <w:rPr>
                <w:rFonts w:cs="Times New Roman"/>
                <w:szCs w:val="24"/>
              </w:rPr>
              <w:t>审核人（签名）：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280" w:type="dxa"/>
            <w:gridSpan w:val="4"/>
            <w:vAlign w:val="center"/>
          </w:tcPr>
          <w:p>
            <w:pPr>
              <w:snapToGrid w:val="0"/>
              <w:spacing w:line="360" w:lineRule="auto"/>
              <w:jc w:val="left"/>
              <w:rPr>
                <w:rFonts w:cs="Times New Roman"/>
                <w:szCs w:val="24"/>
              </w:rPr>
            </w:pPr>
            <w:r>
              <w:rPr>
                <w:rFonts w:cs="Times New Roman"/>
                <w:szCs w:val="24"/>
              </w:rPr>
              <w:t>批准人（签名）：    年   月   日   时  分     职务        电话：</w:t>
            </w:r>
          </w:p>
        </w:tc>
      </w:tr>
    </w:tbl>
    <w:p>
      <w:pPr>
        <w:adjustRightInd w:val="0"/>
        <w:snapToGrid w:val="0"/>
        <w:spacing w:before="120" w:beforeLines="50" w:line="360" w:lineRule="auto"/>
        <w:jc w:val="center"/>
        <w:rPr>
          <w:rFonts w:cs="Times New Roman"/>
          <w:b/>
          <w:szCs w:val="24"/>
        </w:rPr>
      </w:pPr>
      <w:r>
        <w:rPr>
          <w:rFonts w:cs="Times New Roman"/>
          <w:b/>
          <w:szCs w:val="24"/>
        </w:rPr>
        <w:t>表13 永州市辐射事故应急续报表</w:t>
      </w:r>
    </w:p>
    <w:tbl>
      <w:tblPr>
        <w:tblStyle w:val="16"/>
        <w:tblW w:w="816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592"/>
        <w:gridCol w:w="9"/>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辐射事故单位</w:t>
            </w:r>
          </w:p>
        </w:tc>
        <w:tc>
          <w:tcPr>
            <w:tcW w:w="3592" w:type="dxa"/>
          </w:tcPr>
          <w:p>
            <w:pPr>
              <w:spacing w:before="60" w:after="60" w:line="360" w:lineRule="auto"/>
              <w:rPr>
                <w:rFonts w:cs="Times New Roman"/>
                <w:szCs w:val="24"/>
              </w:rPr>
            </w:pPr>
          </w:p>
        </w:tc>
        <w:tc>
          <w:tcPr>
            <w:tcW w:w="2589" w:type="dxa"/>
            <w:gridSpan w:val="2"/>
            <w:vMerge w:val="restart"/>
          </w:tcPr>
          <w:p>
            <w:pPr>
              <w:spacing w:before="60" w:after="60" w:line="360" w:lineRule="auto"/>
              <w:rPr>
                <w:rFonts w:cs="Times New Roman"/>
                <w:szCs w:val="24"/>
              </w:rPr>
            </w:pPr>
            <w:r>
              <w:rPr>
                <w:rFonts w:cs="Times New Roman"/>
                <w:szCs w:val="24"/>
              </w:rPr>
              <w:t>通告编号：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联系人及电话</w:t>
            </w:r>
          </w:p>
        </w:tc>
        <w:tc>
          <w:tcPr>
            <w:tcW w:w="3592" w:type="dxa"/>
          </w:tcPr>
          <w:p>
            <w:pPr>
              <w:spacing w:before="60" w:after="60" w:line="360" w:lineRule="auto"/>
              <w:rPr>
                <w:rFonts w:cs="Times New Roman"/>
                <w:szCs w:val="24"/>
              </w:rPr>
            </w:pPr>
          </w:p>
        </w:tc>
        <w:tc>
          <w:tcPr>
            <w:tcW w:w="2589" w:type="dxa"/>
            <w:gridSpan w:val="2"/>
            <w:vMerge w:val="continue"/>
          </w:tcPr>
          <w:p>
            <w:pPr>
              <w:spacing w:before="60" w:after="60"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事故名称</w:t>
            </w:r>
          </w:p>
        </w:tc>
        <w:tc>
          <w:tcPr>
            <w:tcW w:w="6181" w:type="dxa"/>
            <w:gridSpan w:val="3"/>
          </w:tcPr>
          <w:p>
            <w:pPr>
              <w:spacing w:before="60" w:after="60"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事故发生时间</w:t>
            </w:r>
          </w:p>
        </w:tc>
        <w:tc>
          <w:tcPr>
            <w:tcW w:w="6181" w:type="dxa"/>
            <w:gridSpan w:val="3"/>
          </w:tcPr>
          <w:p>
            <w:pPr>
              <w:spacing w:before="60" w:after="60" w:line="360" w:lineRule="auto"/>
              <w:ind w:left="867"/>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接到报告时间</w:t>
            </w:r>
          </w:p>
        </w:tc>
        <w:tc>
          <w:tcPr>
            <w:tcW w:w="6181" w:type="dxa"/>
            <w:gridSpan w:val="3"/>
          </w:tcPr>
          <w:p>
            <w:pPr>
              <w:spacing w:before="60" w:after="60" w:line="360" w:lineRule="auto"/>
              <w:ind w:left="867"/>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通告发出时间</w:t>
            </w:r>
          </w:p>
        </w:tc>
        <w:tc>
          <w:tcPr>
            <w:tcW w:w="6181" w:type="dxa"/>
            <w:gridSpan w:val="3"/>
          </w:tcPr>
          <w:p>
            <w:pPr>
              <w:spacing w:before="60" w:after="60" w:line="360" w:lineRule="auto"/>
              <w:ind w:left="867"/>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rPr>
                <w:rFonts w:cs="Times New Roman"/>
                <w:szCs w:val="24"/>
              </w:rPr>
            </w:pPr>
            <w:r>
              <w:rPr>
                <w:rFonts w:cs="Times New Roman"/>
                <w:szCs w:val="24"/>
              </w:rPr>
              <w:t>进入应急状态时间</w:t>
            </w:r>
          </w:p>
        </w:tc>
        <w:tc>
          <w:tcPr>
            <w:tcW w:w="3601" w:type="dxa"/>
            <w:gridSpan w:val="2"/>
          </w:tcPr>
          <w:p>
            <w:pPr>
              <w:spacing w:before="60" w:after="60" w:line="360" w:lineRule="auto"/>
              <w:ind w:left="867"/>
              <w:rPr>
                <w:rFonts w:cs="Times New Roman"/>
                <w:szCs w:val="24"/>
              </w:rPr>
            </w:pPr>
            <w:r>
              <w:rPr>
                <w:rFonts w:cs="Times New Roman"/>
                <w:szCs w:val="24"/>
              </w:rPr>
              <w:t>年    月   日   时   分</w:t>
            </w:r>
          </w:p>
        </w:tc>
        <w:tc>
          <w:tcPr>
            <w:tcW w:w="2580" w:type="dxa"/>
          </w:tcPr>
          <w:p>
            <w:pPr>
              <w:spacing w:before="60" w:after="60" w:line="360" w:lineRule="auto"/>
              <w:rPr>
                <w:rFonts w:cs="Times New Roman"/>
                <w:szCs w:val="24"/>
              </w:rPr>
            </w:pPr>
            <w:r>
              <w:rPr>
                <w:rFonts w:cs="Times New Roman"/>
                <w:szCs w:val="24"/>
              </w:rPr>
              <w:t>应急状态等级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trPr>
        <w:tc>
          <w:tcPr>
            <w:tcW w:w="8161" w:type="dxa"/>
            <w:gridSpan w:val="4"/>
          </w:tcPr>
          <w:p>
            <w:pPr>
              <w:adjustRightInd w:val="0"/>
              <w:spacing w:line="360" w:lineRule="auto"/>
              <w:jc w:val="left"/>
              <w:textAlignment w:val="baseline"/>
              <w:rPr>
                <w:rFonts w:cs="Times New Roman"/>
                <w:szCs w:val="24"/>
              </w:rPr>
            </w:pPr>
            <w:r>
              <w:rPr>
                <w:rFonts w:cs="Times New Roman"/>
                <w:szCs w:val="24"/>
              </w:rPr>
              <w:t>1、 事故发展概况：</w:t>
            </w:r>
          </w:p>
          <w:p>
            <w:pPr>
              <w:spacing w:line="360" w:lineRule="auto"/>
              <w:rPr>
                <w:rFonts w:cs="Times New Roman"/>
                <w:szCs w:val="24"/>
              </w:rPr>
            </w:pPr>
            <w:r>
              <w:rPr>
                <w:rFonts w:cs="Times New Roman"/>
                <w:szCs w:val="24"/>
              </w:rPr>
              <w:t>2、 事故起因：</w:t>
            </w:r>
          </w:p>
          <w:p>
            <w:pPr>
              <w:numPr>
                <w:ilvl w:val="0"/>
                <w:numId w:val="1"/>
              </w:numPr>
              <w:adjustRightInd w:val="0"/>
              <w:spacing w:line="360" w:lineRule="auto"/>
              <w:ind w:left="0" w:firstLine="0"/>
              <w:jc w:val="left"/>
              <w:textAlignment w:val="baseline"/>
              <w:rPr>
                <w:rFonts w:cs="Times New Roman"/>
                <w:szCs w:val="24"/>
              </w:rPr>
            </w:pPr>
            <w:r>
              <w:rPr>
                <w:rFonts w:cs="Times New Roman"/>
                <w:szCs w:val="24"/>
              </w:rPr>
              <w:t>已采取的和需要立即采取的应急措施</w:t>
            </w: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161" w:type="dxa"/>
            <w:gridSpan w:val="4"/>
            <w:vAlign w:val="center"/>
          </w:tcPr>
          <w:p>
            <w:pPr>
              <w:snapToGrid w:val="0"/>
              <w:spacing w:line="360" w:lineRule="auto"/>
              <w:jc w:val="left"/>
              <w:rPr>
                <w:rFonts w:cs="Times New Roman"/>
                <w:szCs w:val="24"/>
              </w:rPr>
            </w:pPr>
            <w:r>
              <w:rPr>
                <w:rFonts w:cs="Times New Roman"/>
                <w:szCs w:val="24"/>
              </w:rPr>
              <w:t>报告人签名：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161" w:type="dxa"/>
            <w:gridSpan w:val="4"/>
            <w:vAlign w:val="center"/>
          </w:tcPr>
          <w:p>
            <w:pPr>
              <w:snapToGrid w:val="0"/>
              <w:spacing w:line="360" w:lineRule="auto"/>
              <w:jc w:val="left"/>
              <w:rPr>
                <w:rFonts w:cs="Times New Roman"/>
                <w:szCs w:val="24"/>
              </w:rPr>
            </w:pPr>
            <w:r>
              <w:rPr>
                <w:rFonts w:cs="Times New Roman"/>
                <w:szCs w:val="24"/>
              </w:rPr>
              <w:t>审核人签名：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161" w:type="dxa"/>
            <w:gridSpan w:val="4"/>
            <w:vAlign w:val="center"/>
          </w:tcPr>
          <w:p>
            <w:pPr>
              <w:snapToGrid w:val="0"/>
              <w:spacing w:line="360" w:lineRule="auto"/>
              <w:jc w:val="left"/>
              <w:rPr>
                <w:rFonts w:cs="Times New Roman"/>
                <w:szCs w:val="24"/>
              </w:rPr>
            </w:pPr>
            <w:r>
              <w:rPr>
                <w:rFonts w:cs="Times New Roman"/>
                <w:szCs w:val="24"/>
              </w:rPr>
              <w:t>批准人签名：          年   月   日   时  分    职务      电话：</w:t>
            </w:r>
          </w:p>
        </w:tc>
      </w:tr>
    </w:tbl>
    <w:p>
      <w:pPr>
        <w:spacing w:line="360" w:lineRule="auto"/>
        <w:rPr>
          <w:rFonts w:cs="Times New Roman"/>
          <w:szCs w:val="24"/>
        </w:rPr>
      </w:pPr>
    </w:p>
    <w:p>
      <w:pPr>
        <w:adjustRightInd w:val="0"/>
        <w:snapToGrid w:val="0"/>
        <w:spacing w:before="120" w:beforeLines="50" w:line="360" w:lineRule="auto"/>
        <w:jc w:val="center"/>
        <w:rPr>
          <w:rFonts w:cs="Times New Roman"/>
          <w:b/>
          <w:szCs w:val="24"/>
        </w:rPr>
      </w:pPr>
      <w:r>
        <w:rPr>
          <w:rFonts w:cs="Times New Roman"/>
          <w:b/>
          <w:szCs w:val="24"/>
        </w:rPr>
        <w:t>表14 永州市辐射事故应急处理结果报告表</w:t>
      </w:r>
    </w:p>
    <w:tbl>
      <w:tblPr>
        <w:tblStyle w:val="16"/>
        <w:tblW w:w="822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3240"/>
        <w:gridCol w:w="352"/>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辐射事故单位</w:t>
            </w:r>
          </w:p>
        </w:tc>
        <w:tc>
          <w:tcPr>
            <w:tcW w:w="3592" w:type="dxa"/>
            <w:gridSpan w:val="2"/>
          </w:tcPr>
          <w:p>
            <w:pPr>
              <w:spacing w:before="60" w:after="60" w:line="360" w:lineRule="auto"/>
              <w:rPr>
                <w:rFonts w:cs="Times New Roman"/>
                <w:szCs w:val="24"/>
              </w:rPr>
            </w:pPr>
          </w:p>
        </w:tc>
        <w:tc>
          <w:tcPr>
            <w:tcW w:w="2653" w:type="dxa"/>
            <w:vMerge w:val="restart"/>
          </w:tcPr>
          <w:p>
            <w:pPr>
              <w:spacing w:before="60" w:after="60" w:line="360" w:lineRule="auto"/>
              <w:rPr>
                <w:rFonts w:cs="Times New Roman"/>
                <w:szCs w:val="24"/>
              </w:rPr>
            </w:pPr>
            <w:r>
              <w:rPr>
                <w:rFonts w:cs="Times New Roman"/>
                <w:szCs w:val="24"/>
              </w:rPr>
              <w:t>通告编号：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联系人及电话</w:t>
            </w:r>
          </w:p>
        </w:tc>
        <w:tc>
          <w:tcPr>
            <w:tcW w:w="3592" w:type="dxa"/>
            <w:gridSpan w:val="2"/>
          </w:tcPr>
          <w:p>
            <w:pPr>
              <w:spacing w:before="60" w:after="60" w:line="360" w:lineRule="auto"/>
              <w:rPr>
                <w:rFonts w:cs="Times New Roman"/>
                <w:szCs w:val="24"/>
              </w:rPr>
            </w:pPr>
          </w:p>
        </w:tc>
        <w:tc>
          <w:tcPr>
            <w:tcW w:w="2653" w:type="dxa"/>
            <w:vMerge w:val="continue"/>
          </w:tcPr>
          <w:p>
            <w:pPr>
              <w:spacing w:before="60" w:after="60"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事故名称</w:t>
            </w:r>
          </w:p>
        </w:tc>
        <w:tc>
          <w:tcPr>
            <w:tcW w:w="6245" w:type="dxa"/>
            <w:gridSpan w:val="3"/>
          </w:tcPr>
          <w:p>
            <w:pPr>
              <w:spacing w:before="60" w:after="60"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事故发生时间</w:t>
            </w:r>
          </w:p>
        </w:tc>
        <w:tc>
          <w:tcPr>
            <w:tcW w:w="6245" w:type="dxa"/>
            <w:gridSpan w:val="3"/>
          </w:tcPr>
          <w:p>
            <w:pPr>
              <w:spacing w:before="60" w:after="60" w:line="360" w:lineRule="auto"/>
              <w:ind w:left="552" w:firstLine="480" w:firstLineChars="200"/>
              <w:jc w:val="left"/>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通告发出时间</w:t>
            </w:r>
          </w:p>
        </w:tc>
        <w:tc>
          <w:tcPr>
            <w:tcW w:w="6245" w:type="dxa"/>
            <w:gridSpan w:val="3"/>
          </w:tcPr>
          <w:p>
            <w:pPr>
              <w:spacing w:before="60" w:after="60" w:line="360" w:lineRule="auto"/>
              <w:ind w:left="552" w:firstLine="480" w:firstLineChars="200"/>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center"/>
              <w:rPr>
                <w:rFonts w:cs="Times New Roman"/>
                <w:szCs w:val="24"/>
              </w:rPr>
            </w:pPr>
            <w:r>
              <w:rPr>
                <w:rFonts w:cs="Times New Roman"/>
                <w:szCs w:val="24"/>
              </w:rPr>
              <w:t>报告发出时间</w:t>
            </w:r>
          </w:p>
        </w:tc>
        <w:tc>
          <w:tcPr>
            <w:tcW w:w="6245" w:type="dxa"/>
            <w:gridSpan w:val="3"/>
          </w:tcPr>
          <w:p>
            <w:pPr>
              <w:spacing w:before="60" w:after="60" w:line="360" w:lineRule="auto"/>
              <w:ind w:left="552" w:firstLine="480" w:firstLineChars="200"/>
              <w:rPr>
                <w:rFonts w:cs="Times New Roman"/>
                <w:szCs w:val="24"/>
              </w:rPr>
            </w:pPr>
            <w:r>
              <w:rPr>
                <w:rFonts w:cs="Times New Roman"/>
                <w:szCs w:val="24"/>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tcPr>
          <w:p>
            <w:pPr>
              <w:spacing w:before="60" w:after="60" w:line="360" w:lineRule="auto"/>
              <w:jc w:val="left"/>
              <w:rPr>
                <w:rFonts w:cs="Times New Roman"/>
                <w:szCs w:val="24"/>
              </w:rPr>
            </w:pPr>
            <w:r>
              <w:rPr>
                <w:rFonts w:cs="Times New Roman"/>
                <w:szCs w:val="24"/>
              </w:rPr>
              <w:t>进入应急状态时间</w:t>
            </w:r>
          </w:p>
        </w:tc>
        <w:tc>
          <w:tcPr>
            <w:tcW w:w="3240" w:type="dxa"/>
          </w:tcPr>
          <w:p>
            <w:pPr>
              <w:spacing w:before="60" w:after="60" w:line="360" w:lineRule="auto"/>
              <w:ind w:left="552"/>
              <w:rPr>
                <w:rFonts w:cs="Times New Roman"/>
                <w:szCs w:val="24"/>
              </w:rPr>
            </w:pPr>
            <w:r>
              <w:rPr>
                <w:rFonts w:cs="Times New Roman"/>
                <w:szCs w:val="24"/>
              </w:rPr>
              <w:t>年    月   日   时   分</w:t>
            </w:r>
          </w:p>
        </w:tc>
        <w:tc>
          <w:tcPr>
            <w:tcW w:w="3005" w:type="dxa"/>
            <w:gridSpan w:val="2"/>
          </w:tcPr>
          <w:p>
            <w:pPr>
              <w:spacing w:before="60" w:after="60" w:line="360" w:lineRule="auto"/>
              <w:rPr>
                <w:rFonts w:cs="Times New Roman"/>
                <w:szCs w:val="24"/>
              </w:rPr>
            </w:pPr>
            <w:r>
              <w:rPr>
                <w:rFonts w:cs="Times New Roman"/>
                <w:szCs w:val="24"/>
              </w:rPr>
              <w:t>应急状态等级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trPr>
        <w:tc>
          <w:tcPr>
            <w:tcW w:w="8225" w:type="dxa"/>
            <w:gridSpan w:val="4"/>
          </w:tcPr>
          <w:p>
            <w:pPr>
              <w:adjustRightInd w:val="0"/>
              <w:spacing w:line="360" w:lineRule="auto"/>
              <w:jc w:val="left"/>
              <w:textAlignment w:val="baseline"/>
              <w:rPr>
                <w:rFonts w:cs="Times New Roman"/>
                <w:szCs w:val="24"/>
              </w:rPr>
            </w:pPr>
            <w:r>
              <w:rPr>
                <w:rFonts w:cs="Times New Roman"/>
                <w:szCs w:val="24"/>
              </w:rPr>
              <w:t>1、事故概况：</w:t>
            </w:r>
          </w:p>
          <w:p>
            <w:pPr>
              <w:spacing w:line="360" w:lineRule="auto"/>
              <w:rPr>
                <w:rFonts w:cs="Times New Roman"/>
                <w:szCs w:val="24"/>
              </w:rPr>
            </w:pPr>
            <w:r>
              <w:rPr>
                <w:rFonts w:cs="Times New Roman"/>
                <w:szCs w:val="24"/>
              </w:rPr>
              <w:t>2、事故经过：</w:t>
            </w:r>
          </w:p>
          <w:p>
            <w:pPr>
              <w:spacing w:line="360" w:lineRule="auto"/>
              <w:rPr>
                <w:rFonts w:cs="Times New Roman"/>
                <w:szCs w:val="24"/>
              </w:rPr>
            </w:pPr>
            <w:r>
              <w:rPr>
                <w:rFonts w:cs="Times New Roman"/>
                <w:szCs w:val="24"/>
              </w:rPr>
              <w:t>3、事故处理：</w:t>
            </w:r>
          </w:p>
          <w:p>
            <w:pPr>
              <w:spacing w:line="360" w:lineRule="auto"/>
              <w:rPr>
                <w:rFonts w:cs="Times New Roman"/>
                <w:szCs w:val="24"/>
              </w:rPr>
            </w:pPr>
            <w:r>
              <w:rPr>
                <w:rFonts w:cs="Times New Roman"/>
                <w:szCs w:val="24"/>
              </w:rPr>
              <w:t>4、事故原因：</w:t>
            </w:r>
          </w:p>
          <w:p>
            <w:pPr>
              <w:spacing w:line="360" w:lineRule="auto"/>
              <w:rPr>
                <w:rFonts w:cs="Times New Roman"/>
                <w:szCs w:val="24"/>
              </w:rPr>
            </w:pPr>
            <w:r>
              <w:rPr>
                <w:rFonts w:cs="Times New Roman"/>
                <w:szCs w:val="24"/>
              </w:rPr>
              <w:t>5、事故后果：</w:t>
            </w:r>
          </w:p>
          <w:p>
            <w:pPr>
              <w:spacing w:line="360" w:lineRule="auto"/>
              <w:rPr>
                <w:rFonts w:cs="Times New Roman"/>
                <w:szCs w:val="24"/>
              </w:rPr>
            </w:pPr>
            <w:r>
              <w:rPr>
                <w:rFonts w:cs="Times New Roman"/>
                <w:szCs w:val="24"/>
              </w:rPr>
              <w:t>6、经验教训：</w:t>
            </w: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p>
            <w:pPr>
              <w:spacing w:line="360" w:lineRule="auto"/>
              <w:rPr>
                <w:rFonts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225" w:type="dxa"/>
            <w:gridSpan w:val="4"/>
            <w:vAlign w:val="center"/>
          </w:tcPr>
          <w:p>
            <w:pPr>
              <w:spacing w:line="360" w:lineRule="auto"/>
              <w:jc w:val="left"/>
              <w:rPr>
                <w:rFonts w:cs="Times New Roman"/>
                <w:szCs w:val="24"/>
              </w:rPr>
            </w:pPr>
            <w:r>
              <w:rPr>
                <w:rFonts w:cs="Times New Roman"/>
                <w:szCs w:val="24"/>
              </w:rPr>
              <w:t>报告人签名：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225" w:type="dxa"/>
            <w:gridSpan w:val="4"/>
            <w:vAlign w:val="center"/>
          </w:tcPr>
          <w:p>
            <w:pPr>
              <w:spacing w:line="360" w:lineRule="auto"/>
              <w:jc w:val="left"/>
              <w:rPr>
                <w:rFonts w:cs="Times New Roman"/>
                <w:szCs w:val="24"/>
              </w:rPr>
            </w:pPr>
            <w:r>
              <w:rPr>
                <w:rFonts w:cs="Times New Roman"/>
                <w:szCs w:val="24"/>
              </w:rPr>
              <w:t>审核人签名：        年   月   日   时  分     职务      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8225" w:type="dxa"/>
            <w:gridSpan w:val="4"/>
            <w:vAlign w:val="center"/>
          </w:tcPr>
          <w:p>
            <w:pPr>
              <w:spacing w:line="360" w:lineRule="auto"/>
              <w:jc w:val="left"/>
              <w:rPr>
                <w:rFonts w:cs="Times New Roman"/>
                <w:szCs w:val="24"/>
              </w:rPr>
            </w:pPr>
            <w:r>
              <w:rPr>
                <w:rFonts w:cs="Times New Roman"/>
                <w:szCs w:val="24"/>
              </w:rPr>
              <w:t>批准人签名：        年   月   日   时  分     职务      电话：</w:t>
            </w:r>
          </w:p>
        </w:tc>
      </w:tr>
    </w:tbl>
    <w:p>
      <w:pPr>
        <w:pStyle w:val="3"/>
        <w:sectPr>
          <w:footerReference r:id="rId7" w:type="default"/>
          <w:pgSz w:w="11907" w:h="16840"/>
          <w:pgMar w:top="1440" w:right="1758" w:bottom="1440" w:left="1758" w:header="851" w:footer="992" w:gutter="0"/>
          <w:pgNumType w:start="1"/>
          <w:cols w:space="720" w:num="1"/>
          <w:docGrid w:linePitch="312" w:charSpace="0"/>
        </w:sectPr>
      </w:pPr>
      <w:bookmarkStart w:id="89" w:name="_Toc407803796"/>
      <w:bookmarkStart w:id="90" w:name="_Toc407803795"/>
    </w:p>
    <w:p>
      <w:pPr>
        <w:pStyle w:val="3"/>
        <w:rPr>
          <w:shd w:val="clear" w:color="auto" w:fill="FFFFFF"/>
        </w:rPr>
      </w:pPr>
      <w:bookmarkStart w:id="91" w:name="_Toc108453165"/>
      <w:r>
        <w:rPr>
          <w:shd w:val="clear" w:color="auto" w:fill="FFFFFF"/>
        </w:rPr>
        <w:t>10.3培训记录表</w:t>
      </w:r>
      <w:bookmarkEnd w:id="91"/>
    </w:p>
    <w:p>
      <w:pPr>
        <w:spacing w:line="360" w:lineRule="auto"/>
        <w:ind w:firstLine="480" w:firstLineChars="200"/>
        <w:rPr>
          <w:rFonts w:cs="Times New Roman"/>
          <w:szCs w:val="24"/>
        </w:rPr>
      </w:pPr>
      <w:r>
        <w:rPr>
          <w:rFonts w:cs="Times New Roman"/>
          <w:szCs w:val="24"/>
        </w:rPr>
        <w:t>培训记录表见表15，培训人员应配合培训单位做好记录工作。</w:t>
      </w:r>
    </w:p>
    <w:p>
      <w:pPr>
        <w:adjustRightInd w:val="0"/>
        <w:snapToGrid w:val="0"/>
        <w:spacing w:before="120" w:beforeLines="50" w:line="360" w:lineRule="auto"/>
        <w:jc w:val="center"/>
        <w:rPr>
          <w:rFonts w:cs="Times New Roman"/>
          <w:b/>
          <w:szCs w:val="24"/>
        </w:rPr>
      </w:pPr>
      <w:r>
        <w:rPr>
          <w:rFonts w:cs="Times New Roman"/>
          <w:b/>
          <w:szCs w:val="24"/>
        </w:rPr>
        <w:t>表15 永州市辐射事故应急培训记录表</w:t>
      </w:r>
    </w:p>
    <w:tbl>
      <w:tblPr>
        <w:tblStyle w:val="16"/>
        <w:tblW w:w="8848" w:type="dxa"/>
        <w:tblInd w:w="-2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08"/>
        <w:gridCol w:w="840"/>
        <w:gridCol w:w="480"/>
        <w:gridCol w:w="840"/>
        <w:gridCol w:w="2280"/>
        <w:gridCol w:w="1440"/>
        <w:gridCol w:w="300"/>
        <w:gridCol w:w="1080"/>
        <w:gridCol w:w="108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1348" w:type="dxa"/>
            <w:gridSpan w:val="2"/>
            <w:vAlign w:val="center"/>
          </w:tcPr>
          <w:p>
            <w:pPr>
              <w:spacing w:line="360" w:lineRule="auto"/>
              <w:jc w:val="center"/>
              <w:rPr>
                <w:rFonts w:cs="Times New Roman"/>
                <w:color w:val="000000"/>
                <w:szCs w:val="24"/>
              </w:rPr>
            </w:pPr>
            <w:r>
              <w:rPr>
                <w:rFonts w:cs="Times New Roman"/>
                <w:color w:val="000000"/>
                <w:szCs w:val="24"/>
              </w:rPr>
              <w:t>培训名称</w:t>
            </w:r>
          </w:p>
        </w:tc>
        <w:tc>
          <w:tcPr>
            <w:tcW w:w="7500" w:type="dxa"/>
            <w:gridSpan w:val="7"/>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1348" w:type="dxa"/>
            <w:gridSpan w:val="2"/>
            <w:vAlign w:val="center"/>
          </w:tcPr>
          <w:p>
            <w:pPr>
              <w:spacing w:line="360" w:lineRule="auto"/>
              <w:jc w:val="center"/>
              <w:rPr>
                <w:rFonts w:cs="Times New Roman"/>
                <w:color w:val="000000"/>
                <w:szCs w:val="24"/>
              </w:rPr>
            </w:pPr>
            <w:r>
              <w:rPr>
                <w:rFonts w:cs="Times New Roman"/>
                <w:color w:val="000000"/>
                <w:szCs w:val="24"/>
              </w:rPr>
              <w:t>培训时间</w:t>
            </w:r>
          </w:p>
        </w:tc>
        <w:tc>
          <w:tcPr>
            <w:tcW w:w="3600" w:type="dxa"/>
            <w:gridSpan w:val="3"/>
            <w:vAlign w:val="center"/>
          </w:tcPr>
          <w:p>
            <w:pPr>
              <w:spacing w:line="360" w:lineRule="auto"/>
              <w:jc w:val="center"/>
              <w:rPr>
                <w:rFonts w:cs="Times New Roman"/>
                <w:color w:val="000000"/>
                <w:szCs w:val="24"/>
              </w:rPr>
            </w:pPr>
          </w:p>
        </w:tc>
        <w:tc>
          <w:tcPr>
            <w:tcW w:w="1440" w:type="dxa"/>
            <w:vAlign w:val="center"/>
          </w:tcPr>
          <w:p>
            <w:pPr>
              <w:spacing w:line="360" w:lineRule="auto"/>
              <w:jc w:val="center"/>
              <w:rPr>
                <w:rFonts w:cs="Times New Roman"/>
                <w:color w:val="000000"/>
                <w:szCs w:val="24"/>
              </w:rPr>
            </w:pPr>
            <w:r>
              <w:rPr>
                <w:rFonts w:cs="Times New Roman"/>
                <w:color w:val="000000"/>
                <w:szCs w:val="24"/>
              </w:rPr>
              <w:t>培训地点</w:t>
            </w:r>
          </w:p>
        </w:tc>
        <w:tc>
          <w:tcPr>
            <w:tcW w:w="2460" w:type="dxa"/>
            <w:gridSpan w:val="3"/>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1348" w:type="dxa"/>
            <w:gridSpan w:val="2"/>
            <w:vAlign w:val="center"/>
          </w:tcPr>
          <w:p>
            <w:pPr>
              <w:spacing w:line="360" w:lineRule="auto"/>
              <w:jc w:val="center"/>
              <w:rPr>
                <w:rFonts w:cs="Times New Roman"/>
                <w:color w:val="000000"/>
                <w:szCs w:val="24"/>
              </w:rPr>
            </w:pPr>
            <w:r>
              <w:rPr>
                <w:rFonts w:cs="Times New Roman"/>
                <w:color w:val="000000"/>
                <w:szCs w:val="24"/>
              </w:rPr>
              <w:t>培训内容</w:t>
            </w:r>
          </w:p>
        </w:tc>
        <w:tc>
          <w:tcPr>
            <w:tcW w:w="3600" w:type="dxa"/>
            <w:gridSpan w:val="3"/>
            <w:vAlign w:val="center"/>
          </w:tcPr>
          <w:p>
            <w:pPr>
              <w:spacing w:line="360" w:lineRule="auto"/>
              <w:jc w:val="center"/>
              <w:rPr>
                <w:rFonts w:cs="Times New Roman"/>
                <w:color w:val="000000"/>
                <w:szCs w:val="24"/>
              </w:rPr>
            </w:pPr>
          </w:p>
        </w:tc>
        <w:tc>
          <w:tcPr>
            <w:tcW w:w="1440" w:type="dxa"/>
            <w:vAlign w:val="center"/>
          </w:tcPr>
          <w:p>
            <w:pPr>
              <w:spacing w:line="360" w:lineRule="auto"/>
              <w:jc w:val="center"/>
              <w:rPr>
                <w:rFonts w:cs="Times New Roman"/>
                <w:color w:val="000000"/>
                <w:szCs w:val="24"/>
              </w:rPr>
            </w:pPr>
            <w:r>
              <w:rPr>
                <w:rFonts w:cs="Times New Roman"/>
                <w:color w:val="000000"/>
                <w:szCs w:val="24"/>
              </w:rPr>
              <w:t>组织单位</w:t>
            </w:r>
          </w:p>
        </w:tc>
        <w:tc>
          <w:tcPr>
            <w:tcW w:w="2460" w:type="dxa"/>
            <w:gridSpan w:val="3"/>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8848" w:type="dxa"/>
            <w:gridSpan w:val="9"/>
            <w:vAlign w:val="center"/>
          </w:tcPr>
          <w:p>
            <w:pPr>
              <w:spacing w:line="360" w:lineRule="auto"/>
              <w:jc w:val="center"/>
              <w:rPr>
                <w:rFonts w:cs="Times New Roman"/>
                <w:color w:val="000000"/>
                <w:szCs w:val="24"/>
              </w:rPr>
            </w:pPr>
            <w:r>
              <w:rPr>
                <w:rFonts w:cs="Times New Roman"/>
                <w:color w:val="000000"/>
                <w:szCs w:val="24"/>
              </w:rPr>
              <w:t>培 训 教 员 情 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9" w:hRule="exact"/>
        </w:trPr>
        <w:tc>
          <w:tcPr>
            <w:tcW w:w="508" w:type="dxa"/>
            <w:vAlign w:val="center"/>
          </w:tcPr>
          <w:p>
            <w:pPr>
              <w:adjustRightInd w:val="0"/>
              <w:snapToGrid w:val="0"/>
              <w:spacing w:line="240" w:lineRule="auto"/>
              <w:jc w:val="center"/>
              <w:rPr>
                <w:rFonts w:cs="Times New Roman"/>
                <w:color w:val="000000"/>
                <w:szCs w:val="24"/>
              </w:rPr>
            </w:pPr>
            <w:r>
              <w:rPr>
                <w:rFonts w:cs="Times New Roman"/>
                <w:color w:val="000000"/>
                <w:szCs w:val="24"/>
              </w:rPr>
              <w:t>序号</w:t>
            </w:r>
          </w:p>
        </w:tc>
        <w:tc>
          <w:tcPr>
            <w:tcW w:w="1320" w:type="dxa"/>
            <w:gridSpan w:val="2"/>
            <w:vAlign w:val="center"/>
          </w:tcPr>
          <w:p>
            <w:pPr>
              <w:spacing w:line="360" w:lineRule="auto"/>
              <w:jc w:val="center"/>
              <w:rPr>
                <w:rFonts w:cs="Times New Roman"/>
                <w:color w:val="000000"/>
                <w:szCs w:val="24"/>
              </w:rPr>
            </w:pPr>
            <w:r>
              <w:rPr>
                <w:rFonts w:cs="Times New Roman"/>
                <w:color w:val="000000"/>
                <w:szCs w:val="24"/>
              </w:rPr>
              <w:t>姓  名</w:t>
            </w:r>
          </w:p>
        </w:tc>
        <w:tc>
          <w:tcPr>
            <w:tcW w:w="840" w:type="dxa"/>
            <w:vAlign w:val="center"/>
          </w:tcPr>
          <w:p>
            <w:pPr>
              <w:spacing w:line="360" w:lineRule="auto"/>
              <w:jc w:val="center"/>
              <w:rPr>
                <w:rFonts w:cs="Times New Roman"/>
                <w:color w:val="000000"/>
                <w:szCs w:val="24"/>
              </w:rPr>
            </w:pPr>
            <w:r>
              <w:rPr>
                <w:rFonts w:cs="Times New Roman"/>
                <w:color w:val="000000"/>
                <w:szCs w:val="24"/>
              </w:rPr>
              <w:t>职 称</w:t>
            </w:r>
          </w:p>
        </w:tc>
        <w:tc>
          <w:tcPr>
            <w:tcW w:w="2280" w:type="dxa"/>
            <w:vAlign w:val="center"/>
          </w:tcPr>
          <w:p>
            <w:pPr>
              <w:spacing w:line="360" w:lineRule="auto"/>
              <w:jc w:val="center"/>
              <w:rPr>
                <w:rFonts w:cs="Times New Roman"/>
                <w:color w:val="000000"/>
                <w:szCs w:val="24"/>
              </w:rPr>
            </w:pPr>
            <w:r>
              <w:rPr>
                <w:rFonts w:cs="Times New Roman"/>
                <w:color w:val="000000"/>
                <w:szCs w:val="24"/>
              </w:rPr>
              <w:t>工   作   单   位</w:t>
            </w:r>
          </w:p>
        </w:tc>
        <w:tc>
          <w:tcPr>
            <w:tcW w:w="1740" w:type="dxa"/>
            <w:gridSpan w:val="2"/>
            <w:vAlign w:val="center"/>
          </w:tcPr>
          <w:p>
            <w:pPr>
              <w:spacing w:line="360" w:lineRule="auto"/>
              <w:jc w:val="center"/>
              <w:rPr>
                <w:rFonts w:cs="Times New Roman"/>
                <w:color w:val="000000"/>
                <w:szCs w:val="24"/>
              </w:rPr>
            </w:pPr>
            <w:r>
              <w:rPr>
                <w:rFonts w:cs="Times New Roman"/>
                <w:color w:val="000000"/>
                <w:szCs w:val="24"/>
              </w:rPr>
              <w:t>业务领域</w:t>
            </w:r>
          </w:p>
        </w:tc>
        <w:tc>
          <w:tcPr>
            <w:tcW w:w="1080" w:type="dxa"/>
            <w:vAlign w:val="center"/>
          </w:tcPr>
          <w:p>
            <w:pPr>
              <w:spacing w:line="360" w:lineRule="auto"/>
              <w:jc w:val="center"/>
              <w:rPr>
                <w:rFonts w:cs="Times New Roman"/>
                <w:color w:val="000000"/>
                <w:szCs w:val="24"/>
              </w:rPr>
            </w:pPr>
            <w:r>
              <w:rPr>
                <w:rFonts w:cs="Times New Roman"/>
                <w:color w:val="000000"/>
                <w:szCs w:val="24"/>
              </w:rPr>
              <w:t>授课内容</w:t>
            </w:r>
          </w:p>
        </w:tc>
        <w:tc>
          <w:tcPr>
            <w:tcW w:w="1080" w:type="dxa"/>
            <w:vAlign w:val="center"/>
          </w:tcPr>
          <w:p>
            <w:pPr>
              <w:spacing w:line="360" w:lineRule="auto"/>
              <w:jc w:val="center"/>
              <w:rPr>
                <w:rFonts w:cs="Times New Roman"/>
                <w:color w:val="000000"/>
                <w:szCs w:val="24"/>
              </w:rPr>
            </w:pPr>
            <w:r>
              <w:rPr>
                <w:rFonts w:cs="Times New Roman"/>
                <w:color w:val="000000"/>
                <w:szCs w:val="24"/>
              </w:rPr>
              <w:t>授课时间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c>
          <w:tcPr>
            <w:tcW w:w="8848" w:type="dxa"/>
            <w:gridSpan w:val="9"/>
            <w:vAlign w:val="center"/>
          </w:tcPr>
          <w:p>
            <w:pPr>
              <w:spacing w:line="360" w:lineRule="auto"/>
              <w:jc w:val="center"/>
              <w:rPr>
                <w:rFonts w:cs="Times New Roman"/>
                <w:color w:val="000000"/>
                <w:szCs w:val="24"/>
              </w:rPr>
            </w:pPr>
            <w:r>
              <w:rPr>
                <w:rFonts w:cs="Times New Roman"/>
                <w:color w:val="000000"/>
                <w:szCs w:val="24"/>
              </w:rPr>
              <w:t>受 训 人 员 情 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41" w:hRule="exact"/>
        </w:trPr>
        <w:tc>
          <w:tcPr>
            <w:tcW w:w="508" w:type="dxa"/>
            <w:vAlign w:val="center"/>
          </w:tcPr>
          <w:p>
            <w:pPr>
              <w:adjustRightInd w:val="0"/>
              <w:snapToGrid w:val="0"/>
              <w:spacing w:line="240" w:lineRule="auto"/>
              <w:jc w:val="center"/>
              <w:rPr>
                <w:rFonts w:cs="Times New Roman"/>
                <w:color w:val="000000"/>
                <w:szCs w:val="24"/>
              </w:rPr>
            </w:pPr>
            <w:r>
              <w:rPr>
                <w:rFonts w:cs="Times New Roman"/>
                <w:color w:val="000000"/>
                <w:szCs w:val="24"/>
              </w:rPr>
              <w:t>序号</w:t>
            </w:r>
          </w:p>
        </w:tc>
        <w:tc>
          <w:tcPr>
            <w:tcW w:w="1320" w:type="dxa"/>
            <w:gridSpan w:val="2"/>
            <w:vAlign w:val="center"/>
          </w:tcPr>
          <w:p>
            <w:pPr>
              <w:spacing w:line="360" w:lineRule="auto"/>
              <w:jc w:val="center"/>
              <w:rPr>
                <w:rFonts w:cs="Times New Roman"/>
                <w:color w:val="000000"/>
                <w:szCs w:val="24"/>
              </w:rPr>
            </w:pPr>
            <w:r>
              <w:rPr>
                <w:rFonts w:cs="Times New Roman"/>
                <w:color w:val="000000"/>
                <w:szCs w:val="24"/>
              </w:rPr>
              <w:t>姓  名</w:t>
            </w:r>
          </w:p>
        </w:tc>
        <w:tc>
          <w:tcPr>
            <w:tcW w:w="840" w:type="dxa"/>
            <w:vAlign w:val="center"/>
          </w:tcPr>
          <w:p>
            <w:pPr>
              <w:spacing w:line="360" w:lineRule="auto"/>
              <w:jc w:val="center"/>
              <w:rPr>
                <w:rFonts w:cs="Times New Roman"/>
                <w:color w:val="000000"/>
                <w:szCs w:val="24"/>
              </w:rPr>
            </w:pPr>
            <w:r>
              <w:rPr>
                <w:rFonts w:cs="Times New Roman"/>
                <w:color w:val="000000"/>
                <w:szCs w:val="24"/>
              </w:rPr>
              <w:t>职 称</w:t>
            </w:r>
          </w:p>
        </w:tc>
        <w:tc>
          <w:tcPr>
            <w:tcW w:w="2280" w:type="dxa"/>
            <w:vAlign w:val="center"/>
          </w:tcPr>
          <w:p>
            <w:pPr>
              <w:spacing w:line="360" w:lineRule="auto"/>
              <w:jc w:val="center"/>
              <w:rPr>
                <w:rFonts w:cs="Times New Roman"/>
                <w:color w:val="000000"/>
                <w:szCs w:val="24"/>
              </w:rPr>
            </w:pPr>
            <w:r>
              <w:rPr>
                <w:rFonts w:cs="Times New Roman"/>
                <w:color w:val="000000"/>
                <w:szCs w:val="24"/>
              </w:rPr>
              <w:t>工   作   单   位</w:t>
            </w:r>
          </w:p>
        </w:tc>
        <w:tc>
          <w:tcPr>
            <w:tcW w:w="1740" w:type="dxa"/>
            <w:gridSpan w:val="2"/>
            <w:vAlign w:val="center"/>
          </w:tcPr>
          <w:p>
            <w:pPr>
              <w:spacing w:line="360" w:lineRule="auto"/>
              <w:jc w:val="center"/>
              <w:rPr>
                <w:rFonts w:cs="Times New Roman"/>
                <w:color w:val="000000"/>
                <w:szCs w:val="24"/>
              </w:rPr>
            </w:pPr>
            <w:r>
              <w:rPr>
                <w:rFonts w:cs="Times New Roman"/>
                <w:color w:val="000000"/>
                <w:szCs w:val="24"/>
              </w:rPr>
              <w:t>应急岗位</w:t>
            </w:r>
          </w:p>
        </w:tc>
        <w:tc>
          <w:tcPr>
            <w:tcW w:w="1080" w:type="dxa"/>
            <w:vAlign w:val="center"/>
          </w:tcPr>
          <w:p>
            <w:pPr>
              <w:spacing w:line="360" w:lineRule="auto"/>
              <w:jc w:val="center"/>
              <w:rPr>
                <w:rFonts w:cs="Times New Roman"/>
                <w:color w:val="000000"/>
                <w:szCs w:val="24"/>
              </w:rPr>
            </w:pPr>
            <w:r>
              <w:rPr>
                <w:rFonts w:cs="Times New Roman"/>
                <w:color w:val="000000"/>
                <w:szCs w:val="24"/>
              </w:rPr>
              <w:t>考核成绩</w:t>
            </w:r>
          </w:p>
        </w:tc>
        <w:tc>
          <w:tcPr>
            <w:tcW w:w="1080" w:type="dxa"/>
            <w:vAlign w:val="center"/>
          </w:tcPr>
          <w:p>
            <w:pPr>
              <w:spacing w:line="360" w:lineRule="auto"/>
              <w:jc w:val="center"/>
              <w:rPr>
                <w:rFonts w:cs="Times New Roman"/>
                <w:color w:val="000000"/>
                <w:szCs w:val="24"/>
              </w:rPr>
            </w:pPr>
            <w:r>
              <w:rPr>
                <w:rFonts w:cs="Times New Roman"/>
                <w:color w:val="000000"/>
                <w:szCs w:val="24"/>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508" w:type="dxa"/>
            <w:vAlign w:val="center"/>
          </w:tcPr>
          <w:p>
            <w:pPr>
              <w:spacing w:line="360" w:lineRule="auto"/>
              <w:jc w:val="center"/>
              <w:rPr>
                <w:rFonts w:cs="Times New Roman"/>
                <w:color w:val="000000"/>
                <w:szCs w:val="24"/>
              </w:rPr>
            </w:pPr>
          </w:p>
        </w:tc>
        <w:tc>
          <w:tcPr>
            <w:tcW w:w="1320" w:type="dxa"/>
            <w:gridSpan w:val="2"/>
            <w:vAlign w:val="center"/>
          </w:tcPr>
          <w:p>
            <w:pPr>
              <w:spacing w:line="360" w:lineRule="auto"/>
              <w:jc w:val="center"/>
              <w:rPr>
                <w:rFonts w:cs="Times New Roman"/>
                <w:color w:val="000000"/>
                <w:szCs w:val="24"/>
              </w:rPr>
            </w:pPr>
          </w:p>
        </w:tc>
        <w:tc>
          <w:tcPr>
            <w:tcW w:w="840" w:type="dxa"/>
            <w:vAlign w:val="center"/>
          </w:tcPr>
          <w:p>
            <w:pPr>
              <w:spacing w:line="360" w:lineRule="auto"/>
              <w:jc w:val="center"/>
              <w:rPr>
                <w:rFonts w:cs="Times New Roman"/>
                <w:color w:val="000000"/>
                <w:szCs w:val="24"/>
              </w:rPr>
            </w:pPr>
          </w:p>
        </w:tc>
        <w:tc>
          <w:tcPr>
            <w:tcW w:w="2280" w:type="dxa"/>
            <w:vAlign w:val="center"/>
          </w:tcPr>
          <w:p>
            <w:pPr>
              <w:spacing w:line="360" w:lineRule="auto"/>
              <w:jc w:val="center"/>
              <w:rPr>
                <w:rFonts w:cs="Times New Roman"/>
                <w:color w:val="000000"/>
                <w:szCs w:val="24"/>
              </w:rPr>
            </w:pPr>
          </w:p>
        </w:tc>
        <w:tc>
          <w:tcPr>
            <w:tcW w:w="1740" w:type="dxa"/>
            <w:gridSpan w:val="2"/>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c>
          <w:tcPr>
            <w:tcW w:w="1080" w:type="dxa"/>
            <w:vAlign w:val="center"/>
          </w:tcPr>
          <w:p>
            <w:pPr>
              <w:spacing w:line="360" w:lineRule="auto"/>
              <w:jc w:val="center"/>
              <w:rPr>
                <w:rFonts w:cs="Times New Roman"/>
                <w:color w:val="000000"/>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90" w:hRule="exact"/>
        </w:trPr>
        <w:tc>
          <w:tcPr>
            <w:tcW w:w="8848" w:type="dxa"/>
            <w:gridSpan w:val="9"/>
          </w:tcPr>
          <w:p>
            <w:pPr>
              <w:spacing w:line="360" w:lineRule="auto"/>
              <w:rPr>
                <w:rFonts w:cs="Times New Roman"/>
                <w:color w:val="000000"/>
                <w:szCs w:val="24"/>
              </w:rPr>
            </w:pPr>
            <w:r>
              <w:rPr>
                <w:rFonts w:cs="Times New Roman"/>
                <w:color w:val="000000"/>
                <w:szCs w:val="24"/>
              </w:rPr>
              <w:t>培训总结：</w:t>
            </w:r>
          </w:p>
        </w:tc>
      </w:tr>
    </w:tbl>
    <w:p>
      <w:pPr>
        <w:widowControl/>
        <w:spacing w:line="360" w:lineRule="auto"/>
        <w:jc w:val="left"/>
        <w:rPr>
          <w:rFonts w:cs="Times New Roman"/>
          <w:szCs w:val="24"/>
        </w:rPr>
      </w:pPr>
    </w:p>
    <w:p>
      <w:pPr>
        <w:pStyle w:val="3"/>
        <w:rPr>
          <w:shd w:val="clear" w:color="auto" w:fill="FFFFFF"/>
        </w:rPr>
      </w:pPr>
      <w:bookmarkStart w:id="92" w:name="_Toc108453166"/>
      <w:r>
        <w:rPr>
          <w:shd w:val="clear" w:color="auto" w:fill="FFFFFF"/>
        </w:rPr>
        <w:t>10.4通讯对话记录单</w:t>
      </w:r>
      <w:bookmarkEnd w:id="92"/>
    </w:p>
    <w:tbl>
      <w:tblPr>
        <w:tblStyle w:val="16"/>
        <w:tblW w:w="8233" w:type="dxa"/>
        <w:jc w:val="center"/>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2593"/>
        <w:gridCol w:w="1765"/>
        <w:gridCol w:w="2193"/>
      </w:tblGrid>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682" w:type="dxa"/>
            <w:vAlign w:val="center"/>
          </w:tcPr>
          <w:p>
            <w:pPr>
              <w:adjustRightInd w:val="0"/>
              <w:snapToGrid w:val="0"/>
              <w:spacing w:line="360" w:lineRule="auto"/>
              <w:jc w:val="center"/>
              <w:rPr>
                <w:rFonts w:cs="Times New Roman"/>
                <w:b/>
                <w:bCs/>
                <w:szCs w:val="24"/>
              </w:rPr>
            </w:pPr>
            <w:r>
              <w:rPr>
                <w:rFonts w:cs="Times New Roman"/>
                <w:b/>
                <w:bCs/>
                <w:szCs w:val="24"/>
              </w:rPr>
              <w:t>通讯时间</w:t>
            </w:r>
          </w:p>
        </w:tc>
        <w:tc>
          <w:tcPr>
            <w:tcW w:w="6551" w:type="dxa"/>
            <w:gridSpan w:val="3"/>
            <w:vAlign w:val="center"/>
          </w:tcPr>
          <w:p>
            <w:pPr>
              <w:spacing w:line="360" w:lineRule="auto"/>
              <w:jc w:val="center"/>
              <w:rPr>
                <w:rFonts w:cs="Times New Roman"/>
                <w:b/>
                <w:bCs/>
                <w:szCs w:val="24"/>
              </w:rPr>
            </w:pPr>
            <w:r>
              <w:rPr>
                <w:rFonts w:cs="Times New Roman"/>
                <w:b/>
                <w:bCs/>
                <w:szCs w:val="24"/>
              </w:rPr>
              <w:t>年     月    日    时    分</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682" w:type="dxa"/>
            <w:vAlign w:val="center"/>
          </w:tcPr>
          <w:p>
            <w:pPr>
              <w:adjustRightInd w:val="0"/>
              <w:snapToGrid w:val="0"/>
              <w:spacing w:line="360" w:lineRule="auto"/>
              <w:jc w:val="center"/>
              <w:rPr>
                <w:rFonts w:cs="Times New Roman"/>
                <w:b/>
                <w:bCs/>
                <w:szCs w:val="24"/>
              </w:rPr>
            </w:pPr>
            <w:r>
              <w:rPr>
                <w:rFonts w:cs="Times New Roman"/>
                <w:b/>
                <w:bCs/>
                <w:szCs w:val="24"/>
              </w:rPr>
              <w:t>对话双方：</w:t>
            </w:r>
          </w:p>
        </w:tc>
        <w:tc>
          <w:tcPr>
            <w:tcW w:w="2593" w:type="dxa"/>
            <w:vAlign w:val="center"/>
          </w:tcPr>
          <w:p>
            <w:pPr>
              <w:spacing w:line="360" w:lineRule="auto"/>
              <w:ind w:firstLine="482"/>
              <w:jc w:val="center"/>
              <w:rPr>
                <w:rFonts w:cs="Times New Roman"/>
                <w:b/>
                <w:bCs/>
                <w:szCs w:val="24"/>
              </w:rPr>
            </w:pPr>
          </w:p>
        </w:tc>
        <w:tc>
          <w:tcPr>
            <w:tcW w:w="1765" w:type="dxa"/>
            <w:vAlign w:val="center"/>
          </w:tcPr>
          <w:p>
            <w:pPr>
              <w:spacing w:line="360" w:lineRule="auto"/>
              <w:ind w:firstLine="482"/>
              <w:jc w:val="center"/>
              <w:rPr>
                <w:rFonts w:cs="Times New Roman"/>
                <w:b/>
                <w:bCs/>
                <w:szCs w:val="24"/>
              </w:rPr>
            </w:pPr>
            <w:r>
              <w:rPr>
                <w:rFonts w:cs="Times New Roman"/>
                <w:b/>
                <w:bCs/>
                <w:szCs w:val="24"/>
              </w:rPr>
              <w:t>记录人：</w:t>
            </w:r>
          </w:p>
        </w:tc>
        <w:tc>
          <w:tcPr>
            <w:tcW w:w="2193" w:type="dxa"/>
            <w:vAlign w:val="center"/>
          </w:tcPr>
          <w:p>
            <w:pPr>
              <w:spacing w:line="360" w:lineRule="auto"/>
              <w:ind w:firstLine="482"/>
              <w:jc w:val="center"/>
              <w:rPr>
                <w:rFonts w:cs="Times New Roman"/>
                <w:b/>
                <w:bCs/>
                <w:szCs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3" w:hRule="atLeast"/>
          <w:jc w:val="center"/>
        </w:trPr>
        <w:tc>
          <w:tcPr>
            <w:tcW w:w="1682" w:type="dxa"/>
            <w:vAlign w:val="center"/>
          </w:tcPr>
          <w:p>
            <w:pPr>
              <w:spacing w:line="360" w:lineRule="auto"/>
              <w:jc w:val="center"/>
              <w:rPr>
                <w:rFonts w:cs="Times New Roman"/>
                <w:b/>
                <w:bCs/>
                <w:szCs w:val="24"/>
              </w:rPr>
            </w:pPr>
            <w:r>
              <w:rPr>
                <w:rFonts w:cs="Times New Roman"/>
                <w:b/>
                <w:bCs/>
                <w:szCs w:val="24"/>
              </w:rPr>
              <w:t>对话内容</w:t>
            </w:r>
          </w:p>
        </w:tc>
        <w:tc>
          <w:tcPr>
            <w:tcW w:w="6551" w:type="dxa"/>
            <w:gridSpan w:val="3"/>
            <w:vAlign w:val="center"/>
          </w:tcPr>
          <w:p>
            <w:pPr>
              <w:spacing w:line="360" w:lineRule="auto"/>
              <w:ind w:firstLine="482"/>
              <w:rPr>
                <w:rFonts w:cs="Times New Roman"/>
                <w:b/>
                <w:bCs/>
                <w:szCs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8233" w:type="dxa"/>
            <w:gridSpan w:val="4"/>
            <w:vAlign w:val="center"/>
          </w:tcPr>
          <w:p>
            <w:pPr>
              <w:spacing w:line="360" w:lineRule="auto"/>
              <w:rPr>
                <w:rFonts w:cs="Times New Roman"/>
                <w:b/>
                <w:bCs/>
                <w:szCs w:val="24"/>
              </w:rPr>
            </w:pPr>
            <w:r>
              <w:rPr>
                <w:rFonts w:cs="Times New Roman"/>
                <w:szCs w:val="24"/>
              </w:rPr>
              <mc:AlternateContent>
                <mc:Choice Requires="wps">
                  <w:drawing>
                    <wp:anchor distT="0" distB="0" distL="114300" distR="114300" simplePos="0" relativeHeight="251659264" behindDoc="0" locked="1" layoutInCell="1" allowOverlap="1">
                      <wp:simplePos x="0" y="0"/>
                      <wp:positionH relativeFrom="column">
                        <wp:posOffset>1138555</wp:posOffset>
                      </wp:positionH>
                      <wp:positionV relativeFrom="paragraph">
                        <wp:posOffset>321310</wp:posOffset>
                      </wp:positionV>
                      <wp:extent cx="914400" cy="635"/>
                      <wp:effectExtent l="5080" t="6985" r="13970" b="11430"/>
                      <wp:wrapNone/>
                      <wp:docPr id="3" name="Line 227"/>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line">
                                <a:avLst/>
                              </a:prstGeom>
                              <a:noFill/>
                              <a:ln w="9525">
                                <a:solidFill>
                                  <a:srgbClr val="000000"/>
                                </a:solidFill>
                                <a:round/>
                              </a:ln>
                            </wps:spPr>
                            <wps:bodyPr/>
                          </wps:wsp>
                        </a:graphicData>
                      </a:graphic>
                    </wp:anchor>
                  </w:drawing>
                </mc:Choice>
                <mc:Fallback>
                  <w:pict>
                    <v:line id="Line 227" o:spid="_x0000_s1026" o:spt="20" style="position:absolute;left:0pt;margin-left:89.65pt;margin-top:25.3pt;height:0.05pt;width:72pt;z-index:251659264;mso-width-relative:page;mso-height-relative:page;" filled="f" stroked="t" coordsize="21600,21600" o:gfxdata="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sLlKt1gAAAAkBAAAPAAAAAAAAAAEAIAAAACIAAABkcnMv&#10;ZG93bnJldi54bWxQSwECFAAUAAAACACHTuJAnB24z8wBAACiAwAADgAAAAAAAAABACAAAAAlAQAA&#10;ZHJzL2Uyb0RvYy54bWxQSwUGAAAAAAYABgBZAQAAYwUAAAAA&#10;">
                      <v:fill on="f" focussize="0,0"/>
                      <v:stroke color="#000000" joinstyle="round"/>
                      <v:imagedata o:title=""/>
                      <o:lock v:ext="edit" aspectratio="f"/>
                      <w10:anchorlock/>
                    </v:line>
                  </w:pict>
                </mc:Fallback>
              </mc:AlternateContent>
            </w:r>
            <w:r>
              <w:rPr>
                <w:rFonts w:cs="Times New Roman"/>
                <w:szCs w:val="24"/>
              </w:rPr>
              <mc:AlternateContent>
                <mc:Choice Requires="wps">
                  <w:drawing>
                    <wp:anchor distT="0" distB="0" distL="114300" distR="114300" simplePos="0" relativeHeight="251660288" behindDoc="0" locked="1" layoutInCell="1" allowOverlap="1">
                      <wp:simplePos x="0" y="0"/>
                      <wp:positionH relativeFrom="column">
                        <wp:posOffset>3881755</wp:posOffset>
                      </wp:positionH>
                      <wp:positionV relativeFrom="paragraph">
                        <wp:posOffset>314960</wp:posOffset>
                      </wp:positionV>
                      <wp:extent cx="1028700" cy="635"/>
                      <wp:effectExtent l="5080" t="10160" r="13970" b="8255"/>
                      <wp:wrapNone/>
                      <wp:docPr id="4" name="Line 228"/>
                      <wp:cNvGraphicFramePr/>
                      <a:graphic xmlns:a="http://schemas.openxmlformats.org/drawingml/2006/main">
                        <a:graphicData uri="http://schemas.microsoft.com/office/word/2010/wordprocessingShape">
                          <wps:wsp>
                            <wps:cNvCnPr>
                              <a:cxnSpLocks noChangeShapeType="1"/>
                            </wps:cNvCnPr>
                            <wps:spPr bwMode="auto">
                              <a:xfrm>
                                <a:off x="0" y="0"/>
                                <a:ext cx="1028700" cy="635"/>
                              </a:xfrm>
                              <a:prstGeom prst="line">
                                <a:avLst/>
                              </a:prstGeom>
                              <a:noFill/>
                              <a:ln w="9525">
                                <a:solidFill>
                                  <a:srgbClr val="000000"/>
                                </a:solidFill>
                                <a:round/>
                              </a:ln>
                            </wps:spPr>
                            <wps:bodyPr/>
                          </wps:wsp>
                        </a:graphicData>
                      </a:graphic>
                    </wp:anchor>
                  </w:drawing>
                </mc:Choice>
                <mc:Fallback>
                  <w:pict>
                    <v:line id="Line 228" o:spid="_x0000_s1026" o:spt="20" style="position:absolute;left:0pt;margin-left:305.65pt;margin-top:24.8pt;height:0.05pt;width:81pt;z-index:251660288;mso-width-relative:page;mso-height-relative:page;" filled="f" stroked="t" coordsize="21600,21600" o:gfxdata="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mCDzc1wAAAAkBAAAPAAAAAAAAAAEAIAAAACIAAABk&#10;cnMvZG93bnJldi54bWxQSwECFAAUAAAACACHTuJAQFgyK84BAACjAwAADgAAAAAAAAABACAAAAAm&#10;AQAAZHJzL2Uyb0RvYy54bWxQSwUGAAAAAAYABgBZAQAAZgUAAAAA&#10;">
                      <v:fill on="f" focussize="0,0"/>
                      <v:stroke color="#000000" joinstyle="round"/>
                      <v:imagedata o:title=""/>
                      <o:lock v:ext="edit" aspectratio="f"/>
                      <w10:anchorlock/>
                    </v:line>
                  </w:pict>
                </mc:Fallback>
              </mc:AlternateContent>
            </w:r>
            <w:r>
              <w:rPr>
                <w:rFonts w:cs="Times New Roman"/>
                <w:b/>
                <w:bCs/>
                <w:szCs w:val="24"/>
              </w:rPr>
              <w:t>本对话内容已向               领导汇报      签字人：</w:t>
            </w: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1682" w:type="dxa"/>
            <w:tcBorders>
              <w:bottom w:val="single" w:color="auto" w:sz="4" w:space="0"/>
            </w:tcBorders>
            <w:vAlign w:val="center"/>
          </w:tcPr>
          <w:p>
            <w:pPr>
              <w:spacing w:line="360" w:lineRule="auto"/>
              <w:jc w:val="center"/>
              <w:rPr>
                <w:rFonts w:cs="Times New Roman"/>
                <w:b/>
                <w:bCs/>
                <w:szCs w:val="24"/>
              </w:rPr>
            </w:pPr>
            <w:r>
              <w:rPr>
                <w:rFonts w:cs="Times New Roman"/>
                <w:b/>
                <w:bCs/>
                <w:szCs w:val="24"/>
              </w:rPr>
              <w:t>处理措施</w:t>
            </w:r>
          </w:p>
        </w:tc>
        <w:tc>
          <w:tcPr>
            <w:tcW w:w="6551" w:type="dxa"/>
            <w:gridSpan w:val="3"/>
            <w:tcBorders>
              <w:bottom w:val="single" w:color="auto" w:sz="4" w:space="0"/>
            </w:tcBorders>
            <w:vAlign w:val="center"/>
          </w:tcPr>
          <w:p>
            <w:pPr>
              <w:spacing w:line="360" w:lineRule="auto"/>
              <w:ind w:firstLine="482"/>
              <w:rPr>
                <w:rFonts w:cs="Times New Roman"/>
                <w:b/>
                <w:bCs/>
                <w:szCs w:val="24"/>
              </w:rPr>
            </w:pPr>
          </w:p>
          <w:p>
            <w:pPr>
              <w:spacing w:line="360" w:lineRule="auto"/>
              <w:ind w:firstLine="482"/>
              <w:jc w:val="center"/>
              <w:rPr>
                <w:rFonts w:cs="Times New Roman"/>
                <w:b/>
                <w:bCs/>
                <w:szCs w:val="24"/>
              </w:rPr>
            </w:pPr>
          </w:p>
        </w:tc>
      </w:tr>
      <w:tr>
        <w:tblPrEx>
          <w:tblBorders>
            <w:top w:val="single" w:color="auto" w:sz="4" w:space="0"/>
            <w:left w:val="single" w:color="auto" w:sz="4"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1682" w:type="dxa"/>
            <w:tcBorders>
              <w:bottom w:val="single" w:color="auto" w:sz="4" w:space="0"/>
            </w:tcBorders>
            <w:vAlign w:val="center"/>
          </w:tcPr>
          <w:p>
            <w:pPr>
              <w:spacing w:line="360" w:lineRule="auto"/>
              <w:jc w:val="center"/>
              <w:rPr>
                <w:rFonts w:cs="Times New Roman"/>
                <w:b/>
                <w:bCs/>
                <w:szCs w:val="24"/>
              </w:rPr>
            </w:pPr>
            <w:r>
              <w:rPr>
                <w:rFonts w:cs="Times New Roman"/>
                <w:b/>
                <w:bCs/>
                <w:szCs w:val="24"/>
              </w:rPr>
              <w:t>处理结果</w:t>
            </w:r>
          </w:p>
        </w:tc>
        <w:tc>
          <w:tcPr>
            <w:tcW w:w="6551" w:type="dxa"/>
            <w:gridSpan w:val="3"/>
            <w:tcBorders>
              <w:bottom w:val="single" w:color="auto" w:sz="4" w:space="0"/>
            </w:tcBorders>
            <w:vAlign w:val="center"/>
          </w:tcPr>
          <w:p>
            <w:pPr>
              <w:spacing w:line="360" w:lineRule="auto"/>
              <w:ind w:firstLine="482"/>
              <w:jc w:val="center"/>
              <w:rPr>
                <w:rFonts w:cs="Times New Roman"/>
                <w:b/>
                <w:bCs/>
                <w:szCs w:val="24"/>
              </w:rPr>
            </w:pPr>
          </w:p>
          <w:p>
            <w:pPr>
              <w:spacing w:line="360" w:lineRule="auto"/>
              <w:ind w:firstLine="482"/>
              <w:jc w:val="center"/>
              <w:rPr>
                <w:rFonts w:cs="Times New Roman"/>
                <w:b/>
                <w:bCs/>
                <w:szCs w:val="24"/>
              </w:rPr>
            </w:pPr>
          </w:p>
          <w:p>
            <w:pPr>
              <w:spacing w:line="360" w:lineRule="auto"/>
              <w:ind w:firstLine="482"/>
              <w:jc w:val="center"/>
              <w:rPr>
                <w:rFonts w:cs="Times New Roman"/>
                <w:b/>
                <w:bCs/>
                <w:szCs w:val="24"/>
              </w:rPr>
            </w:pPr>
          </w:p>
        </w:tc>
      </w:tr>
    </w:tbl>
    <w:p>
      <w:pPr>
        <w:spacing w:line="440" w:lineRule="exact"/>
        <w:ind w:firstLine="480" w:firstLineChars="200"/>
        <w:rPr>
          <w:rFonts w:cs="Times New Roman"/>
        </w:rPr>
      </w:pPr>
    </w:p>
    <w:p>
      <w:pPr>
        <w:pStyle w:val="3"/>
        <w:rPr>
          <w:shd w:val="clear" w:color="auto" w:fill="FFFFFF"/>
        </w:rPr>
      </w:pPr>
      <w:bookmarkStart w:id="93" w:name="_Toc108453167"/>
      <w:r>
        <w:rPr>
          <w:shd w:val="clear" w:color="auto" w:fill="FFFFFF"/>
        </w:rPr>
        <w:t>10.5应急演习评价表</w:t>
      </w:r>
      <w:bookmarkEnd w:id="93"/>
    </w:p>
    <w:p>
      <w:pPr>
        <w:spacing w:line="440" w:lineRule="exact"/>
        <w:ind w:firstLine="480" w:firstLineChars="200"/>
        <w:rPr>
          <w:rFonts w:cs="Times New Roman"/>
        </w:rPr>
      </w:pPr>
      <w:r>
        <w:rPr>
          <w:rFonts w:cs="Times New Roman"/>
        </w:rPr>
        <w:t>演习应做好记录，演习结束后应根据演习结果做好总结报告，并根据报告对现有应急预案提出修改意见。</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single" w:color="000000" w:sz="4" w:space="0"/>
              <w:right w:val="nil"/>
            </w:tcBorders>
            <w:shd w:val="clear" w:color="auto" w:fill="auto"/>
          </w:tcPr>
          <w:p>
            <w:pPr>
              <w:adjustRightInd w:val="0"/>
              <w:snapToGrid w:val="0"/>
              <w:spacing w:before="120" w:beforeLines="50" w:line="360" w:lineRule="auto"/>
              <w:jc w:val="center"/>
              <w:rPr>
                <w:rFonts w:cs="Times New Roman"/>
              </w:rPr>
            </w:pPr>
            <w:r>
              <w:rPr>
                <w:rFonts w:cs="Times New Roman"/>
                <w:b/>
                <w:szCs w:val="24"/>
              </w:rPr>
              <w:t>表16 市生态环境局辐射事故应急演习评价表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top w:val="single" w:color="000000" w:sz="4" w:space="0"/>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演习目的：</w:t>
            </w:r>
          </w:p>
        </w:tc>
        <w:tc>
          <w:tcPr>
            <w:tcW w:w="6146" w:type="dxa"/>
            <w:tcBorders>
              <w:top w:val="single" w:color="000000" w:sz="4" w:space="0"/>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演习时间：</w:t>
            </w:r>
          </w:p>
        </w:tc>
        <w:tc>
          <w:tcPr>
            <w:tcW w:w="6146" w:type="dxa"/>
            <w:tcBorders>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演习地点：</w:t>
            </w:r>
          </w:p>
        </w:tc>
        <w:tc>
          <w:tcPr>
            <w:tcW w:w="6146" w:type="dxa"/>
            <w:tcBorders>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演习方式：</w:t>
            </w:r>
          </w:p>
        </w:tc>
        <w:tc>
          <w:tcPr>
            <w:tcW w:w="6146" w:type="dxa"/>
            <w:tcBorders>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参演人员范围：</w:t>
            </w:r>
          </w:p>
        </w:tc>
        <w:tc>
          <w:tcPr>
            <w:tcW w:w="6146" w:type="dxa"/>
            <w:tcBorders>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演习启动人员：</w:t>
            </w:r>
          </w:p>
        </w:tc>
        <w:tc>
          <w:tcPr>
            <w:tcW w:w="6146" w:type="dxa"/>
            <w:tcBorders>
              <w:right w:val="nil"/>
            </w:tcBorders>
            <w:shd w:val="clear" w:color="auto" w:fill="auto"/>
          </w:tcPr>
          <w:p>
            <w:pPr>
              <w:spacing w:line="240" w:lineRule="auto"/>
              <w:rPr>
                <w:rFonts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76" w:type="dxa"/>
            <w:tcBorders>
              <w:left w:val="nil"/>
            </w:tcBorders>
            <w:shd w:val="clear" w:color="auto" w:fill="auto"/>
            <w:vAlign w:val="center"/>
          </w:tcPr>
          <w:p>
            <w:pPr>
              <w:spacing w:line="240" w:lineRule="auto"/>
              <w:ind w:firstLine="420"/>
              <w:jc w:val="center"/>
              <w:rPr>
                <w:rFonts w:cs="Times New Roman"/>
                <w:sz w:val="21"/>
                <w:szCs w:val="21"/>
              </w:rPr>
            </w:pPr>
            <w:r>
              <w:rPr>
                <w:rFonts w:cs="Times New Roman"/>
                <w:sz w:val="21"/>
                <w:szCs w:val="21"/>
              </w:rPr>
              <w:t>应急值班员：</w:t>
            </w:r>
          </w:p>
        </w:tc>
        <w:tc>
          <w:tcPr>
            <w:tcW w:w="6146" w:type="dxa"/>
            <w:tcBorders>
              <w:right w:val="nil"/>
            </w:tcBorders>
            <w:shd w:val="clear" w:color="auto" w:fill="auto"/>
          </w:tcPr>
          <w:p>
            <w:pPr>
              <w:spacing w:line="240" w:lineRule="auto"/>
              <w:rPr>
                <w:rFonts w:cs="Times New Roman"/>
              </w:rPr>
            </w:pPr>
          </w:p>
        </w:tc>
      </w:tr>
    </w:tbl>
    <w:p>
      <w:pPr>
        <w:rPr>
          <w:rFonts w:cs="Times New Roman"/>
        </w:rPr>
      </w:pP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45"/>
        <w:gridCol w:w="1410"/>
        <w:gridCol w:w="795"/>
        <w:gridCol w:w="870"/>
        <w:gridCol w:w="690"/>
        <w:gridCol w:w="663"/>
        <w:gridCol w:w="852"/>
        <w:gridCol w:w="690"/>
        <w:gridCol w:w="1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0"/>
            <w:tcBorders>
              <w:top w:val="nil"/>
              <w:left w:val="nil"/>
              <w:right w:val="nil"/>
            </w:tcBorders>
            <w:shd w:val="clear" w:color="auto" w:fill="auto"/>
          </w:tcPr>
          <w:p>
            <w:pPr>
              <w:adjustRightInd w:val="0"/>
              <w:snapToGrid w:val="0"/>
              <w:spacing w:before="120" w:beforeLines="50" w:line="360" w:lineRule="auto"/>
              <w:jc w:val="center"/>
              <w:rPr>
                <w:rFonts w:cs="Times New Roman"/>
                <w:b/>
                <w:szCs w:val="24"/>
              </w:rPr>
            </w:pPr>
            <w:r>
              <w:rPr>
                <w:rFonts w:cs="Times New Roman"/>
                <w:b/>
                <w:szCs w:val="24"/>
              </w:rPr>
              <w:t>表17 市生态环境局辐射事故应急演习人员响应情况</w:t>
            </w:r>
          </w:p>
          <w:p>
            <w:pPr>
              <w:adjustRightInd w:val="0"/>
              <w:snapToGrid w:val="0"/>
              <w:spacing w:before="120" w:beforeLines="50" w:line="360" w:lineRule="auto"/>
              <w:jc w:val="center"/>
              <w:rPr>
                <w:rFonts w:cs="Times New Roman"/>
              </w:rPr>
            </w:pPr>
            <w:r>
              <w:rPr>
                <w:rFonts w:cs="Times New Roman"/>
                <w:b/>
                <w:szCs w:val="24"/>
              </w:rPr>
              <w:t>原始记录表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vMerge w:val="restart"/>
            <w:tcBorders>
              <w:left w:val="nil"/>
            </w:tcBorders>
            <w:shd w:val="clear" w:color="auto" w:fill="auto"/>
            <w:textDirection w:val="tbRlV"/>
            <w:vAlign w:val="center"/>
          </w:tcPr>
          <w:p>
            <w:pPr>
              <w:spacing w:line="240" w:lineRule="auto"/>
              <w:ind w:left="113" w:right="113"/>
              <w:jc w:val="center"/>
              <w:rPr>
                <w:rFonts w:cs="Times New Roman"/>
                <w:sz w:val="21"/>
                <w:szCs w:val="21"/>
              </w:rPr>
            </w:pPr>
            <w:r>
              <w:rPr>
                <w:rFonts w:cs="Times New Roman"/>
                <w:sz w:val="21"/>
                <w:szCs w:val="21"/>
              </w:rPr>
              <w:t>组别</w:t>
            </w:r>
          </w:p>
        </w:tc>
        <w:tc>
          <w:tcPr>
            <w:tcW w:w="945" w:type="dxa"/>
            <w:vMerge w:val="restart"/>
            <w:shd w:val="clear" w:color="auto" w:fill="auto"/>
            <w:vAlign w:val="center"/>
          </w:tcPr>
          <w:p>
            <w:pPr>
              <w:spacing w:line="240" w:lineRule="auto"/>
              <w:ind w:firstLine="210" w:firstLineChars="100"/>
              <w:rPr>
                <w:rFonts w:cs="Times New Roman"/>
                <w:sz w:val="21"/>
                <w:szCs w:val="21"/>
              </w:rPr>
            </w:pPr>
            <w:r>
              <w:rPr>
                <w:rFonts w:cs="Times New Roman"/>
                <w:sz w:val="21"/>
                <w:szCs w:val="21"/>
              </w:rPr>
              <w:t>姓名</w:t>
            </w:r>
          </w:p>
        </w:tc>
        <w:tc>
          <w:tcPr>
            <w:tcW w:w="1410" w:type="dxa"/>
            <w:vMerge w:val="restart"/>
            <w:shd w:val="clear" w:color="auto" w:fill="auto"/>
            <w:vAlign w:val="center"/>
          </w:tcPr>
          <w:p>
            <w:pPr>
              <w:spacing w:line="240" w:lineRule="auto"/>
              <w:ind w:firstLine="210" w:firstLineChars="100"/>
              <w:rPr>
                <w:rFonts w:cs="Times New Roman"/>
                <w:sz w:val="21"/>
                <w:szCs w:val="21"/>
              </w:rPr>
            </w:pPr>
            <w:r>
              <w:rPr>
                <w:rFonts w:cs="Times New Roman"/>
                <w:sz w:val="21"/>
                <w:szCs w:val="21"/>
              </w:rPr>
              <w:t>电话号码</w:t>
            </w:r>
          </w:p>
        </w:tc>
        <w:tc>
          <w:tcPr>
            <w:tcW w:w="4560" w:type="dxa"/>
            <w:gridSpan w:val="6"/>
            <w:shd w:val="clear" w:color="auto" w:fill="auto"/>
            <w:vAlign w:val="center"/>
          </w:tcPr>
          <w:p>
            <w:pPr>
              <w:spacing w:line="240" w:lineRule="auto"/>
              <w:ind w:firstLine="420"/>
              <w:jc w:val="center"/>
              <w:rPr>
                <w:rFonts w:cs="Times New Roman"/>
                <w:sz w:val="21"/>
                <w:szCs w:val="21"/>
              </w:rPr>
            </w:pPr>
            <w:r>
              <w:rPr>
                <w:rFonts w:cs="Times New Roman"/>
                <w:sz w:val="21"/>
                <w:szCs w:val="21"/>
              </w:rPr>
              <w:t>呼叫响应情况</w:t>
            </w:r>
          </w:p>
        </w:tc>
        <w:tc>
          <w:tcPr>
            <w:tcW w:w="1016" w:type="dxa"/>
            <w:vMerge w:val="restart"/>
            <w:tcBorders>
              <w:right w:val="nil"/>
            </w:tcBorders>
            <w:shd w:val="clear" w:color="auto" w:fill="auto"/>
            <w:textDirection w:val="tbRlV"/>
            <w:vAlign w:val="center"/>
          </w:tcPr>
          <w:p>
            <w:pPr>
              <w:spacing w:line="240" w:lineRule="auto"/>
              <w:ind w:left="113" w:right="113" w:firstLine="420"/>
              <w:jc w:val="center"/>
              <w:rPr>
                <w:rFonts w:cs="Times New Roman"/>
                <w:sz w:val="21"/>
                <w:szCs w:val="21"/>
              </w:rPr>
            </w:pPr>
            <w:r>
              <w:rPr>
                <w:rFonts w:cs="Times New Roman"/>
                <w:sz w:val="21"/>
                <w:szCs w:val="21"/>
              </w:rPr>
              <w:t>回拨情况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vMerge w:val="continue"/>
            <w:tcBorders>
              <w:left w:val="nil"/>
            </w:tcBorders>
            <w:shd w:val="clear" w:color="auto" w:fill="auto"/>
            <w:vAlign w:val="center"/>
          </w:tcPr>
          <w:p>
            <w:pPr>
              <w:spacing w:line="240" w:lineRule="auto"/>
              <w:ind w:firstLine="420"/>
              <w:jc w:val="center"/>
              <w:rPr>
                <w:rFonts w:cs="Times New Roman"/>
                <w:sz w:val="21"/>
                <w:szCs w:val="21"/>
              </w:rPr>
            </w:pPr>
          </w:p>
        </w:tc>
        <w:tc>
          <w:tcPr>
            <w:tcW w:w="945" w:type="dxa"/>
            <w:vMerge w:val="continue"/>
            <w:shd w:val="clear" w:color="auto" w:fill="auto"/>
            <w:vAlign w:val="center"/>
          </w:tcPr>
          <w:p>
            <w:pPr>
              <w:spacing w:line="240" w:lineRule="auto"/>
              <w:ind w:firstLine="420"/>
              <w:jc w:val="center"/>
              <w:rPr>
                <w:rFonts w:cs="Times New Roman"/>
                <w:sz w:val="21"/>
                <w:szCs w:val="21"/>
              </w:rPr>
            </w:pPr>
          </w:p>
        </w:tc>
        <w:tc>
          <w:tcPr>
            <w:tcW w:w="1410" w:type="dxa"/>
            <w:vMerge w:val="continue"/>
            <w:shd w:val="clear" w:color="auto" w:fill="auto"/>
            <w:vAlign w:val="center"/>
          </w:tcPr>
          <w:p>
            <w:pPr>
              <w:spacing w:line="240" w:lineRule="auto"/>
              <w:ind w:firstLine="420"/>
              <w:jc w:val="center"/>
              <w:rPr>
                <w:rFonts w:cs="Times New Roman"/>
                <w:sz w:val="21"/>
                <w:szCs w:val="21"/>
              </w:rPr>
            </w:pPr>
          </w:p>
        </w:tc>
        <w:tc>
          <w:tcPr>
            <w:tcW w:w="2355" w:type="dxa"/>
            <w:gridSpan w:val="3"/>
            <w:shd w:val="clear" w:color="auto" w:fill="auto"/>
            <w:vAlign w:val="center"/>
          </w:tcPr>
          <w:p>
            <w:pPr>
              <w:spacing w:line="240" w:lineRule="auto"/>
              <w:ind w:firstLine="420"/>
              <w:jc w:val="center"/>
              <w:rPr>
                <w:rFonts w:cs="Times New Roman"/>
                <w:sz w:val="21"/>
                <w:szCs w:val="21"/>
              </w:rPr>
            </w:pPr>
            <w:r>
              <w:rPr>
                <w:rFonts w:cs="Times New Roman"/>
                <w:sz w:val="21"/>
                <w:szCs w:val="21"/>
              </w:rPr>
              <w:t>第一次</w:t>
            </w:r>
          </w:p>
        </w:tc>
        <w:tc>
          <w:tcPr>
            <w:tcW w:w="2205" w:type="dxa"/>
            <w:gridSpan w:val="3"/>
            <w:shd w:val="clear" w:color="auto" w:fill="auto"/>
            <w:vAlign w:val="center"/>
          </w:tcPr>
          <w:p>
            <w:pPr>
              <w:spacing w:line="240" w:lineRule="auto"/>
              <w:ind w:firstLine="420"/>
              <w:jc w:val="center"/>
              <w:rPr>
                <w:rFonts w:cs="Times New Roman"/>
                <w:sz w:val="21"/>
                <w:szCs w:val="21"/>
              </w:rPr>
            </w:pPr>
            <w:r>
              <w:rPr>
                <w:rFonts w:cs="Times New Roman"/>
                <w:sz w:val="21"/>
                <w:szCs w:val="21"/>
              </w:rPr>
              <w:t>第二次</w:t>
            </w:r>
          </w:p>
        </w:tc>
        <w:tc>
          <w:tcPr>
            <w:tcW w:w="1016" w:type="dxa"/>
            <w:vMerge w:val="continue"/>
            <w:tcBorders>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vMerge w:val="continue"/>
            <w:tcBorders>
              <w:left w:val="nil"/>
            </w:tcBorders>
            <w:shd w:val="clear" w:color="auto" w:fill="auto"/>
            <w:vAlign w:val="center"/>
          </w:tcPr>
          <w:p>
            <w:pPr>
              <w:spacing w:line="240" w:lineRule="auto"/>
              <w:ind w:firstLine="420"/>
              <w:jc w:val="center"/>
              <w:rPr>
                <w:rFonts w:cs="Times New Roman"/>
                <w:sz w:val="21"/>
                <w:szCs w:val="21"/>
              </w:rPr>
            </w:pPr>
          </w:p>
        </w:tc>
        <w:tc>
          <w:tcPr>
            <w:tcW w:w="945" w:type="dxa"/>
            <w:vMerge w:val="continue"/>
            <w:shd w:val="clear" w:color="auto" w:fill="auto"/>
            <w:vAlign w:val="center"/>
          </w:tcPr>
          <w:p>
            <w:pPr>
              <w:spacing w:line="240" w:lineRule="auto"/>
              <w:ind w:firstLine="420"/>
              <w:jc w:val="center"/>
              <w:rPr>
                <w:rFonts w:cs="Times New Roman"/>
                <w:sz w:val="21"/>
                <w:szCs w:val="21"/>
              </w:rPr>
            </w:pPr>
          </w:p>
        </w:tc>
        <w:tc>
          <w:tcPr>
            <w:tcW w:w="1410" w:type="dxa"/>
            <w:vMerge w:val="continue"/>
            <w:shd w:val="clear" w:color="auto" w:fill="auto"/>
            <w:vAlign w:val="center"/>
          </w:tcPr>
          <w:p>
            <w:pPr>
              <w:spacing w:line="240" w:lineRule="auto"/>
              <w:ind w:firstLine="420"/>
              <w:jc w:val="center"/>
              <w:rPr>
                <w:rFonts w:cs="Times New Roman"/>
                <w:sz w:val="21"/>
                <w:szCs w:val="21"/>
              </w:rPr>
            </w:pPr>
          </w:p>
        </w:tc>
        <w:tc>
          <w:tcPr>
            <w:tcW w:w="795" w:type="dxa"/>
            <w:shd w:val="clear" w:color="auto" w:fill="auto"/>
            <w:vAlign w:val="center"/>
          </w:tcPr>
          <w:p>
            <w:pPr>
              <w:spacing w:line="240" w:lineRule="auto"/>
              <w:rPr>
                <w:rFonts w:cs="Times New Roman"/>
                <w:sz w:val="21"/>
                <w:szCs w:val="21"/>
              </w:rPr>
            </w:pPr>
            <w:r>
              <w:rPr>
                <w:rFonts w:cs="Times New Roman"/>
                <w:sz w:val="21"/>
                <w:szCs w:val="21"/>
              </w:rPr>
              <w:t>接通</w:t>
            </w:r>
          </w:p>
        </w:tc>
        <w:tc>
          <w:tcPr>
            <w:tcW w:w="870" w:type="dxa"/>
            <w:shd w:val="clear" w:color="auto" w:fill="auto"/>
            <w:vAlign w:val="center"/>
          </w:tcPr>
          <w:p>
            <w:pPr>
              <w:spacing w:line="240" w:lineRule="auto"/>
              <w:rPr>
                <w:rFonts w:cs="Times New Roman"/>
                <w:sz w:val="21"/>
                <w:szCs w:val="21"/>
              </w:rPr>
            </w:pPr>
            <w:r>
              <w:rPr>
                <w:rFonts w:cs="Times New Roman"/>
                <w:sz w:val="21"/>
                <w:szCs w:val="21"/>
              </w:rPr>
              <w:t>未接通</w:t>
            </w:r>
          </w:p>
        </w:tc>
        <w:tc>
          <w:tcPr>
            <w:tcW w:w="690" w:type="dxa"/>
            <w:shd w:val="clear" w:color="auto" w:fill="auto"/>
            <w:vAlign w:val="center"/>
          </w:tcPr>
          <w:p>
            <w:pPr>
              <w:spacing w:line="240" w:lineRule="auto"/>
              <w:rPr>
                <w:rFonts w:cs="Times New Roman"/>
                <w:sz w:val="21"/>
                <w:szCs w:val="21"/>
              </w:rPr>
            </w:pPr>
            <w:r>
              <w:rPr>
                <w:rFonts w:cs="Times New Roman"/>
                <w:sz w:val="21"/>
                <w:szCs w:val="21"/>
              </w:rPr>
              <w:t>备注</w:t>
            </w:r>
          </w:p>
        </w:tc>
        <w:tc>
          <w:tcPr>
            <w:tcW w:w="663" w:type="dxa"/>
            <w:shd w:val="clear" w:color="auto" w:fill="auto"/>
            <w:vAlign w:val="center"/>
          </w:tcPr>
          <w:p>
            <w:pPr>
              <w:spacing w:line="240" w:lineRule="auto"/>
              <w:rPr>
                <w:rFonts w:cs="Times New Roman"/>
                <w:sz w:val="21"/>
                <w:szCs w:val="21"/>
              </w:rPr>
            </w:pPr>
            <w:r>
              <w:rPr>
                <w:rFonts w:cs="Times New Roman"/>
                <w:sz w:val="21"/>
                <w:szCs w:val="21"/>
              </w:rPr>
              <w:t>接通</w:t>
            </w:r>
          </w:p>
        </w:tc>
        <w:tc>
          <w:tcPr>
            <w:tcW w:w="852" w:type="dxa"/>
            <w:shd w:val="clear" w:color="auto" w:fill="auto"/>
            <w:vAlign w:val="center"/>
          </w:tcPr>
          <w:p>
            <w:pPr>
              <w:spacing w:line="240" w:lineRule="auto"/>
              <w:rPr>
                <w:rFonts w:cs="Times New Roman"/>
                <w:sz w:val="21"/>
                <w:szCs w:val="21"/>
              </w:rPr>
            </w:pPr>
            <w:r>
              <w:rPr>
                <w:rFonts w:cs="Times New Roman"/>
                <w:sz w:val="21"/>
                <w:szCs w:val="21"/>
              </w:rPr>
              <w:t>未接通</w:t>
            </w:r>
          </w:p>
        </w:tc>
        <w:tc>
          <w:tcPr>
            <w:tcW w:w="690" w:type="dxa"/>
            <w:shd w:val="clear" w:color="auto" w:fill="auto"/>
            <w:vAlign w:val="center"/>
          </w:tcPr>
          <w:p>
            <w:pPr>
              <w:spacing w:line="240" w:lineRule="auto"/>
              <w:rPr>
                <w:rFonts w:cs="Times New Roman"/>
                <w:sz w:val="21"/>
                <w:szCs w:val="21"/>
              </w:rPr>
            </w:pPr>
            <w:r>
              <w:rPr>
                <w:rFonts w:cs="Times New Roman"/>
                <w:sz w:val="21"/>
                <w:szCs w:val="21"/>
              </w:rPr>
              <w:t>备注</w:t>
            </w:r>
          </w:p>
        </w:tc>
        <w:tc>
          <w:tcPr>
            <w:tcW w:w="1016" w:type="dxa"/>
            <w:vMerge w:val="continue"/>
            <w:tcBorders>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tcBorders>
              <w:left w:val="nil"/>
            </w:tcBorders>
            <w:shd w:val="clear" w:color="auto" w:fill="auto"/>
            <w:vAlign w:val="center"/>
          </w:tcPr>
          <w:p>
            <w:pPr>
              <w:spacing w:line="240" w:lineRule="auto"/>
              <w:ind w:firstLine="420"/>
              <w:jc w:val="center"/>
              <w:rPr>
                <w:rFonts w:cs="Times New Roman"/>
                <w:sz w:val="21"/>
                <w:szCs w:val="21"/>
              </w:rPr>
            </w:pPr>
          </w:p>
        </w:tc>
        <w:tc>
          <w:tcPr>
            <w:tcW w:w="945" w:type="dxa"/>
            <w:shd w:val="clear" w:color="auto" w:fill="auto"/>
            <w:vAlign w:val="center"/>
          </w:tcPr>
          <w:p>
            <w:pPr>
              <w:spacing w:line="240" w:lineRule="auto"/>
              <w:ind w:firstLine="420"/>
              <w:jc w:val="center"/>
              <w:rPr>
                <w:rFonts w:cs="Times New Roman"/>
                <w:sz w:val="21"/>
                <w:szCs w:val="21"/>
              </w:rPr>
            </w:pPr>
          </w:p>
        </w:tc>
        <w:tc>
          <w:tcPr>
            <w:tcW w:w="1410" w:type="dxa"/>
            <w:shd w:val="clear" w:color="auto" w:fill="auto"/>
            <w:vAlign w:val="center"/>
          </w:tcPr>
          <w:p>
            <w:pPr>
              <w:spacing w:line="240" w:lineRule="auto"/>
              <w:ind w:firstLine="420"/>
              <w:jc w:val="center"/>
              <w:rPr>
                <w:rFonts w:cs="Times New Roman"/>
                <w:sz w:val="21"/>
                <w:szCs w:val="21"/>
              </w:rPr>
            </w:pPr>
          </w:p>
        </w:tc>
        <w:tc>
          <w:tcPr>
            <w:tcW w:w="795" w:type="dxa"/>
            <w:shd w:val="clear" w:color="auto" w:fill="auto"/>
            <w:vAlign w:val="center"/>
          </w:tcPr>
          <w:p>
            <w:pPr>
              <w:spacing w:line="240" w:lineRule="auto"/>
              <w:ind w:firstLine="420"/>
              <w:jc w:val="center"/>
              <w:rPr>
                <w:rFonts w:cs="Times New Roman"/>
                <w:sz w:val="21"/>
                <w:szCs w:val="21"/>
              </w:rPr>
            </w:pPr>
          </w:p>
        </w:tc>
        <w:tc>
          <w:tcPr>
            <w:tcW w:w="870" w:type="dxa"/>
            <w:shd w:val="clear" w:color="auto" w:fill="auto"/>
            <w:vAlign w:val="center"/>
          </w:tcPr>
          <w:p>
            <w:pPr>
              <w:spacing w:line="240" w:lineRule="auto"/>
              <w:ind w:firstLine="420"/>
              <w:jc w:val="center"/>
              <w:rPr>
                <w:rFonts w:cs="Times New Roman"/>
                <w:sz w:val="21"/>
                <w:szCs w:val="21"/>
              </w:rPr>
            </w:pPr>
          </w:p>
        </w:tc>
        <w:tc>
          <w:tcPr>
            <w:tcW w:w="690" w:type="dxa"/>
            <w:shd w:val="clear" w:color="auto" w:fill="auto"/>
            <w:vAlign w:val="center"/>
          </w:tcPr>
          <w:p>
            <w:pPr>
              <w:spacing w:line="240" w:lineRule="auto"/>
              <w:ind w:firstLine="420"/>
              <w:jc w:val="center"/>
              <w:rPr>
                <w:rFonts w:cs="Times New Roman"/>
                <w:sz w:val="21"/>
                <w:szCs w:val="21"/>
              </w:rPr>
            </w:pPr>
          </w:p>
        </w:tc>
        <w:tc>
          <w:tcPr>
            <w:tcW w:w="663" w:type="dxa"/>
            <w:shd w:val="clear" w:color="auto" w:fill="auto"/>
            <w:vAlign w:val="center"/>
          </w:tcPr>
          <w:p>
            <w:pPr>
              <w:spacing w:line="240" w:lineRule="auto"/>
              <w:ind w:firstLine="420"/>
              <w:jc w:val="center"/>
              <w:rPr>
                <w:rFonts w:cs="Times New Roman"/>
                <w:sz w:val="21"/>
                <w:szCs w:val="21"/>
              </w:rPr>
            </w:pPr>
          </w:p>
        </w:tc>
        <w:tc>
          <w:tcPr>
            <w:tcW w:w="852" w:type="dxa"/>
            <w:shd w:val="clear" w:color="auto" w:fill="auto"/>
            <w:vAlign w:val="center"/>
          </w:tcPr>
          <w:p>
            <w:pPr>
              <w:spacing w:line="240" w:lineRule="auto"/>
              <w:ind w:firstLine="420"/>
              <w:jc w:val="center"/>
              <w:rPr>
                <w:rFonts w:cs="Times New Roman"/>
                <w:sz w:val="21"/>
                <w:szCs w:val="21"/>
              </w:rPr>
            </w:pPr>
          </w:p>
        </w:tc>
        <w:tc>
          <w:tcPr>
            <w:tcW w:w="690" w:type="dxa"/>
            <w:shd w:val="clear" w:color="auto" w:fill="auto"/>
            <w:vAlign w:val="center"/>
          </w:tcPr>
          <w:p>
            <w:pPr>
              <w:spacing w:line="240" w:lineRule="auto"/>
              <w:ind w:firstLine="420"/>
              <w:jc w:val="center"/>
              <w:rPr>
                <w:rFonts w:cs="Times New Roman"/>
                <w:sz w:val="21"/>
                <w:szCs w:val="21"/>
              </w:rPr>
            </w:pPr>
          </w:p>
        </w:tc>
        <w:tc>
          <w:tcPr>
            <w:tcW w:w="1016" w:type="dxa"/>
            <w:tcBorders>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tcBorders>
              <w:left w:val="nil"/>
            </w:tcBorders>
            <w:shd w:val="clear" w:color="auto" w:fill="auto"/>
            <w:vAlign w:val="center"/>
          </w:tcPr>
          <w:p>
            <w:pPr>
              <w:spacing w:line="240" w:lineRule="auto"/>
              <w:ind w:firstLine="420"/>
              <w:jc w:val="center"/>
              <w:rPr>
                <w:rFonts w:cs="Times New Roman"/>
                <w:sz w:val="21"/>
                <w:szCs w:val="21"/>
              </w:rPr>
            </w:pPr>
          </w:p>
        </w:tc>
        <w:tc>
          <w:tcPr>
            <w:tcW w:w="945" w:type="dxa"/>
            <w:shd w:val="clear" w:color="auto" w:fill="auto"/>
            <w:vAlign w:val="center"/>
          </w:tcPr>
          <w:p>
            <w:pPr>
              <w:spacing w:line="240" w:lineRule="auto"/>
              <w:ind w:firstLine="420"/>
              <w:jc w:val="center"/>
              <w:rPr>
                <w:rFonts w:cs="Times New Roman"/>
                <w:sz w:val="21"/>
                <w:szCs w:val="21"/>
              </w:rPr>
            </w:pPr>
          </w:p>
        </w:tc>
        <w:tc>
          <w:tcPr>
            <w:tcW w:w="1410" w:type="dxa"/>
            <w:shd w:val="clear" w:color="auto" w:fill="auto"/>
            <w:vAlign w:val="center"/>
          </w:tcPr>
          <w:p>
            <w:pPr>
              <w:spacing w:line="240" w:lineRule="auto"/>
              <w:ind w:firstLine="420"/>
              <w:jc w:val="center"/>
              <w:rPr>
                <w:rFonts w:cs="Times New Roman"/>
                <w:sz w:val="21"/>
                <w:szCs w:val="21"/>
              </w:rPr>
            </w:pPr>
          </w:p>
        </w:tc>
        <w:tc>
          <w:tcPr>
            <w:tcW w:w="795" w:type="dxa"/>
            <w:shd w:val="clear" w:color="auto" w:fill="auto"/>
            <w:vAlign w:val="center"/>
          </w:tcPr>
          <w:p>
            <w:pPr>
              <w:spacing w:line="240" w:lineRule="auto"/>
              <w:ind w:firstLine="420"/>
              <w:jc w:val="center"/>
              <w:rPr>
                <w:rFonts w:cs="Times New Roman"/>
                <w:sz w:val="21"/>
                <w:szCs w:val="21"/>
              </w:rPr>
            </w:pPr>
          </w:p>
        </w:tc>
        <w:tc>
          <w:tcPr>
            <w:tcW w:w="870" w:type="dxa"/>
            <w:shd w:val="clear" w:color="auto" w:fill="auto"/>
            <w:vAlign w:val="center"/>
          </w:tcPr>
          <w:p>
            <w:pPr>
              <w:spacing w:line="240" w:lineRule="auto"/>
              <w:ind w:firstLine="420"/>
              <w:jc w:val="center"/>
              <w:rPr>
                <w:rFonts w:cs="Times New Roman"/>
                <w:sz w:val="21"/>
                <w:szCs w:val="21"/>
              </w:rPr>
            </w:pPr>
          </w:p>
        </w:tc>
        <w:tc>
          <w:tcPr>
            <w:tcW w:w="690" w:type="dxa"/>
            <w:shd w:val="clear" w:color="auto" w:fill="auto"/>
            <w:vAlign w:val="center"/>
          </w:tcPr>
          <w:p>
            <w:pPr>
              <w:spacing w:line="240" w:lineRule="auto"/>
              <w:ind w:firstLine="420"/>
              <w:jc w:val="center"/>
              <w:rPr>
                <w:rFonts w:cs="Times New Roman"/>
                <w:sz w:val="21"/>
                <w:szCs w:val="21"/>
              </w:rPr>
            </w:pPr>
          </w:p>
        </w:tc>
        <w:tc>
          <w:tcPr>
            <w:tcW w:w="663" w:type="dxa"/>
            <w:shd w:val="clear" w:color="auto" w:fill="auto"/>
            <w:vAlign w:val="center"/>
          </w:tcPr>
          <w:p>
            <w:pPr>
              <w:spacing w:line="240" w:lineRule="auto"/>
              <w:ind w:firstLine="420"/>
              <w:jc w:val="center"/>
              <w:rPr>
                <w:rFonts w:cs="Times New Roman"/>
                <w:sz w:val="21"/>
                <w:szCs w:val="21"/>
              </w:rPr>
            </w:pPr>
          </w:p>
        </w:tc>
        <w:tc>
          <w:tcPr>
            <w:tcW w:w="852" w:type="dxa"/>
            <w:shd w:val="clear" w:color="auto" w:fill="auto"/>
            <w:vAlign w:val="center"/>
          </w:tcPr>
          <w:p>
            <w:pPr>
              <w:spacing w:line="240" w:lineRule="auto"/>
              <w:ind w:firstLine="420"/>
              <w:jc w:val="center"/>
              <w:rPr>
                <w:rFonts w:cs="Times New Roman"/>
                <w:sz w:val="21"/>
                <w:szCs w:val="21"/>
              </w:rPr>
            </w:pPr>
          </w:p>
        </w:tc>
        <w:tc>
          <w:tcPr>
            <w:tcW w:w="690" w:type="dxa"/>
            <w:shd w:val="clear" w:color="auto" w:fill="auto"/>
            <w:vAlign w:val="center"/>
          </w:tcPr>
          <w:p>
            <w:pPr>
              <w:spacing w:line="240" w:lineRule="auto"/>
              <w:ind w:firstLine="420"/>
              <w:jc w:val="center"/>
              <w:rPr>
                <w:rFonts w:cs="Times New Roman"/>
                <w:sz w:val="21"/>
                <w:szCs w:val="21"/>
              </w:rPr>
            </w:pPr>
          </w:p>
        </w:tc>
        <w:tc>
          <w:tcPr>
            <w:tcW w:w="1016" w:type="dxa"/>
            <w:tcBorders>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91" w:type="dxa"/>
            <w:tcBorders>
              <w:left w:val="nil"/>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945"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1410"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795"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870"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690"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663"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852"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690" w:type="dxa"/>
            <w:tcBorders>
              <w:bottom w:val="single" w:color="000000" w:sz="4" w:space="0"/>
            </w:tcBorders>
            <w:shd w:val="clear" w:color="auto" w:fill="auto"/>
            <w:vAlign w:val="center"/>
          </w:tcPr>
          <w:p>
            <w:pPr>
              <w:spacing w:line="240" w:lineRule="auto"/>
              <w:ind w:firstLine="420"/>
              <w:jc w:val="center"/>
              <w:rPr>
                <w:rFonts w:cs="Times New Roman"/>
                <w:sz w:val="21"/>
                <w:szCs w:val="21"/>
              </w:rPr>
            </w:pPr>
          </w:p>
        </w:tc>
        <w:tc>
          <w:tcPr>
            <w:tcW w:w="1016" w:type="dxa"/>
            <w:tcBorders>
              <w:bottom w:val="single" w:color="000000" w:sz="4" w:space="0"/>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946" w:type="dxa"/>
            <w:gridSpan w:val="3"/>
            <w:tcBorders>
              <w:top w:val="single" w:color="000000" w:sz="4" w:space="0"/>
              <w:left w:val="nil"/>
              <w:bottom w:val="nil"/>
              <w:right w:val="nil"/>
            </w:tcBorders>
            <w:shd w:val="clear" w:color="auto" w:fill="auto"/>
            <w:vAlign w:val="center"/>
          </w:tcPr>
          <w:p>
            <w:pPr>
              <w:spacing w:line="240" w:lineRule="auto"/>
              <w:ind w:firstLine="422"/>
              <w:rPr>
                <w:rFonts w:cs="Times New Roman"/>
                <w:sz w:val="21"/>
                <w:szCs w:val="21"/>
              </w:rPr>
            </w:pPr>
            <w:r>
              <w:rPr>
                <w:rFonts w:cs="Times New Roman"/>
                <w:b/>
                <w:bCs/>
                <w:sz w:val="21"/>
                <w:szCs w:val="21"/>
              </w:rPr>
              <w:t>评价小结：</w:t>
            </w:r>
          </w:p>
        </w:tc>
        <w:tc>
          <w:tcPr>
            <w:tcW w:w="795"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870"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690"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663"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852"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690"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c>
          <w:tcPr>
            <w:tcW w:w="1016" w:type="dxa"/>
            <w:tcBorders>
              <w:top w:val="single" w:color="000000" w:sz="4" w:space="0"/>
              <w:left w:val="nil"/>
              <w:bottom w:val="nil"/>
              <w:right w:val="nil"/>
            </w:tcBorders>
            <w:shd w:val="clear" w:color="auto" w:fill="auto"/>
            <w:vAlign w:val="center"/>
          </w:tcPr>
          <w:p>
            <w:pPr>
              <w:spacing w:line="240" w:lineRule="auto"/>
              <w:ind w:firstLine="420"/>
              <w:jc w:val="center"/>
              <w:rPr>
                <w:rFonts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946" w:type="dxa"/>
            <w:gridSpan w:val="3"/>
            <w:tcBorders>
              <w:top w:val="nil"/>
              <w:left w:val="nil"/>
              <w:bottom w:val="nil"/>
              <w:right w:val="nil"/>
            </w:tcBorders>
            <w:shd w:val="clear" w:color="auto" w:fill="auto"/>
            <w:vAlign w:val="center"/>
          </w:tcPr>
          <w:p>
            <w:pPr>
              <w:spacing w:line="240" w:lineRule="auto"/>
              <w:ind w:firstLine="422"/>
              <w:rPr>
                <w:rFonts w:cs="Times New Roman"/>
                <w:b/>
                <w:bCs/>
                <w:sz w:val="21"/>
                <w:szCs w:val="21"/>
              </w:rPr>
            </w:pPr>
          </w:p>
          <w:p>
            <w:pPr>
              <w:spacing w:line="240" w:lineRule="auto"/>
              <w:ind w:firstLine="422"/>
              <w:rPr>
                <w:rFonts w:cs="Times New Roman"/>
                <w:b/>
                <w:bCs/>
                <w:sz w:val="21"/>
                <w:szCs w:val="21"/>
              </w:rPr>
            </w:pPr>
            <w:r>
              <w:rPr>
                <w:rFonts w:cs="Times New Roman"/>
                <w:b/>
                <w:bCs/>
                <w:sz w:val="21"/>
                <w:szCs w:val="21"/>
              </w:rPr>
              <w:t>填表人：</w:t>
            </w:r>
          </w:p>
        </w:tc>
        <w:tc>
          <w:tcPr>
            <w:tcW w:w="1665" w:type="dxa"/>
            <w:gridSpan w:val="2"/>
            <w:tcBorders>
              <w:top w:val="nil"/>
              <w:left w:val="nil"/>
              <w:bottom w:val="nil"/>
              <w:right w:val="nil"/>
            </w:tcBorders>
            <w:shd w:val="clear" w:color="auto" w:fill="auto"/>
            <w:vAlign w:val="center"/>
          </w:tcPr>
          <w:p>
            <w:pPr>
              <w:spacing w:line="240" w:lineRule="auto"/>
              <w:ind w:firstLine="422"/>
              <w:jc w:val="left"/>
              <w:rPr>
                <w:rFonts w:cs="Times New Roman"/>
                <w:b/>
                <w:bCs/>
                <w:sz w:val="21"/>
                <w:szCs w:val="21"/>
              </w:rPr>
            </w:pPr>
          </w:p>
          <w:p>
            <w:pPr>
              <w:spacing w:line="240" w:lineRule="auto"/>
              <w:jc w:val="left"/>
              <w:rPr>
                <w:rFonts w:cs="Times New Roman"/>
                <w:b/>
                <w:bCs/>
                <w:sz w:val="21"/>
                <w:szCs w:val="21"/>
              </w:rPr>
            </w:pPr>
            <w:r>
              <w:rPr>
                <w:rFonts w:cs="Times New Roman"/>
                <w:b/>
                <w:bCs/>
                <w:sz w:val="21"/>
                <w:szCs w:val="21"/>
              </w:rPr>
              <w:t>审核：</w:t>
            </w:r>
          </w:p>
        </w:tc>
        <w:tc>
          <w:tcPr>
            <w:tcW w:w="2205" w:type="dxa"/>
            <w:gridSpan w:val="3"/>
            <w:tcBorders>
              <w:top w:val="nil"/>
              <w:left w:val="nil"/>
              <w:bottom w:val="nil"/>
              <w:right w:val="nil"/>
            </w:tcBorders>
            <w:shd w:val="clear" w:color="auto" w:fill="auto"/>
            <w:vAlign w:val="center"/>
          </w:tcPr>
          <w:p>
            <w:pPr>
              <w:spacing w:line="240" w:lineRule="auto"/>
              <w:ind w:firstLine="422"/>
              <w:jc w:val="left"/>
              <w:rPr>
                <w:rFonts w:cs="Times New Roman"/>
                <w:b/>
                <w:bCs/>
                <w:sz w:val="21"/>
                <w:szCs w:val="21"/>
              </w:rPr>
            </w:pPr>
          </w:p>
          <w:p>
            <w:pPr>
              <w:spacing w:line="240" w:lineRule="auto"/>
              <w:ind w:firstLine="211" w:firstLineChars="100"/>
              <w:jc w:val="left"/>
              <w:rPr>
                <w:rFonts w:cs="Times New Roman"/>
                <w:b/>
                <w:bCs/>
                <w:sz w:val="21"/>
                <w:szCs w:val="21"/>
              </w:rPr>
            </w:pPr>
            <w:r>
              <w:rPr>
                <w:rFonts w:cs="Times New Roman"/>
                <w:b/>
                <w:bCs/>
                <w:sz w:val="21"/>
                <w:szCs w:val="21"/>
              </w:rPr>
              <w:t>审定：</w:t>
            </w:r>
          </w:p>
        </w:tc>
        <w:tc>
          <w:tcPr>
            <w:tcW w:w="1706" w:type="dxa"/>
            <w:gridSpan w:val="2"/>
            <w:tcBorders>
              <w:top w:val="nil"/>
              <w:left w:val="nil"/>
              <w:bottom w:val="nil"/>
              <w:right w:val="nil"/>
            </w:tcBorders>
            <w:shd w:val="clear" w:color="auto" w:fill="auto"/>
            <w:vAlign w:val="center"/>
          </w:tcPr>
          <w:p>
            <w:pPr>
              <w:spacing w:line="240" w:lineRule="auto"/>
              <w:ind w:firstLine="422"/>
              <w:jc w:val="left"/>
              <w:rPr>
                <w:rFonts w:cs="Times New Roman"/>
                <w:b/>
                <w:bCs/>
                <w:sz w:val="21"/>
                <w:szCs w:val="21"/>
              </w:rPr>
            </w:pPr>
          </w:p>
          <w:p>
            <w:pPr>
              <w:spacing w:line="240" w:lineRule="auto"/>
              <w:jc w:val="left"/>
              <w:rPr>
                <w:rFonts w:cs="Times New Roman"/>
                <w:b/>
                <w:bCs/>
                <w:sz w:val="21"/>
                <w:szCs w:val="21"/>
              </w:rPr>
            </w:pPr>
            <w:r>
              <w:rPr>
                <w:rFonts w:cs="Times New Roman"/>
                <w:b/>
                <w:bCs/>
                <w:sz w:val="21"/>
                <w:szCs w:val="21"/>
              </w:rPr>
              <w:t>批准：</w:t>
            </w:r>
          </w:p>
        </w:tc>
      </w:tr>
    </w:tbl>
    <w:p>
      <w:pPr>
        <w:rPr>
          <w:rFonts w:cs="Times New Roman"/>
        </w:rPr>
      </w:pPr>
    </w:p>
    <w:p>
      <w:pPr>
        <w:rPr>
          <w:rFonts w:cs="Times New Roman"/>
        </w:rPr>
      </w:pPr>
    </w:p>
    <w:p>
      <w:pPr>
        <w:pStyle w:val="3"/>
        <w:rPr>
          <w:shd w:val="clear" w:color="auto" w:fill="FFFFFF"/>
        </w:rPr>
      </w:pPr>
      <w:bookmarkStart w:id="94" w:name="_Toc108453168"/>
      <w:r>
        <w:rPr>
          <w:shd w:val="clear" w:color="auto" w:fill="FFFFFF"/>
        </w:rPr>
        <w:t>10.6现场监测原始记录表</w:t>
      </w:r>
      <w:bookmarkEnd w:id="94"/>
    </w:p>
    <w:p>
      <w:pPr>
        <w:adjustRightInd w:val="0"/>
        <w:snapToGrid w:val="0"/>
        <w:spacing w:before="120" w:beforeLines="50" w:line="360" w:lineRule="auto"/>
        <w:jc w:val="center"/>
        <w:rPr>
          <w:rFonts w:cs="Times New Roman"/>
          <w:b/>
          <w:szCs w:val="24"/>
        </w:rPr>
      </w:pPr>
      <w:r>
        <w:rPr>
          <w:rFonts w:cs="Times New Roman"/>
          <w:b/>
          <w:szCs w:val="24"/>
        </w:rPr>
        <w:t>γ辐射剂量率监测数据表</w:t>
      </w:r>
    </w:p>
    <w:p>
      <w:pPr>
        <w:pStyle w:val="7"/>
        <w:spacing w:before="2" w:line="240" w:lineRule="exact"/>
        <w:ind w:firstLine="220"/>
        <w:rPr>
          <w:rFonts w:ascii="Times New Roman" w:hAnsi="Times New Roman" w:cs="Times New Roman"/>
          <w:sz w:val="11"/>
        </w:rPr>
      </w:pPr>
    </w:p>
    <w:tbl>
      <w:tblPr>
        <w:tblStyle w:val="16"/>
        <w:tblW w:w="0" w:type="auto"/>
        <w:tblInd w:w="0" w:type="dxa"/>
        <w:tblLayout w:type="fixed"/>
        <w:tblCellMar>
          <w:top w:w="0" w:type="dxa"/>
          <w:left w:w="0" w:type="dxa"/>
          <w:bottom w:w="0" w:type="dxa"/>
          <w:right w:w="0" w:type="dxa"/>
        </w:tblCellMar>
      </w:tblPr>
      <w:tblGrid>
        <w:gridCol w:w="2963"/>
        <w:gridCol w:w="2987"/>
        <w:gridCol w:w="2529"/>
      </w:tblGrid>
      <w:tr>
        <w:tblPrEx>
          <w:tblCellMar>
            <w:top w:w="0" w:type="dxa"/>
            <w:left w:w="0" w:type="dxa"/>
            <w:bottom w:w="0" w:type="dxa"/>
            <w:right w:w="0" w:type="dxa"/>
          </w:tblCellMar>
        </w:tblPrEx>
        <w:trPr>
          <w:trHeight w:val="323" w:hRule="atLeast"/>
        </w:trPr>
        <w:tc>
          <w:tcPr>
            <w:tcW w:w="2963"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项目名称</w:t>
            </w:r>
          </w:p>
        </w:tc>
        <w:tc>
          <w:tcPr>
            <w:tcW w:w="2987"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地点</w:t>
            </w:r>
          </w:p>
        </w:tc>
        <w:tc>
          <w:tcPr>
            <w:tcW w:w="2529"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日期</w:t>
            </w:r>
          </w:p>
        </w:tc>
      </w:tr>
      <w:tr>
        <w:tblPrEx>
          <w:tblCellMar>
            <w:top w:w="0" w:type="dxa"/>
            <w:left w:w="0" w:type="dxa"/>
            <w:bottom w:w="0" w:type="dxa"/>
            <w:right w:w="0" w:type="dxa"/>
          </w:tblCellMar>
        </w:tblPrEx>
        <w:trPr>
          <w:trHeight w:val="323" w:hRule="atLeast"/>
        </w:trPr>
        <w:tc>
          <w:tcPr>
            <w:tcW w:w="2963"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仪器型号与编号</w:t>
            </w:r>
          </w:p>
        </w:tc>
        <w:tc>
          <w:tcPr>
            <w:tcW w:w="2987"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刻度系数</w:t>
            </w:r>
          </w:p>
        </w:tc>
        <w:tc>
          <w:tcPr>
            <w:tcW w:w="2529" w:type="dxa"/>
            <w:vAlign w:val="center"/>
          </w:tcPr>
          <w:p>
            <w:pPr>
              <w:pStyle w:val="34"/>
              <w:spacing w:line="240" w:lineRule="exact"/>
              <w:ind w:firstLine="0" w:firstLineChars="0"/>
              <w:rPr>
                <w:rFonts w:ascii="Times New Roman" w:hAnsi="Times New Roman" w:cs="Times New Roman"/>
                <w:sz w:val="24"/>
              </w:rPr>
            </w:pPr>
            <w:r>
              <w:rPr>
                <w:rFonts w:ascii="Times New Roman" w:hAnsi="Times New Roman" w:cs="Times New Roman"/>
                <w:sz w:val="24"/>
              </w:rPr>
              <w:t>效率因子</w:t>
            </w:r>
          </w:p>
        </w:tc>
      </w:tr>
    </w:tbl>
    <w:p>
      <w:pPr>
        <w:pStyle w:val="7"/>
        <w:spacing w:before="4" w:line="240" w:lineRule="exact"/>
        <w:ind w:firstLine="320"/>
        <w:rPr>
          <w:rFonts w:ascii="Times New Roman" w:hAnsi="Times New Roman" w:cs="Times New Roman"/>
          <w:sz w:val="16"/>
        </w:rPr>
      </w:pPr>
    </w:p>
    <w:p>
      <w:pPr>
        <w:tabs>
          <w:tab w:val="left" w:pos="720"/>
          <w:tab w:val="left" w:pos="1800"/>
        </w:tabs>
        <w:spacing w:before="67" w:line="240" w:lineRule="exact"/>
        <w:ind w:right="475" w:firstLine="480"/>
        <w:jc w:val="right"/>
        <w:rPr>
          <w:rFonts w:cs="Times New Roman"/>
        </w:rPr>
      </w:pPr>
      <w:r>
        <w:rPr>
          <w:rFonts w:cs="Times New Roman"/>
        </w:rPr>
        <w:t>共     页 第     页</w:t>
      </w:r>
    </w:p>
    <w:tbl>
      <w:tblPr>
        <w:tblStyle w:val="1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5"/>
        <w:gridCol w:w="938"/>
        <w:gridCol w:w="699"/>
        <w:gridCol w:w="701"/>
        <w:gridCol w:w="701"/>
        <w:gridCol w:w="699"/>
        <w:gridCol w:w="702"/>
        <w:gridCol w:w="702"/>
        <w:gridCol w:w="700"/>
        <w:gridCol w:w="702"/>
        <w:gridCol w:w="703"/>
        <w:gridCol w:w="6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jc w:val="center"/>
        </w:trPr>
        <w:tc>
          <w:tcPr>
            <w:tcW w:w="465" w:type="dxa"/>
            <w:vMerge w:val="restart"/>
            <w:tcBorders>
              <w:left w:val="nil"/>
            </w:tcBorders>
            <w:vAlign w:val="center"/>
          </w:tcPr>
          <w:p>
            <w:pPr>
              <w:pStyle w:val="34"/>
              <w:spacing w:line="240" w:lineRule="exact"/>
              <w:ind w:firstLine="0" w:firstLineChars="0"/>
              <w:jc w:val="center"/>
              <w:rPr>
                <w:rFonts w:ascii="Times New Roman" w:hAnsi="Times New Roman" w:cs="Times New Roman"/>
                <w:sz w:val="24"/>
              </w:rPr>
            </w:pPr>
            <w:r>
              <w:rPr>
                <w:rFonts w:ascii="Times New Roman" w:hAnsi="Times New Roman" w:cs="Times New Roman"/>
                <w:sz w:val="24"/>
              </w:rPr>
              <w:t>序号</w:t>
            </w:r>
          </w:p>
        </w:tc>
        <w:tc>
          <w:tcPr>
            <w:tcW w:w="938" w:type="dxa"/>
            <w:vMerge w:val="restart"/>
            <w:vAlign w:val="center"/>
          </w:tcPr>
          <w:p>
            <w:pPr>
              <w:pStyle w:val="34"/>
              <w:spacing w:line="240" w:lineRule="exact"/>
              <w:ind w:firstLine="0" w:firstLineChars="0"/>
              <w:jc w:val="center"/>
              <w:rPr>
                <w:rFonts w:ascii="Times New Roman" w:hAnsi="Times New Roman" w:cs="Times New Roman"/>
                <w:sz w:val="24"/>
              </w:rPr>
            </w:pPr>
            <w:r>
              <w:rPr>
                <w:rFonts w:ascii="Times New Roman" w:hAnsi="Times New Roman" w:cs="Times New Roman"/>
                <w:sz w:val="24"/>
              </w:rPr>
              <w:t>点位名</w:t>
            </w:r>
          </w:p>
        </w:tc>
        <w:tc>
          <w:tcPr>
            <w:tcW w:w="7002" w:type="dxa"/>
            <w:gridSpan w:val="10"/>
            <w:tcBorders>
              <w:right w:val="nil"/>
            </w:tcBorders>
            <w:vAlign w:val="center"/>
          </w:tcPr>
          <w:p>
            <w:pPr>
              <w:pStyle w:val="34"/>
              <w:tabs>
                <w:tab w:val="left" w:pos="721"/>
                <w:tab w:val="left" w:pos="1441"/>
              </w:tabs>
              <w:spacing w:line="240" w:lineRule="exact"/>
              <w:ind w:firstLine="0" w:firstLineChars="0"/>
              <w:jc w:val="center"/>
              <w:rPr>
                <w:rFonts w:ascii="Times New Roman" w:hAnsi="Times New Roman" w:cs="Times New Roman"/>
                <w:sz w:val="24"/>
              </w:rPr>
            </w:pPr>
            <w:r>
              <w:rPr>
                <w:rFonts w:ascii="Times New Roman" w:hAnsi="Times New Roman" w:cs="Times New Roman"/>
                <w:sz w:val="24"/>
              </w:rPr>
              <w:t>读  数  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465" w:type="dxa"/>
            <w:vMerge w:val="continue"/>
            <w:tcBorders>
              <w:top w:val="nil"/>
              <w:left w:val="nil"/>
            </w:tcBorders>
            <w:vAlign w:val="center"/>
          </w:tcPr>
          <w:p>
            <w:pPr>
              <w:spacing w:line="240" w:lineRule="atLeast"/>
              <w:ind w:firstLine="40"/>
              <w:jc w:val="center"/>
              <w:rPr>
                <w:rFonts w:cs="Times New Roman"/>
                <w:sz w:val="2"/>
                <w:szCs w:val="2"/>
              </w:rPr>
            </w:pPr>
          </w:p>
        </w:tc>
        <w:tc>
          <w:tcPr>
            <w:tcW w:w="938" w:type="dxa"/>
            <w:vMerge w:val="continue"/>
            <w:tcBorders>
              <w:top w:val="nil"/>
            </w:tcBorders>
            <w:vAlign w:val="center"/>
          </w:tcPr>
          <w:p>
            <w:pPr>
              <w:spacing w:line="240" w:lineRule="atLeast"/>
              <w:ind w:firstLine="40"/>
              <w:jc w:val="center"/>
              <w:rPr>
                <w:rFonts w:cs="Times New Roman"/>
                <w:sz w:val="2"/>
                <w:szCs w:val="2"/>
              </w:rPr>
            </w:pPr>
          </w:p>
        </w:tc>
        <w:tc>
          <w:tcPr>
            <w:tcW w:w="699"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701"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701"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699"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702"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702"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700"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702"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703"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6"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7"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4"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7"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57" w:hRule="atLeast"/>
          <w:jc w:val="center"/>
        </w:trPr>
        <w:tc>
          <w:tcPr>
            <w:tcW w:w="46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10</w:t>
            </w:r>
          </w:p>
        </w:tc>
        <w:tc>
          <w:tcPr>
            <w:tcW w:w="938"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701" w:type="dxa"/>
            <w:vAlign w:val="center"/>
          </w:tcPr>
          <w:p>
            <w:pPr>
              <w:pStyle w:val="34"/>
              <w:spacing w:line="240" w:lineRule="atLeast"/>
              <w:ind w:firstLine="0" w:firstLineChars="0"/>
              <w:jc w:val="center"/>
              <w:rPr>
                <w:rFonts w:ascii="Times New Roman" w:hAnsi="Times New Roman" w:cs="Times New Roman"/>
                <w:sz w:val="24"/>
              </w:rPr>
            </w:pPr>
          </w:p>
        </w:tc>
        <w:tc>
          <w:tcPr>
            <w:tcW w:w="699"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0" w:type="dxa"/>
            <w:vAlign w:val="center"/>
          </w:tcPr>
          <w:p>
            <w:pPr>
              <w:pStyle w:val="34"/>
              <w:spacing w:line="240" w:lineRule="atLeast"/>
              <w:ind w:firstLine="0" w:firstLineChars="0"/>
              <w:jc w:val="center"/>
              <w:rPr>
                <w:rFonts w:ascii="Times New Roman" w:hAnsi="Times New Roman" w:cs="Times New Roman"/>
                <w:sz w:val="24"/>
              </w:rPr>
            </w:pPr>
          </w:p>
        </w:tc>
        <w:tc>
          <w:tcPr>
            <w:tcW w:w="702" w:type="dxa"/>
            <w:vAlign w:val="center"/>
          </w:tcPr>
          <w:p>
            <w:pPr>
              <w:pStyle w:val="34"/>
              <w:spacing w:line="240" w:lineRule="atLeast"/>
              <w:ind w:firstLine="0" w:firstLineChars="0"/>
              <w:jc w:val="center"/>
              <w:rPr>
                <w:rFonts w:ascii="Times New Roman" w:hAnsi="Times New Roman" w:cs="Times New Roman"/>
                <w:sz w:val="24"/>
              </w:rPr>
            </w:pPr>
          </w:p>
        </w:tc>
        <w:tc>
          <w:tcPr>
            <w:tcW w:w="703" w:type="dxa"/>
            <w:vAlign w:val="center"/>
          </w:tcPr>
          <w:p>
            <w:pPr>
              <w:pStyle w:val="34"/>
              <w:spacing w:line="240" w:lineRule="atLeast"/>
              <w:ind w:firstLine="0" w:firstLineChars="0"/>
              <w:jc w:val="center"/>
              <w:rPr>
                <w:rFonts w:ascii="Times New Roman" w:hAnsi="Times New Roman" w:cs="Times New Roman"/>
                <w:sz w:val="24"/>
              </w:rPr>
            </w:pPr>
          </w:p>
        </w:tc>
        <w:tc>
          <w:tcPr>
            <w:tcW w:w="693" w:type="dxa"/>
            <w:tcBorders>
              <w:right w:val="nil"/>
            </w:tcBorders>
            <w:vAlign w:val="center"/>
          </w:tcPr>
          <w:p>
            <w:pPr>
              <w:pStyle w:val="34"/>
              <w:spacing w:line="240" w:lineRule="atLeast"/>
              <w:ind w:firstLine="0" w:firstLineChars="0"/>
              <w:jc w:val="center"/>
              <w:rPr>
                <w:rFonts w:ascii="Times New Roman" w:hAnsi="Times New Roman" w:cs="Times New Roman"/>
                <w:sz w:val="24"/>
              </w:rPr>
            </w:pPr>
          </w:p>
        </w:tc>
      </w:tr>
    </w:tbl>
    <w:p>
      <w:pPr>
        <w:pStyle w:val="7"/>
        <w:spacing w:before="7"/>
        <w:ind w:firstLine="300"/>
        <w:rPr>
          <w:rFonts w:ascii="Times New Roman" w:hAnsi="Times New Roman" w:cs="Times New Roman"/>
          <w:sz w:val="15"/>
        </w:rPr>
      </w:pPr>
    </w:p>
    <w:tbl>
      <w:tblPr>
        <w:tblStyle w:val="16"/>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5"/>
        <w:gridCol w:w="3063"/>
        <w:gridCol w:w="1347"/>
        <w:gridCol w:w="1450"/>
        <w:gridCol w:w="207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1" w:hRule="atLeast"/>
        </w:trPr>
        <w:tc>
          <w:tcPr>
            <w:tcW w:w="475"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序号</w:t>
            </w:r>
          </w:p>
        </w:tc>
        <w:tc>
          <w:tcPr>
            <w:tcW w:w="3063"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测点简述</w:t>
            </w:r>
          </w:p>
        </w:tc>
        <w:tc>
          <w:tcPr>
            <w:tcW w:w="1347"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读数值</w:t>
            </w:r>
          </w:p>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X±σ</w:t>
            </w:r>
          </w:p>
        </w:tc>
        <w:tc>
          <w:tcPr>
            <w:tcW w:w="1450"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剂量率</w:t>
            </w:r>
          </w:p>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Gy/h</w:t>
            </w:r>
          </w:p>
        </w:tc>
        <w:tc>
          <w:tcPr>
            <w:tcW w:w="2072" w:type="dxa"/>
            <w:tcBorders>
              <w:righ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475" w:type="dxa"/>
            <w:tcBorders>
              <w:left w:val="nil"/>
            </w:tcBorders>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10</w:t>
            </w:r>
          </w:p>
        </w:tc>
        <w:tc>
          <w:tcPr>
            <w:tcW w:w="3063" w:type="dxa"/>
          </w:tcPr>
          <w:p>
            <w:pPr>
              <w:pStyle w:val="34"/>
              <w:spacing w:line="240" w:lineRule="atLeast"/>
              <w:ind w:firstLine="0" w:firstLineChars="0"/>
              <w:rPr>
                <w:rFonts w:ascii="Times New Roman" w:hAnsi="Times New Roman" w:cs="Times New Roman"/>
                <w:sz w:val="24"/>
              </w:rPr>
            </w:pPr>
          </w:p>
        </w:tc>
        <w:tc>
          <w:tcPr>
            <w:tcW w:w="1347" w:type="dxa"/>
          </w:tcPr>
          <w:p>
            <w:pPr>
              <w:pStyle w:val="34"/>
              <w:spacing w:line="240" w:lineRule="atLeast"/>
              <w:ind w:firstLine="0" w:firstLineChars="0"/>
              <w:rPr>
                <w:rFonts w:ascii="Times New Roman" w:hAnsi="Times New Roman" w:cs="Times New Roman"/>
                <w:sz w:val="24"/>
              </w:rPr>
            </w:pPr>
          </w:p>
        </w:tc>
        <w:tc>
          <w:tcPr>
            <w:tcW w:w="1450" w:type="dxa"/>
          </w:tcPr>
          <w:p>
            <w:pPr>
              <w:pStyle w:val="34"/>
              <w:spacing w:line="240" w:lineRule="atLeast"/>
              <w:ind w:firstLine="0" w:firstLineChars="0"/>
              <w:rPr>
                <w:rFonts w:ascii="Times New Roman" w:hAnsi="Times New Roman" w:cs="Times New Roman"/>
                <w:sz w:val="24"/>
              </w:rPr>
            </w:pPr>
          </w:p>
        </w:tc>
        <w:tc>
          <w:tcPr>
            <w:tcW w:w="2072" w:type="dxa"/>
            <w:tcBorders>
              <w:right w:val="nil"/>
            </w:tcBorders>
          </w:tcPr>
          <w:p>
            <w:pPr>
              <w:pStyle w:val="34"/>
              <w:spacing w:line="240" w:lineRule="atLeast"/>
              <w:ind w:firstLine="0" w:firstLineChars="0"/>
              <w:rPr>
                <w:rFonts w:ascii="Times New Roman" w:hAnsi="Times New Roman" w:cs="Times New Roman"/>
                <w:sz w:val="24"/>
              </w:rPr>
            </w:pPr>
          </w:p>
        </w:tc>
      </w:tr>
    </w:tbl>
    <w:p>
      <w:pPr>
        <w:pStyle w:val="7"/>
        <w:spacing w:before="7" w:line="240" w:lineRule="atLeast"/>
        <w:ind w:firstLine="360"/>
        <w:rPr>
          <w:rFonts w:ascii="Times New Roman" w:hAnsi="Times New Roman" w:cs="Times New Roman"/>
          <w:sz w:val="18"/>
        </w:rPr>
      </w:pPr>
    </w:p>
    <w:p>
      <w:pPr>
        <w:tabs>
          <w:tab w:val="left" w:pos="5321"/>
          <w:tab w:val="left" w:pos="7006"/>
        </w:tabs>
        <w:spacing w:before="1"/>
        <w:ind w:firstLine="422"/>
        <w:rPr>
          <w:rFonts w:cs="Times New Roman"/>
          <w:b/>
          <w:sz w:val="21"/>
        </w:rPr>
      </w:pPr>
      <w:r>
        <w:rPr>
          <w:rFonts w:cs="Times New Roman"/>
          <w:b/>
          <w:sz w:val="21"/>
        </w:rPr>
        <w:t xml:space="preserve">测量人                        校核人                        校核日期             </w:t>
      </w:r>
    </w:p>
    <w:p>
      <w:pPr>
        <w:spacing w:after="240" w:line="360" w:lineRule="auto"/>
        <w:jc w:val="center"/>
        <w:rPr>
          <w:rFonts w:cs="Times New Roman"/>
          <w:szCs w:val="24"/>
        </w:rPr>
      </w:pPr>
    </w:p>
    <w:p>
      <w:pPr>
        <w:adjustRightInd w:val="0"/>
        <w:snapToGrid w:val="0"/>
        <w:spacing w:before="120" w:beforeLines="50" w:line="360" w:lineRule="auto"/>
        <w:jc w:val="center"/>
        <w:rPr>
          <w:rFonts w:cs="Times New Roman"/>
          <w:b/>
          <w:szCs w:val="24"/>
        </w:rPr>
      </w:pPr>
      <w:r>
        <w:rPr>
          <w:rFonts w:cs="Times New Roman"/>
          <w:b/>
          <w:szCs w:val="24"/>
        </w:rPr>
        <w:t>α、β表面污染测量记录表</w:t>
      </w:r>
    </w:p>
    <w:tbl>
      <w:tblPr>
        <w:tblStyle w:val="16"/>
        <w:tblW w:w="0" w:type="auto"/>
        <w:tblInd w:w="0" w:type="dxa"/>
        <w:tblLayout w:type="fixed"/>
        <w:tblCellMar>
          <w:top w:w="0" w:type="dxa"/>
          <w:left w:w="0" w:type="dxa"/>
          <w:bottom w:w="0" w:type="dxa"/>
          <w:right w:w="0" w:type="dxa"/>
        </w:tblCellMar>
      </w:tblPr>
      <w:tblGrid>
        <w:gridCol w:w="2902"/>
        <w:gridCol w:w="2926"/>
        <w:gridCol w:w="2476"/>
      </w:tblGrid>
      <w:tr>
        <w:tblPrEx>
          <w:tblCellMar>
            <w:top w:w="0" w:type="dxa"/>
            <w:left w:w="0" w:type="dxa"/>
            <w:bottom w:w="0" w:type="dxa"/>
            <w:right w:w="0" w:type="dxa"/>
          </w:tblCellMar>
        </w:tblPrEx>
        <w:trPr>
          <w:trHeight w:val="275" w:hRule="atLeast"/>
        </w:trPr>
        <w:tc>
          <w:tcPr>
            <w:tcW w:w="2902"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污染源名称</w:t>
            </w:r>
          </w:p>
        </w:tc>
        <w:tc>
          <w:tcPr>
            <w:tcW w:w="292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地点</w:t>
            </w:r>
          </w:p>
        </w:tc>
        <w:tc>
          <w:tcPr>
            <w:tcW w:w="247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日期</w:t>
            </w:r>
          </w:p>
        </w:tc>
      </w:tr>
      <w:tr>
        <w:tblPrEx>
          <w:tblCellMar>
            <w:top w:w="0" w:type="dxa"/>
            <w:left w:w="0" w:type="dxa"/>
            <w:bottom w:w="0" w:type="dxa"/>
            <w:right w:w="0" w:type="dxa"/>
          </w:tblCellMar>
        </w:tblPrEx>
        <w:trPr>
          <w:trHeight w:val="312" w:hRule="atLeast"/>
        </w:trPr>
        <w:tc>
          <w:tcPr>
            <w:tcW w:w="2902"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仪器型号及编号</w:t>
            </w:r>
          </w:p>
        </w:tc>
        <w:tc>
          <w:tcPr>
            <w:tcW w:w="292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仪器效率</w:t>
            </w:r>
          </w:p>
        </w:tc>
        <w:tc>
          <w:tcPr>
            <w:tcW w:w="247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校准日期</w:t>
            </w:r>
          </w:p>
        </w:tc>
      </w:tr>
      <w:tr>
        <w:tblPrEx>
          <w:tblCellMar>
            <w:top w:w="0" w:type="dxa"/>
            <w:left w:w="0" w:type="dxa"/>
            <w:bottom w:w="0" w:type="dxa"/>
            <w:right w:w="0" w:type="dxa"/>
          </w:tblCellMar>
        </w:tblPrEx>
        <w:trPr>
          <w:trHeight w:val="310" w:hRule="atLeast"/>
        </w:trPr>
        <w:tc>
          <w:tcPr>
            <w:tcW w:w="2902"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污染核素</w:t>
            </w:r>
          </w:p>
        </w:tc>
        <w:tc>
          <w:tcPr>
            <w:tcW w:w="5402" w:type="dxa"/>
            <w:gridSpan w:val="2"/>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间接测量的表面类型</w:t>
            </w:r>
          </w:p>
        </w:tc>
      </w:tr>
      <w:tr>
        <w:tblPrEx>
          <w:tblCellMar>
            <w:top w:w="0" w:type="dxa"/>
            <w:left w:w="0" w:type="dxa"/>
            <w:bottom w:w="0" w:type="dxa"/>
            <w:right w:w="0" w:type="dxa"/>
          </w:tblCellMar>
        </w:tblPrEx>
        <w:trPr>
          <w:trHeight w:val="274" w:hRule="atLeast"/>
        </w:trPr>
        <w:tc>
          <w:tcPr>
            <w:tcW w:w="2902"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擦试材料</w:t>
            </w:r>
          </w:p>
        </w:tc>
        <w:tc>
          <w:tcPr>
            <w:tcW w:w="292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润湿剂</w:t>
            </w:r>
          </w:p>
        </w:tc>
        <w:tc>
          <w:tcPr>
            <w:tcW w:w="2476" w:type="dxa"/>
          </w:tcPr>
          <w:p>
            <w:pPr>
              <w:pStyle w:val="34"/>
              <w:spacing w:line="240" w:lineRule="atLeast"/>
              <w:ind w:firstLine="0" w:firstLineChars="0"/>
              <w:rPr>
                <w:rFonts w:ascii="Times New Roman" w:hAnsi="Times New Roman" w:cs="Times New Roman"/>
                <w:sz w:val="24"/>
              </w:rPr>
            </w:pPr>
            <w:r>
              <w:rPr>
                <w:rFonts w:ascii="Times New Roman" w:hAnsi="Times New Roman" w:cs="Times New Roman"/>
                <w:sz w:val="24"/>
              </w:rPr>
              <w:t>去除因子</w:t>
            </w:r>
          </w:p>
        </w:tc>
      </w:tr>
    </w:tbl>
    <w:p>
      <w:pPr>
        <w:spacing w:line="240" w:lineRule="atLeast"/>
        <w:ind w:firstLine="320"/>
        <w:rPr>
          <w:rFonts w:cs="Times New Roman"/>
          <w:vanish/>
          <w:sz w:val="16"/>
          <w:szCs w:val="16"/>
        </w:rPr>
      </w:pPr>
    </w:p>
    <w:tbl>
      <w:tblPr>
        <w:tblStyle w:val="16"/>
        <w:tblpPr w:leftFromText="180" w:rightFromText="180" w:vertAnchor="text" w:horzAnchor="page" w:tblpX="1788" w:tblpY="285"/>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1"/>
        <w:gridCol w:w="765"/>
        <w:gridCol w:w="694"/>
        <w:gridCol w:w="638"/>
        <w:gridCol w:w="636"/>
        <w:gridCol w:w="636"/>
        <w:gridCol w:w="636"/>
        <w:gridCol w:w="636"/>
        <w:gridCol w:w="638"/>
        <w:gridCol w:w="636"/>
        <w:gridCol w:w="638"/>
        <w:gridCol w:w="636"/>
        <w:gridCol w:w="64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471" w:type="dxa"/>
            <w:vMerge w:val="restart"/>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序号</w:t>
            </w:r>
          </w:p>
        </w:tc>
        <w:tc>
          <w:tcPr>
            <w:tcW w:w="765" w:type="dxa"/>
            <w:vMerge w:val="restart"/>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点位</w:t>
            </w:r>
          </w:p>
        </w:tc>
        <w:tc>
          <w:tcPr>
            <w:tcW w:w="694" w:type="dxa"/>
            <w:vMerge w:val="restart"/>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测量</w:t>
            </w:r>
          </w:p>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类别</w:t>
            </w:r>
          </w:p>
        </w:tc>
        <w:tc>
          <w:tcPr>
            <w:tcW w:w="6376" w:type="dxa"/>
            <w:gridSpan w:val="10"/>
            <w:tcBorders>
              <w:right w:val="nil"/>
            </w:tcBorders>
            <w:vAlign w:val="center"/>
          </w:tcPr>
          <w:p>
            <w:pPr>
              <w:pStyle w:val="34"/>
              <w:tabs>
                <w:tab w:val="left" w:pos="492"/>
                <w:tab w:val="left" w:pos="972"/>
              </w:tabs>
              <w:spacing w:line="240" w:lineRule="atLeast"/>
              <w:ind w:firstLine="0" w:firstLineChars="0"/>
              <w:jc w:val="center"/>
              <w:rPr>
                <w:rFonts w:ascii="Times New Roman" w:hAnsi="Times New Roman" w:cs="Times New Roman"/>
                <w:sz w:val="24"/>
              </w:rPr>
            </w:pPr>
            <w:r>
              <w:rPr>
                <w:rFonts w:ascii="Times New Roman" w:hAnsi="Times New Roman" w:cs="Times New Roman"/>
                <w:sz w:val="24"/>
              </w:rPr>
              <w:t>读</w:t>
            </w:r>
            <w:r>
              <w:rPr>
                <w:rFonts w:ascii="Times New Roman" w:hAnsi="Times New Roman" w:cs="Times New Roman"/>
                <w:sz w:val="24"/>
              </w:rPr>
              <w:tab/>
            </w:r>
            <w:r>
              <w:rPr>
                <w:rFonts w:ascii="Times New Roman" w:hAnsi="Times New Roman" w:cs="Times New Roman"/>
                <w:sz w:val="24"/>
              </w:rPr>
              <w:t>数</w:t>
            </w:r>
            <w:r>
              <w:rPr>
                <w:rFonts w:ascii="Times New Roman" w:hAnsi="Times New Roman" w:cs="Times New Roman"/>
                <w:sz w:val="24"/>
              </w:rPr>
              <w:tab/>
            </w:r>
            <w:r>
              <w:rPr>
                <w:rFonts w:ascii="Times New Roman" w:hAnsi="Times New Roman" w:cs="Times New Roman"/>
                <w:sz w:val="24"/>
              </w:rPr>
              <w:t>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471" w:type="dxa"/>
            <w:vMerge w:val="continue"/>
            <w:tcBorders>
              <w:top w:val="nil"/>
              <w:left w:val="nil"/>
            </w:tcBorders>
            <w:vAlign w:val="center"/>
          </w:tcPr>
          <w:p>
            <w:pPr>
              <w:spacing w:line="240" w:lineRule="atLeast"/>
              <w:ind w:firstLine="40"/>
              <w:jc w:val="center"/>
              <w:rPr>
                <w:rFonts w:cs="Times New Roman"/>
                <w:sz w:val="2"/>
                <w:szCs w:val="2"/>
              </w:rPr>
            </w:pPr>
          </w:p>
        </w:tc>
        <w:tc>
          <w:tcPr>
            <w:tcW w:w="765" w:type="dxa"/>
            <w:vMerge w:val="continue"/>
            <w:tcBorders>
              <w:top w:val="nil"/>
            </w:tcBorders>
            <w:vAlign w:val="center"/>
          </w:tcPr>
          <w:p>
            <w:pPr>
              <w:spacing w:line="240" w:lineRule="atLeast"/>
              <w:ind w:firstLine="40"/>
              <w:jc w:val="center"/>
              <w:rPr>
                <w:rFonts w:cs="Times New Roman"/>
                <w:sz w:val="2"/>
                <w:szCs w:val="2"/>
              </w:rPr>
            </w:pPr>
          </w:p>
        </w:tc>
        <w:tc>
          <w:tcPr>
            <w:tcW w:w="694" w:type="dxa"/>
            <w:vMerge w:val="continue"/>
            <w:tcBorders>
              <w:top w:val="nil"/>
            </w:tcBorders>
            <w:vAlign w:val="center"/>
          </w:tcPr>
          <w:p>
            <w:pPr>
              <w:spacing w:line="240" w:lineRule="atLeast"/>
              <w:ind w:firstLine="40"/>
              <w:jc w:val="center"/>
              <w:rPr>
                <w:rFonts w:cs="Times New Roman"/>
                <w:sz w:val="2"/>
                <w:szCs w:val="2"/>
              </w:rPr>
            </w:pPr>
          </w:p>
        </w:tc>
        <w:tc>
          <w:tcPr>
            <w:tcW w:w="638"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638"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638"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636"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71"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765" w:type="dxa"/>
            <w:vAlign w:val="center"/>
          </w:tcPr>
          <w:p>
            <w:pPr>
              <w:pStyle w:val="34"/>
              <w:spacing w:line="240" w:lineRule="atLeast"/>
              <w:ind w:firstLine="0" w:firstLineChars="0"/>
              <w:jc w:val="center"/>
              <w:rPr>
                <w:rFonts w:ascii="Times New Roman" w:hAnsi="Times New Roman" w:cs="Times New Roman"/>
              </w:rPr>
            </w:pPr>
          </w:p>
        </w:tc>
        <w:tc>
          <w:tcPr>
            <w:tcW w:w="694"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38" w:type="dxa"/>
            <w:vAlign w:val="center"/>
          </w:tcPr>
          <w:p>
            <w:pPr>
              <w:pStyle w:val="34"/>
              <w:spacing w:line="240" w:lineRule="atLeast"/>
              <w:ind w:firstLine="0" w:firstLineChars="0"/>
              <w:jc w:val="center"/>
              <w:rPr>
                <w:rFonts w:ascii="Times New Roman" w:hAnsi="Times New Roman" w:cs="Times New Roman"/>
              </w:rPr>
            </w:pPr>
          </w:p>
        </w:tc>
        <w:tc>
          <w:tcPr>
            <w:tcW w:w="636" w:type="dxa"/>
            <w:vAlign w:val="center"/>
          </w:tcPr>
          <w:p>
            <w:pPr>
              <w:pStyle w:val="34"/>
              <w:spacing w:line="240" w:lineRule="atLeast"/>
              <w:ind w:firstLine="0" w:firstLineChars="0"/>
              <w:jc w:val="center"/>
              <w:rPr>
                <w:rFonts w:ascii="Times New Roman" w:hAnsi="Times New Roman" w:cs="Times New Roman"/>
              </w:rPr>
            </w:pPr>
          </w:p>
        </w:tc>
        <w:tc>
          <w:tcPr>
            <w:tcW w:w="646" w:type="dxa"/>
            <w:tcBorders>
              <w:right w:val="nil"/>
            </w:tcBorders>
            <w:vAlign w:val="center"/>
          </w:tcPr>
          <w:p>
            <w:pPr>
              <w:pStyle w:val="34"/>
              <w:spacing w:line="240" w:lineRule="atLeast"/>
              <w:ind w:firstLine="0" w:firstLineChars="0"/>
              <w:jc w:val="center"/>
              <w:rPr>
                <w:rFonts w:ascii="Times New Roman" w:hAnsi="Times New Roman" w:cs="Times New Roman"/>
              </w:rPr>
            </w:pPr>
          </w:p>
        </w:tc>
      </w:tr>
    </w:tbl>
    <w:p>
      <w:pPr>
        <w:tabs>
          <w:tab w:val="left" w:pos="722"/>
          <w:tab w:val="left" w:pos="1325"/>
          <w:tab w:val="left" w:pos="2050"/>
        </w:tabs>
        <w:spacing w:line="240" w:lineRule="atLeast"/>
        <w:ind w:right="475"/>
        <w:jc w:val="right"/>
        <w:rPr>
          <w:rFonts w:cs="Times New Roman"/>
        </w:rPr>
      </w:pPr>
      <w:r>
        <w:rPr>
          <w:rFonts w:cs="Times New Roman"/>
        </w:rPr>
        <w:t>共</w:t>
      </w:r>
      <w:r>
        <w:rPr>
          <w:rFonts w:cs="Times New Roman"/>
        </w:rPr>
        <w:tab/>
      </w:r>
      <w:r>
        <w:rPr>
          <w:rFonts w:cs="Times New Roman"/>
        </w:rPr>
        <w:t>页</w:t>
      </w:r>
      <w:r>
        <w:rPr>
          <w:rFonts w:cs="Times New Roman"/>
        </w:rPr>
        <w:tab/>
      </w:r>
      <w:r>
        <w:rPr>
          <w:rFonts w:cs="Times New Roman"/>
        </w:rPr>
        <w:t>第</w:t>
      </w:r>
      <w:r>
        <w:rPr>
          <w:rFonts w:cs="Times New Roman"/>
        </w:rPr>
        <w:tab/>
      </w:r>
      <w:r>
        <w:rPr>
          <w:rFonts w:cs="Times New Roman"/>
        </w:rPr>
        <w:t>页</w:t>
      </w:r>
    </w:p>
    <w:p>
      <w:pPr>
        <w:pStyle w:val="7"/>
        <w:spacing w:line="240" w:lineRule="atLeast"/>
        <w:ind w:firstLine="0" w:firstLineChars="0"/>
        <w:rPr>
          <w:rFonts w:ascii="Times New Roman" w:hAnsi="Times New Roman" w:cs="Times New Roman"/>
          <w:b/>
          <w:sz w:val="15"/>
        </w:rPr>
      </w:pPr>
    </w:p>
    <w:tbl>
      <w:tblPr>
        <w:tblStyle w:val="16"/>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2630"/>
        <w:gridCol w:w="1891"/>
        <w:gridCol w:w="1659"/>
        <w:gridCol w:w="1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5" w:hRule="atLeas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序号</w:t>
            </w:r>
          </w:p>
        </w:tc>
        <w:tc>
          <w:tcPr>
            <w:tcW w:w="2630"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测点简述</w:t>
            </w:r>
          </w:p>
        </w:tc>
        <w:tc>
          <w:tcPr>
            <w:tcW w:w="1891"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读数值(x±σ)</w:t>
            </w:r>
          </w:p>
        </w:tc>
        <w:tc>
          <w:tcPr>
            <w:tcW w:w="1659" w:type="dxa"/>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测量值</w:t>
            </w:r>
          </w:p>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(Bq/cm</w:t>
            </w:r>
            <w:r>
              <w:rPr>
                <w:rFonts w:ascii="Times New Roman" w:hAnsi="Times New Roman" w:cs="Times New Roman"/>
                <w:sz w:val="24"/>
                <w:vertAlign w:val="superscript"/>
              </w:rPr>
              <w:t>2</w:t>
            </w:r>
            <w:r>
              <w:rPr>
                <w:rFonts w:ascii="Times New Roman" w:hAnsi="Times New Roman" w:cs="Times New Roman"/>
                <w:sz w:val="24"/>
              </w:rPr>
              <w:t>)</w:t>
            </w: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1</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2</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3</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4</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5</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6</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7</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exac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8</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6" w:hRule="atLeast"/>
        </w:trPr>
        <w:tc>
          <w:tcPr>
            <w:tcW w:w="469" w:type="dxa"/>
            <w:tcBorders>
              <w:left w:val="nil"/>
            </w:tcBorders>
            <w:vAlign w:val="center"/>
          </w:tcPr>
          <w:p>
            <w:pPr>
              <w:pStyle w:val="34"/>
              <w:spacing w:line="240" w:lineRule="atLeast"/>
              <w:ind w:firstLine="0" w:firstLineChars="0"/>
              <w:jc w:val="center"/>
              <w:rPr>
                <w:rFonts w:ascii="Times New Roman" w:hAnsi="Times New Roman" w:cs="Times New Roman"/>
                <w:sz w:val="24"/>
              </w:rPr>
            </w:pPr>
            <w:r>
              <w:rPr>
                <w:rFonts w:ascii="Times New Roman" w:hAnsi="Times New Roman" w:cs="Times New Roman"/>
                <w:sz w:val="24"/>
              </w:rPr>
              <w:t>9</w:t>
            </w:r>
          </w:p>
        </w:tc>
        <w:tc>
          <w:tcPr>
            <w:tcW w:w="2630" w:type="dxa"/>
            <w:vAlign w:val="center"/>
          </w:tcPr>
          <w:p>
            <w:pPr>
              <w:pStyle w:val="34"/>
              <w:spacing w:line="240" w:lineRule="atLeast"/>
              <w:ind w:firstLine="0" w:firstLineChars="0"/>
              <w:jc w:val="center"/>
              <w:rPr>
                <w:rFonts w:ascii="Times New Roman" w:hAnsi="Times New Roman" w:cs="Times New Roman"/>
              </w:rPr>
            </w:pPr>
          </w:p>
        </w:tc>
        <w:tc>
          <w:tcPr>
            <w:tcW w:w="1891" w:type="dxa"/>
            <w:vAlign w:val="center"/>
          </w:tcPr>
          <w:p>
            <w:pPr>
              <w:pStyle w:val="34"/>
              <w:spacing w:line="240" w:lineRule="atLeast"/>
              <w:ind w:firstLine="0" w:firstLineChars="0"/>
              <w:jc w:val="center"/>
              <w:rPr>
                <w:rFonts w:ascii="Times New Roman" w:hAnsi="Times New Roman" w:cs="Times New Roman"/>
              </w:rPr>
            </w:pPr>
          </w:p>
        </w:tc>
        <w:tc>
          <w:tcPr>
            <w:tcW w:w="1659" w:type="dxa"/>
            <w:vAlign w:val="center"/>
          </w:tcPr>
          <w:p>
            <w:pPr>
              <w:pStyle w:val="34"/>
              <w:spacing w:line="240" w:lineRule="atLeast"/>
              <w:ind w:firstLine="0" w:firstLineChars="0"/>
              <w:jc w:val="center"/>
              <w:rPr>
                <w:rFonts w:ascii="Times New Roman" w:hAnsi="Times New Roman" w:cs="Times New Roman"/>
              </w:rPr>
            </w:pPr>
          </w:p>
        </w:tc>
        <w:tc>
          <w:tcPr>
            <w:tcW w:w="1654" w:type="dxa"/>
            <w:tcBorders>
              <w:right w:val="nil"/>
            </w:tcBorders>
            <w:vAlign w:val="center"/>
          </w:tcPr>
          <w:p>
            <w:pPr>
              <w:pStyle w:val="34"/>
              <w:spacing w:line="240" w:lineRule="atLeast"/>
              <w:ind w:firstLine="0" w:firstLineChars="0"/>
              <w:jc w:val="center"/>
              <w:rPr>
                <w:rFonts w:ascii="Times New Roman" w:hAnsi="Times New Roman" w:cs="Times New Roman"/>
              </w:rPr>
            </w:pPr>
          </w:p>
        </w:tc>
      </w:tr>
    </w:tbl>
    <w:p>
      <w:pPr>
        <w:pStyle w:val="7"/>
        <w:spacing w:before="7" w:line="240" w:lineRule="atLeast"/>
        <w:ind w:firstLine="360"/>
        <w:rPr>
          <w:rFonts w:ascii="Times New Roman" w:hAnsi="Times New Roman" w:cs="Times New Roman"/>
          <w:sz w:val="18"/>
        </w:rPr>
      </w:pPr>
    </w:p>
    <w:p>
      <w:pPr>
        <w:tabs>
          <w:tab w:val="left" w:pos="6372"/>
          <w:tab w:val="left" w:pos="8057"/>
        </w:tabs>
        <w:ind w:firstLine="422"/>
        <w:rPr>
          <w:rFonts w:cs="Times New Roman"/>
          <w:kern w:val="1"/>
        </w:rPr>
      </w:pPr>
      <w:r>
        <w:rPr>
          <w:rFonts w:cs="Times New Roman"/>
          <w:b/>
          <w:sz w:val="21"/>
        </w:rPr>
        <w:t xml:space="preserve">测量人                        校核人                        校核日期              </w:t>
      </w:r>
    </w:p>
    <w:p>
      <w:pPr>
        <w:spacing w:after="240" w:line="360" w:lineRule="auto"/>
        <w:jc w:val="center"/>
        <w:rPr>
          <w:rFonts w:cs="Times New Roman"/>
          <w:szCs w:val="24"/>
        </w:rPr>
      </w:pPr>
    </w:p>
    <w:p>
      <w:pPr>
        <w:pStyle w:val="2"/>
        <w:rPr>
          <w:rFonts w:hint="eastAsia" w:ascii="仿宋_GB2312" w:hAnsi="仿宋_GB2312" w:eastAsia="仿宋_GB2312" w:cs="仿宋_GB2312"/>
        </w:rPr>
      </w:pPr>
      <w:bookmarkStart w:id="95" w:name="_Toc108453169"/>
      <w:r>
        <w:rPr>
          <w:rFonts w:hint="eastAsia" w:ascii="仿宋_GB2312" w:hAnsi="仿宋_GB2312" w:eastAsia="仿宋_GB2312" w:cs="仿宋_GB2312"/>
        </w:rPr>
        <w:t>11附件</w:t>
      </w:r>
      <w:bookmarkEnd w:id="89"/>
      <w:bookmarkEnd w:id="95"/>
    </w:p>
    <w:p>
      <w:pPr>
        <w:pStyle w:val="3"/>
        <w:rPr>
          <w:rFonts w:hint="eastAsia" w:ascii="黑体" w:hAnsi="黑体" w:eastAsia="黑体" w:cs="黑体"/>
          <w:b w:val="0"/>
          <w:bCs w:val="0"/>
          <w:shd w:val="clear" w:color="auto" w:fill="FFFFFF"/>
        </w:rPr>
      </w:pPr>
      <w:bookmarkStart w:id="96" w:name="_Toc108453170"/>
      <w:bookmarkStart w:id="97" w:name="_Toc407803797"/>
      <w:r>
        <w:rPr>
          <w:rFonts w:hint="eastAsia" w:ascii="黑体" w:hAnsi="黑体" w:eastAsia="黑体" w:cs="黑体"/>
          <w:b w:val="0"/>
          <w:bCs w:val="0"/>
          <w:shd w:val="clear" w:color="auto" w:fill="FFFFFF"/>
        </w:rPr>
        <w:t>附件1</w:t>
      </w:r>
    </w:p>
    <w:p>
      <w:pPr>
        <w:pStyle w:val="3"/>
        <w:jc w:val="center"/>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造成污染事故的量化指标</w:t>
      </w:r>
      <w:bookmarkEnd w:id="96"/>
    </w:p>
    <w:p>
      <w:pPr>
        <w:ind w:firstLine="482" w:firstLineChars="200"/>
        <w:rPr>
          <w:rFonts w:cs="Times New Roman"/>
          <w:b/>
          <w:bCs/>
        </w:rPr>
      </w:pPr>
      <w:r>
        <w:rPr>
          <w:rFonts w:cs="Times New Roman"/>
          <w:b/>
          <w:bCs/>
        </w:rPr>
        <w:t>特别重大辐射事故造成污染事故的量化指标参考如下：</w:t>
      </w:r>
    </w:p>
    <w:p>
      <w:pPr>
        <w:ind w:firstLine="480" w:firstLineChars="200"/>
        <w:rPr>
          <w:rFonts w:cs="Times New Roman"/>
        </w:rPr>
      </w:pPr>
      <w:r>
        <w:rPr>
          <w:rFonts w:cs="Times New Roman"/>
        </w:rPr>
        <w:t>（1）事故造成气态放射性物质的释放量大于等于5.0E+15Bq的I-131当量，或者事故造成大于等于3km</w:t>
      </w:r>
      <w:r>
        <w:rPr>
          <w:rFonts w:cs="Times New Roman"/>
          <w:vertAlign w:val="superscript"/>
        </w:rPr>
        <w:t>2</w:t>
      </w:r>
      <w:r>
        <w:rPr>
          <w:rFonts w:cs="Times New Roman"/>
        </w:rPr>
        <w:t>范围的环境剂量率达到或超过0.1mSv/h，或者β/γ沉积水平达到或超过1000Bq/cm</w:t>
      </w:r>
      <w:r>
        <w:rPr>
          <w:rFonts w:cs="Times New Roman"/>
          <w:vertAlign w:val="superscript"/>
        </w:rPr>
        <w:t>2</w:t>
      </w:r>
      <w:r>
        <w:rPr>
          <w:rFonts w:cs="Times New Roman"/>
        </w:rPr>
        <w:t>，或者α沉积活度达到或超过100Bq/cm</w:t>
      </w:r>
      <w:r>
        <w:rPr>
          <w:rFonts w:cs="Times New Roman"/>
          <w:vertAlign w:val="superscript"/>
        </w:rPr>
        <w:t>2</w:t>
      </w:r>
      <w:r>
        <w:rPr>
          <w:rFonts w:cs="Times New Roman"/>
        </w:rPr>
        <w:t>；</w:t>
      </w:r>
    </w:p>
    <w:p>
      <w:pPr>
        <w:ind w:firstLine="480" w:firstLineChars="200"/>
        <w:rPr>
          <w:rFonts w:cs="Times New Roman"/>
        </w:rPr>
      </w:pPr>
      <w:r>
        <w:rPr>
          <w:rFonts w:cs="Times New Roman"/>
        </w:rPr>
        <w:t>（2）事故造成水环境污染时液态放射性物质的释放量大于等于1.0E+13Bq的Sr-90当量；</w:t>
      </w:r>
    </w:p>
    <w:p>
      <w:pPr>
        <w:ind w:firstLine="480" w:firstLineChars="200"/>
        <w:rPr>
          <w:rFonts w:cs="Times New Roman"/>
        </w:rPr>
      </w:pPr>
      <w:r>
        <w:rPr>
          <w:rFonts w:cs="Times New Roman"/>
        </w:rPr>
        <w:t>（3）事故造成地表、土壤污染（未造成地下水污染）时液态放射性物质的释放量大于等于1.0E+14Bq的Sr-90当量。</w:t>
      </w:r>
    </w:p>
    <w:p>
      <w:pPr>
        <w:ind w:firstLine="482" w:firstLineChars="200"/>
        <w:rPr>
          <w:rFonts w:cs="Times New Roman"/>
          <w:b/>
          <w:bCs/>
        </w:rPr>
      </w:pPr>
      <w:r>
        <w:rPr>
          <w:rFonts w:cs="Times New Roman"/>
          <w:b/>
          <w:bCs/>
        </w:rPr>
        <w:t>重大辐射事故造成污染事故的量化指标参考如下：</w:t>
      </w:r>
    </w:p>
    <w:p>
      <w:pPr>
        <w:ind w:firstLine="480" w:firstLineChars="200"/>
        <w:rPr>
          <w:rFonts w:cs="Times New Roman"/>
        </w:rPr>
      </w:pPr>
      <w:r>
        <w:rPr>
          <w:rFonts w:cs="Times New Roman"/>
        </w:rPr>
        <w:t>（1）事故造成气态放射性物质的释放量大于等于5.0E+14Bq，且小于5.0E+15Bq的Ⅰ-131当量，或者事故造成大于等于0.5km</w:t>
      </w:r>
      <w:r>
        <w:rPr>
          <w:rFonts w:cs="Times New Roman"/>
          <w:vertAlign w:val="superscript"/>
        </w:rPr>
        <w:t>2</w:t>
      </w:r>
      <w:r>
        <w:rPr>
          <w:rFonts w:cs="Times New Roman"/>
        </w:rPr>
        <w:t>，且小于3km</w:t>
      </w:r>
      <w:r>
        <w:rPr>
          <w:rFonts w:cs="Times New Roman"/>
          <w:vertAlign w:val="superscript"/>
        </w:rPr>
        <w:t>2</w:t>
      </w:r>
      <w:r>
        <w:rPr>
          <w:rFonts w:cs="Times New Roman"/>
        </w:rPr>
        <w:t>范围的环境剂量率达到或超过0.1mSv/h，或者β/γ沉积水平达到或超过1000Bq/cm</w:t>
      </w:r>
      <w:r>
        <w:rPr>
          <w:rFonts w:cs="Times New Roman"/>
          <w:vertAlign w:val="superscript"/>
        </w:rPr>
        <w:t>2</w:t>
      </w:r>
      <w:r>
        <w:rPr>
          <w:rFonts w:cs="Times New Roman"/>
        </w:rPr>
        <w:t>，或者α沉积活度达到或超过100Bq/cm</w:t>
      </w:r>
      <w:r>
        <w:rPr>
          <w:rFonts w:cs="Times New Roman"/>
          <w:vertAlign w:val="superscript"/>
        </w:rPr>
        <w:t>2</w:t>
      </w:r>
      <w:r>
        <w:rPr>
          <w:rFonts w:cs="Times New Roman"/>
        </w:rPr>
        <w:t>；</w:t>
      </w:r>
    </w:p>
    <w:p>
      <w:pPr>
        <w:ind w:firstLine="480" w:firstLineChars="200"/>
        <w:rPr>
          <w:rFonts w:cs="Times New Roman"/>
        </w:rPr>
      </w:pPr>
      <w:r>
        <w:rPr>
          <w:rFonts w:cs="Times New Roman"/>
        </w:rPr>
        <w:t>（2）事故造成水环境污染时液态放射性物质的释放量大于等于1.0E+12Bq，且小于1.0E+13Bq的Sr-90当量；</w:t>
      </w:r>
    </w:p>
    <w:p>
      <w:pPr>
        <w:ind w:firstLine="480" w:firstLineChars="200"/>
        <w:rPr>
          <w:rFonts w:cs="Times New Roman"/>
        </w:rPr>
      </w:pPr>
      <w:r>
        <w:rPr>
          <w:rFonts w:cs="Times New Roman"/>
        </w:rPr>
        <w:t>（3）事故造成地表、土壤污染(未造成地下水污染)时液态放射性物质的释放量大于等于1.0E+13Bq，且小于1.0E+14Bq的Sr-90当量。</w:t>
      </w:r>
    </w:p>
    <w:p>
      <w:pPr>
        <w:ind w:firstLine="482" w:firstLineChars="200"/>
        <w:rPr>
          <w:rFonts w:cs="Times New Roman"/>
          <w:b/>
          <w:bCs/>
        </w:rPr>
      </w:pPr>
      <w:r>
        <w:rPr>
          <w:rFonts w:cs="Times New Roman"/>
          <w:b/>
          <w:bCs/>
        </w:rPr>
        <w:t>较大辐射事故造成污染事故的量化指标参考如下：</w:t>
      </w:r>
    </w:p>
    <w:p>
      <w:pPr>
        <w:ind w:firstLine="480" w:firstLineChars="200"/>
        <w:rPr>
          <w:rFonts w:cs="Times New Roman"/>
        </w:rPr>
      </w:pPr>
      <w:r>
        <w:rPr>
          <w:rFonts w:cs="Times New Roman"/>
        </w:rPr>
        <w:t>（1）事故造成气态放射性物质的释放量大于等于5.0E+11Bq，且小于5.0E+14Bq的Ⅰ-131当量，或者事故造成大于等于500m</w:t>
      </w:r>
      <w:r>
        <w:rPr>
          <w:rFonts w:cs="Times New Roman"/>
          <w:vertAlign w:val="superscript"/>
        </w:rPr>
        <w:t>2</w:t>
      </w:r>
      <w:r>
        <w:rPr>
          <w:rFonts w:cs="Times New Roman"/>
        </w:rPr>
        <w:t>，且小于0.5km</w:t>
      </w:r>
      <w:r>
        <w:rPr>
          <w:rFonts w:cs="Times New Roman"/>
          <w:vertAlign w:val="superscript"/>
        </w:rPr>
        <w:t>2</w:t>
      </w:r>
      <w:r>
        <w:rPr>
          <w:rFonts w:cs="Times New Roman"/>
        </w:rPr>
        <w:t>范围的环境剂量率达到或超过0.1mSv/h，或者β/γ沉积水平达到或超过1000Bq/cm</w:t>
      </w:r>
      <w:r>
        <w:rPr>
          <w:rFonts w:cs="Times New Roman"/>
          <w:vertAlign w:val="superscript"/>
        </w:rPr>
        <w:t>2</w:t>
      </w:r>
      <w:r>
        <w:rPr>
          <w:rFonts w:cs="Times New Roman"/>
        </w:rPr>
        <w:t>，或者α沉积活度达到或超过100Bq/cm</w:t>
      </w:r>
      <w:r>
        <w:rPr>
          <w:rFonts w:cs="Times New Roman"/>
          <w:vertAlign w:val="superscript"/>
        </w:rPr>
        <w:t>2</w:t>
      </w:r>
      <w:r>
        <w:rPr>
          <w:rFonts w:cs="Times New Roman"/>
        </w:rPr>
        <w:t>；</w:t>
      </w:r>
    </w:p>
    <w:p>
      <w:pPr>
        <w:ind w:firstLine="480" w:firstLineChars="200"/>
        <w:rPr>
          <w:rFonts w:cs="Times New Roman"/>
        </w:rPr>
      </w:pPr>
      <w:r>
        <w:rPr>
          <w:rFonts w:cs="Times New Roman"/>
        </w:rPr>
        <w:t>（2）事故造成水环境污染时液态放射性物质的释放量大于等于1.0E+11Bq，且小于1.0E+12Bq的Sr-90当量；</w:t>
      </w:r>
    </w:p>
    <w:p>
      <w:pPr>
        <w:ind w:firstLine="480" w:firstLineChars="200"/>
        <w:rPr>
          <w:rFonts w:cs="Times New Roman"/>
        </w:rPr>
      </w:pPr>
      <w:r>
        <w:rPr>
          <w:rFonts w:cs="Times New Roman"/>
        </w:rPr>
        <w:t>（3）事故造成地表、土壤污染(未造成地下水污染)时液态放射性物质的释放量大于等于1.0E+12Bq，且小于1.0E+13Bq的Sr-90当量。</w:t>
      </w:r>
    </w:p>
    <w:p>
      <w:pPr>
        <w:ind w:firstLine="482" w:firstLineChars="200"/>
        <w:rPr>
          <w:rFonts w:cs="Times New Roman"/>
          <w:b/>
          <w:bCs/>
        </w:rPr>
      </w:pPr>
      <w:r>
        <w:rPr>
          <w:rFonts w:cs="Times New Roman"/>
          <w:b/>
          <w:bCs/>
        </w:rPr>
        <w:t>一般辐射事故造成污染事故的量化指标参考如下：</w:t>
      </w:r>
    </w:p>
    <w:p>
      <w:pPr>
        <w:ind w:firstLine="480" w:firstLineChars="200"/>
        <w:rPr>
          <w:rFonts w:cs="Times New Roman"/>
        </w:rPr>
      </w:pPr>
      <w:r>
        <w:rPr>
          <w:rFonts w:cs="Times New Roman"/>
        </w:rPr>
        <w:t>（1）事故造成气态放射性物质的释放量大于等于5.0E+11Bq的Ⅰ-131当量，或者事故造成小于500m</w:t>
      </w:r>
      <w:r>
        <w:rPr>
          <w:rFonts w:cs="Times New Roman"/>
          <w:vertAlign w:val="superscript"/>
        </w:rPr>
        <w:t>2</w:t>
      </w:r>
      <w:r>
        <w:rPr>
          <w:rFonts w:cs="Times New Roman"/>
        </w:rPr>
        <w:t>范围的环境剂量率达到或超过0.1mSv/h，或者β/γ沉积水平达到或超过1000Bq/cm</w:t>
      </w:r>
      <w:r>
        <w:rPr>
          <w:rFonts w:cs="Times New Roman"/>
          <w:vertAlign w:val="superscript"/>
        </w:rPr>
        <w:t>2</w:t>
      </w:r>
      <w:r>
        <w:rPr>
          <w:rFonts w:cs="Times New Roman"/>
        </w:rPr>
        <w:t>，或者α沉积活度达到或超过100Bq/cm</w:t>
      </w:r>
      <w:r>
        <w:rPr>
          <w:rFonts w:cs="Times New Roman"/>
          <w:vertAlign w:val="superscript"/>
        </w:rPr>
        <w:t>2</w:t>
      </w:r>
      <w:r>
        <w:rPr>
          <w:rFonts w:cs="Times New Roman"/>
        </w:rPr>
        <w:t>；</w:t>
      </w:r>
    </w:p>
    <w:p>
      <w:pPr>
        <w:ind w:firstLine="480" w:firstLineChars="200"/>
        <w:rPr>
          <w:rFonts w:cs="Times New Roman"/>
        </w:rPr>
      </w:pPr>
      <w:r>
        <w:rPr>
          <w:rFonts w:cs="Times New Roman"/>
        </w:rPr>
        <w:t>（2）事故造成水环境污染时液态放射性物质的释放量小于1.0E+11Bq，且小于1.0E+12Bq的Sr-90当量；</w:t>
      </w:r>
    </w:p>
    <w:p>
      <w:pPr>
        <w:ind w:firstLine="480" w:firstLineChars="200"/>
        <w:rPr>
          <w:rFonts w:cs="Times New Roman"/>
        </w:rPr>
      </w:pPr>
      <w:r>
        <w:rPr>
          <w:rFonts w:cs="Times New Roman"/>
        </w:rPr>
        <w:t>（3）事故造成地表、土壤污染(未造成地下水污染)时液态放射性物质的释放量小于1.0E+12Bq的Sr-90当量。</w:t>
      </w: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p>
      <w:pPr>
        <w:ind w:firstLine="480" w:firstLineChars="200"/>
        <w:rPr>
          <w:rFonts w:cs="Times New Roman"/>
        </w:rPr>
      </w:pPr>
    </w:p>
    <w:bookmarkEnd w:id="97"/>
    <w:p>
      <w:pPr>
        <w:pStyle w:val="3"/>
        <w:rPr>
          <w:rFonts w:hint="eastAsia" w:ascii="黑体" w:hAnsi="黑体" w:eastAsia="黑体" w:cs="黑体"/>
          <w:b w:val="0"/>
          <w:bCs w:val="0"/>
          <w:shd w:val="clear" w:color="auto" w:fill="FFFFFF"/>
        </w:rPr>
      </w:pPr>
      <w:bookmarkStart w:id="98" w:name="_Toc108453171"/>
      <w:bookmarkStart w:id="99" w:name="_Toc407803799"/>
      <w:r>
        <w:rPr>
          <w:rFonts w:hint="eastAsia" w:ascii="黑体" w:hAnsi="黑体" w:eastAsia="黑体" w:cs="黑体"/>
          <w:b w:val="0"/>
          <w:bCs w:val="0"/>
          <w:shd w:val="clear" w:color="auto" w:fill="FFFFFF"/>
        </w:rPr>
        <w:t>附件2</w:t>
      </w:r>
    </w:p>
    <w:p>
      <w:pPr>
        <w:pStyle w:val="3"/>
        <w:jc w:val="center"/>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辐射事故应急分报告提纲</w:t>
      </w:r>
      <w:bookmarkEnd w:id="98"/>
      <w:bookmarkEnd w:id="99"/>
    </w:p>
    <w:p>
      <w:pPr>
        <w:spacing w:line="360" w:lineRule="auto"/>
        <w:jc w:val="left"/>
        <w:rPr>
          <w:rFonts w:cs="Times New Roman"/>
          <w:szCs w:val="24"/>
        </w:rPr>
      </w:pPr>
      <w:r>
        <w:rPr>
          <w:rFonts w:cs="Times New Roman"/>
          <w:szCs w:val="24"/>
        </w:rPr>
        <w:t>一、概述</w:t>
      </w:r>
    </w:p>
    <w:p>
      <w:pPr>
        <w:spacing w:line="360" w:lineRule="auto"/>
        <w:jc w:val="left"/>
        <w:rPr>
          <w:rFonts w:cs="Times New Roman"/>
          <w:szCs w:val="24"/>
        </w:rPr>
      </w:pPr>
      <w:r>
        <w:rPr>
          <w:rFonts w:cs="Times New Roman"/>
          <w:szCs w:val="24"/>
        </w:rPr>
        <w:t>二、工作内容</w:t>
      </w:r>
    </w:p>
    <w:p>
      <w:pPr>
        <w:spacing w:line="360" w:lineRule="auto"/>
        <w:jc w:val="left"/>
        <w:rPr>
          <w:rFonts w:cs="Times New Roman"/>
          <w:szCs w:val="24"/>
        </w:rPr>
      </w:pPr>
      <w:r>
        <w:rPr>
          <w:rFonts w:cs="Times New Roman"/>
          <w:szCs w:val="24"/>
        </w:rPr>
        <w:t>三、监测结果</w:t>
      </w:r>
    </w:p>
    <w:p>
      <w:pPr>
        <w:spacing w:line="360" w:lineRule="auto"/>
        <w:jc w:val="left"/>
        <w:rPr>
          <w:rFonts w:cs="Times New Roman"/>
          <w:szCs w:val="24"/>
        </w:rPr>
      </w:pPr>
      <w:r>
        <w:rPr>
          <w:rFonts w:cs="Times New Roman"/>
          <w:szCs w:val="24"/>
        </w:rPr>
        <w:t>（1）应急监测方案、方法和标准</w:t>
      </w:r>
    </w:p>
    <w:p>
      <w:pPr>
        <w:spacing w:before="120" w:beforeLines="50" w:line="360" w:lineRule="auto"/>
        <w:jc w:val="center"/>
        <w:rPr>
          <w:rFonts w:cs="Times New Roman"/>
          <w:b/>
          <w:bCs/>
          <w:szCs w:val="24"/>
        </w:rPr>
      </w:pPr>
      <w:r>
        <w:rPr>
          <w:rFonts w:cs="Times New Roman"/>
          <w:b/>
          <w:bCs/>
          <w:szCs w:val="24"/>
        </w:rPr>
        <w:t>环境放射性监测方案</w:t>
      </w:r>
    </w:p>
    <w:tbl>
      <w:tblPr>
        <w:tblStyle w:val="16"/>
        <w:tblW w:w="85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08"/>
        <w:gridCol w:w="2060"/>
        <w:gridCol w:w="1200"/>
        <w:gridCol w:w="1905"/>
        <w:gridCol w:w="127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108" w:type="dxa"/>
            <w:vAlign w:val="center"/>
          </w:tcPr>
          <w:p>
            <w:pPr>
              <w:spacing w:line="360" w:lineRule="auto"/>
              <w:jc w:val="center"/>
              <w:rPr>
                <w:rFonts w:cs="Times New Roman"/>
                <w:szCs w:val="24"/>
              </w:rPr>
            </w:pPr>
            <w:r>
              <w:rPr>
                <w:rFonts w:cs="Times New Roman"/>
                <w:szCs w:val="24"/>
              </w:rPr>
              <w:t>介质</w:t>
            </w:r>
          </w:p>
        </w:tc>
        <w:tc>
          <w:tcPr>
            <w:tcW w:w="2060" w:type="dxa"/>
            <w:vAlign w:val="center"/>
          </w:tcPr>
          <w:p>
            <w:pPr>
              <w:pStyle w:val="27"/>
              <w:widowControl w:val="0"/>
              <w:pBdr>
                <w:bottom w:val="none" w:color="auto" w:sz="0" w:space="0"/>
                <w:right w:val="none" w:color="auto" w:sz="0" w:space="0"/>
              </w:pBdr>
              <w:spacing w:before="0" w:beforeAutospacing="0" w:after="0" w:afterAutospacing="0" w:line="360" w:lineRule="auto"/>
              <w:rPr>
                <w:rFonts w:ascii="Times New Roman" w:hAnsi="Times New Roman" w:eastAsia="仿宋" w:cs="Times New Roman"/>
                <w:kern w:val="2"/>
              </w:rPr>
            </w:pPr>
            <w:r>
              <w:rPr>
                <w:rFonts w:ascii="Times New Roman" w:hAnsi="Times New Roman" w:eastAsia="仿宋" w:cs="Times New Roman"/>
                <w:kern w:val="2"/>
              </w:rPr>
              <w:t>位置</w:t>
            </w:r>
          </w:p>
        </w:tc>
        <w:tc>
          <w:tcPr>
            <w:tcW w:w="1200" w:type="dxa"/>
            <w:vAlign w:val="center"/>
          </w:tcPr>
          <w:p>
            <w:pPr>
              <w:pStyle w:val="12"/>
              <w:pBdr>
                <w:bottom w:val="none" w:color="auto" w:sz="0" w:space="0"/>
              </w:pBdr>
              <w:tabs>
                <w:tab w:val="clear" w:pos="4153"/>
                <w:tab w:val="clear" w:pos="8306"/>
              </w:tabs>
              <w:snapToGrid/>
              <w:spacing w:line="360" w:lineRule="auto"/>
              <w:rPr>
                <w:rFonts w:cs="Times New Roman"/>
                <w:sz w:val="24"/>
                <w:szCs w:val="24"/>
              </w:rPr>
            </w:pPr>
            <w:r>
              <w:rPr>
                <w:rFonts w:cs="Times New Roman"/>
                <w:sz w:val="24"/>
                <w:szCs w:val="24"/>
              </w:rPr>
              <w:t>取样频次</w:t>
            </w:r>
          </w:p>
        </w:tc>
        <w:tc>
          <w:tcPr>
            <w:tcW w:w="1905" w:type="dxa"/>
            <w:vAlign w:val="center"/>
          </w:tcPr>
          <w:p>
            <w:pPr>
              <w:pStyle w:val="27"/>
              <w:widowControl w:val="0"/>
              <w:pBdr>
                <w:bottom w:val="none" w:color="auto" w:sz="0" w:space="0"/>
                <w:right w:val="none" w:color="auto" w:sz="0" w:space="0"/>
              </w:pBdr>
              <w:spacing w:before="0" w:beforeAutospacing="0" w:after="0" w:afterAutospacing="0" w:line="360" w:lineRule="auto"/>
              <w:rPr>
                <w:rFonts w:ascii="Times New Roman" w:hAnsi="Times New Roman" w:eastAsia="仿宋" w:cs="Times New Roman"/>
                <w:kern w:val="2"/>
              </w:rPr>
            </w:pPr>
            <w:r>
              <w:rPr>
                <w:rFonts w:ascii="Times New Roman" w:hAnsi="Times New Roman" w:eastAsia="仿宋" w:cs="Times New Roman"/>
                <w:kern w:val="2"/>
              </w:rPr>
              <w:t>分析项目</w:t>
            </w:r>
          </w:p>
        </w:tc>
        <w:tc>
          <w:tcPr>
            <w:tcW w:w="1278" w:type="dxa"/>
            <w:vAlign w:val="center"/>
          </w:tcPr>
          <w:p>
            <w:pPr>
              <w:spacing w:line="360" w:lineRule="auto"/>
              <w:jc w:val="center"/>
              <w:rPr>
                <w:rFonts w:cs="Times New Roman"/>
                <w:szCs w:val="24"/>
              </w:rPr>
            </w:pPr>
            <w:r>
              <w:rPr>
                <w:rFonts w:cs="Times New Roman"/>
                <w:szCs w:val="24"/>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108" w:type="dxa"/>
            <w:vAlign w:val="center"/>
          </w:tcPr>
          <w:p>
            <w:pPr>
              <w:spacing w:line="360" w:lineRule="auto"/>
              <w:jc w:val="center"/>
              <w:rPr>
                <w:rFonts w:cs="Times New Roman"/>
                <w:szCs w:val="24"/>
              </w:rPr>
            </w:pPr>
            <w:r>
              <w:rPr>
                <w:rFonts w:cs="Times New Roman"/>
                <w:szCs w:val="24"/>
              </w:rPr>
              <w:t>γ辐射剂量率</w:t>
            </w:r>
          </w:p>
        </w:tc>
        <w:tc>
          <w:tcPr>
            <w:tcW w:w="2060" w:type="dxa"/>
            <w:vAlign w:val="center"/>
          </w:tcPr>
          <w:p>
            <w:pPr>
              <w:spacing w:line="360" w:lineRule="auto"/>
              <w:jc w:val="center"/>
              <w:rPr>
                <w:rFonts w:cs="Times New Roman"/>
                <w:szCs w:val="24"/>
              </w:rPr>
            </w:pPr>
          </w:p>
        </w:tc>
        <w:tc>
          <w:tcPr>
            <w:tcW w:w="1200" w:type="dxa"/>
            <w:vAlign w:val="center"/>
          </w:tcPr>
          <w:p>
            <w:pPr>
              <w:spacing w:line="360" w:lineRule="auto"/>
              <w:jc w:val="center"/>
              <w:rPr>
                <w:rFonts w:cs="Times New Roman"/>
                <w:szCs w:val="24"/>
              </w:rPr>
            </w:pPr>
          </w:p>
        </w:tc>
        <w:tc>
          <w:tcPr>
            <w:tcW w:w="1905" w:type="dxa"/>
            <w:vAlign w:val="center"/>
          </w:tcPr>
          <w:p>
            <w:pPr>
              <w:spacing w:line="360" w:lineRule="auto"/>
              <w:jc w:val="center"/>
              <w:rPr>
                <w:rFonts w:cs="Times New Roman"/>
                <w:szCs w:val="24"/>
              </w:rPr>
            </w:pPr>
          </w:p>
        </w:tc>
        <w:tc>
          <w:tcPr>
            <w:tcW w:w="1278" w:type="dxa"/>
            <w:vAlign w:val="center"/>
          </w:tcPr>
          <w:p>
            <w:pPr>
              <w:pStyle w:val="27"/>
              <w:widowControl w:val="0"/>
              <w:pBdr>
                <w:bottom w:val="none" w:color="auto" w:sz="0" w:space="0"/>
                <w:right w:val="none" w:color="auto" w:sz="0" w:space="0"/>
              </w:pBdr>
              <w:spacing w:before="0" w:beforeAutospacing="0" w:after="0" w:afterAutospacing="0" w:line="360" w:lineRule="auto"/>
              <w:rPr>
                <w:rFonts w:ascii="Times New Roman" w:hAnsi="Times New Roman" w:eastAsia="仿宋" w:cs="Times New Roman"/>
                <w:kern w:val="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108" w:type="dxa"/>
            <w:vAlign w:val="center"/>
          </w:tcPr>
          <w:p>
            <w:pPr>
              <w:spacing w:line="360" w:lineRule="auto"/>
              <w:jc w:val="center"/>
              <w:rPr>
                <w:rFonts w:cs="Times New Roman"/>
                <w:szCs w:val="24"/>
              </w:rPr>
            </w:pPr>
            <w:r>
              <w:rPr>
                <w:rFonts w:cs="Times New Roman"/>
                <w:szCs w:val="24"/>
              </w:rPr>
              <w:t>α、β表面污染测量</w:t>
            </w:r>
          </w:p>
        </w:tc>
        <w:tc>
          <w:tcPr>
            <w:tcW w:w="2060" w:type="dxa"/>
            <w:vAlign w:val="center"/>
          </w:tcPr>
          <w:p>
            <w:pPr>
              <w:spacing w:line="360" w:lineRule="auto"/>
              <w:jc w:val="center"/>
              <w:rPr>
                <w:rFonts w:cs="Times New Roman"/>
                <w:szCs w:val="24"/>
              </w:rPr>
            </w:pPr>
          </w:p>
        </w:tc>
        <w:tc>
          <w:tcPr>
            <w:tcW w:w="1200" w:type="dxa"/>
            <w:vAlign w:val="center"/>
          </w:tcPr>
          <w:p>
            <w:pPr>
              <w:spacing w:line="360" w:lineRule="auto"/>
              <w:jc w:val="center"/>
              <w:rPr>
                <w:rFonts w:cs="Times New Roman"/>
                <w:szCs w:val="24"/>
              </w:rPr>
            </w:pPr>
          </w:p>
        </w:tc>
        <w:tc>
          <w:tcPr>
            <w:tcW w:w="1905" w:type="dxa"/>
            <w:vAlign w:val="center"/>
          </w:tcPr>
          <w:p>
            <w:pPr>
              <w:spacing w:line="360" w:lineRule="auto"/>
              <w:jc w:val="center"/>
              <w:rPr>
                <w:rFonts w:cs="Times New Roman"/>
                <w:szCs w:val="24"/>
              </w:rPr>
            </w:pPr>
          </w:p>
        </w:tc>
        <w:tc>
          <w:tcPr>
            <w:tcW w:w="1278" w:type="dxa"/>
            <w:vAlign w:val="center"/>
          </w:tcPr>
          <w:p>
            <w:pPr>
              <w:pStyle w:val="27"/>
              <w:widowControl w:val="0"/>
              <w:pBdr>
                <w:bottom w:val="none" w:color="auto" w:sz="0" w:space="0"/>
                <w:right w:val="none" w:color="auto" w:sz="0" w:space="0"/>
              </w:pBdr>
              <w:spacing w:before="0" w:beforeAutospacing="0" w:after="0" w:afterAutospacing="0" w:line="360" w:lineRule="auto"/>
              <w:rPr>
                <w:rFonts w:ascii="Times New Roman" w:hAnsi="Times New Roman" w:eastAsia="仿宋" w:cs="Times New Roman"/>
                <w:kern w:val="2"/>
              </w:rPr>
            </w:pPr>
          </w:p>
        </w:tc>
      </w:tr>
    </w:tbl>
    <w:p>
      <w:pPr>
        <w:spacing w:before="120" w:beforeLines="50" w:line="360" w:lineRule="auto"/>
        <w:jc w:val="center"/>
        <w:rPr>
          <w:rFonts w:cs="Times New Roman"/>
          <w:b/>
          <w:bCs/>
          <w:szCs w:val="24"/>
        </w:rPr>
      </w:pPr>
      <w:r>
        <w:rPr>
          <w:rFonts w:cs="Times New Roman"/>
          <w:b/>
          <w:bCs/>
          <w:szCs w:val="24"/>
        </w:rPr>
        <w:t>测量项目所采用的仪器、监测方法及标准</w:t>
      </w:r>
    </w:p>
    <w:tbl>
      <w:tblPr>
        <w:tblStyle w:val="16"/>
        <w:tblW w:w="8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3287"/>
        <w:gridCol w:w="2340"/>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160" w:type="dxa"/>
            <w:vAlign w:val="center"/>
          </w:tcPr>
          <w:p>
            <w:pPr>
              <w:spacing w:line="360" w:lineRule="auto"/>
              <w:jc w:val="center"/>
              <w:rPr>
                <w:rFonts w:cs="Times New Roman"/>
                <w:szCs w:val="24"/>
              </w:rPr>
            </w:pPr>
            <w:r>
              <w:rPr>
                <w:rFonts w:cs="Times New Roman"/>
                <w:szCs w:val="24"/>
              </w:rPr>
              <w:t>监测项目</w:t>
            </w:r>
          </w:p>
        </w:tc>
        <w:tc>
          <w:tcPr>
            <w:tcW w:w="3287" w:type="dxa"/>
            <w:vAlign w:val="center"/>
          </w:tcPr>
          <w:p>
            <w:pPr>
              <w:spacing w:line="360" w:lineRule="auto"/>
              <w:jc w:val="center"/>
              <w:rPr>
                <w:rFonts w:cs="Times New Roman"/>
                <w:szCs w:val="24"/>
              </w:rPr>
            </w:pPr>
            <w:r>
              <w:rPr>
                <w:rFonts w:cs="Times New Roman"/>
                <w:szCs w:val="24"/>
              </w:rPr>
              <w:t>仪器设备</w:t>
            </w:r>
          </w:p>
        </w:tc>
        <w:tc>
          <w:tcPr>
            <w:tcW w:w="2340" w:type="dxa"/>
            <w:vAlign w:val="center"/>
          </w:tcPr>
          <w:p>
            <w:pPr>
              <w:spacing w:line="360" w:lineRule="auto"/>
              <w:jc w:val="center"/>
              <w:rPr>
                <w:rFonts w:cs="Times New Roman"/>
                <w:szCs w:val="24"/>
              </w:rPr>
            </w:pPr>
            <w:r>
              <w:rPr>
                <w:rFonts w:cs="Times New Roman"/>
                <w:szCs w:val="24"/>
              </w:rPr>
              <w:t>测量分析方法依据</w:t>
            </w:r>
          </w:p>
        </w:tc>
        <w:tc>
          <w:tcPr>
            <w:tcW w:w="808" w:type="dxa"/>
            <w:vAlign w:val="center"/>
          </w:tcPr>
          <w:p>
            <w:pPr>
              <w:spacing w:line="360" w:lineRule="auto"/>
              <w:jc w:val="center"/>
              <w:rPr>
                <w:rFonts w:cs="Times New Roman"/>
                <w:szCs w:val="24"/>
              </w:rPr>
            </w:pPr>
            <w:r>
              <w:rPr>
                <w:rFonts w:cs="Times New Roman"/>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160" w:type="dxa"/>
            <w:vAlign w:val="center"/>
          </w:tcPr>
          <w:p>
            <w:pPr>
              <w:spacing w:line="360" w:lineRule="auto"/>
              <w:ind w:firstLine="482"/>
              <w:jc w:val="center"/>
              <w:rPr>
                <w:rFonts w:cs="Times New Roman"/>
                <w:b/>
                <w:bCs/>
                <w:szCs w:val="24"/>
              </w:rPr>
            </w:pPr>
          </w:p>
        </w:tc>
        <w:tc>
          <w:tcPr>
            <w:tcW w:w="3287" w:type="dxa"/>
            <w:vAlign w:val="center"/>
          </w:tcPr>
          <w:p>
            <w:pPr>
              <w:spacing w:line="360" w:lineRule="auto"/>
              <w:ind w:firstLine="482"/>
              <w:jc w:val="center"/>
              <w:rPr>
                <w:rFonts w:cs="Times New Roman"/>
                <w:b/>
                <w:bCs/>
                <w:szCs w:val="24"/>
              </w:rPr>
            </w:pPr>
          </w:p>
        </w:tc>
        <w:tc>
          <w:tcPr>
            <w:tcW w:w="2340" w:type="dxa"/>
            <w:vAlign w:val="center"/>
          </w:tcPr>
          <w:p>
            <w:pPr>
              <w:spacing w:line="360" w:lineRule="auto"/>
              <w:ind w:firstLine="482"/>
              <w:jc w:val="center"/>
              <w:rPr>
                <w:rFonts w:cs="Times New Roman"/>
                <w:b/>
                <w:bCs/>
                <w:szCs w:val="24"/>
              </w:rPr>
            </w:pPr>
          </w:p>
        </w:tc>
        <w:tc>
          <w:tcPr>
            <w:tcW w:w="808" w:type="dxa"/>
            <w:vAlign w:val="center"/>
          </w:tcPr>
          <w:p>
            <w:pPr>
              <w:spacing w:line="360" w:lineRule="auto"/>
              <w:ind w:firstLine="482"/>
              <w:jc w:val="center"/>
              <w:rPr>
                <w:rFonts w:cs="Times New Roman"/>
                <w:b/>
                <w:b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160" w:type="dxa"/>
            <w:vAlign w:val="center"/>
          </w:tcPr>
          <w:p>
            <w:pPr>
              <w:spacing w:line="360" w:lineRule="auto"/>
              <w:ind w:firstLine="482"/>
              <w:jc w:val="center"/>
              <w:rPr>
                <w:rFonts w:cs="Times New Roman"/>
                <w:b/>
                <w:bCs/>
                <w:szCs w:val="24"/>
              </w:rPr>
            </w:pPr>
          </w:p>
        </w:tc>
        <w:tc>
          <w:tcPr>
            <w:tcW w:w="3287" w:type="dxa"/>
            <w:vAlign w:val="center"/>
          </w:tcPr>
          <w:p>
            <w:pPr>
              <w:spacing w:line="360" w:lineRule="auto"/>
              <w:ind w:firstLine="482"/>
              <w:jc w:val="center"/>
              <w:rPr>
                <w:rFonts w:cs="Times New Roman"/>
                <w:b/>
                <w:bCs/>
                <w:szCs w:val="24"/>
              </w:rPr>
            </w:pPr>
          </w:p>
        </w:tc>
        <w:tc>
          <w:tcPr>
            <w:tcW w:w="2340" w:type="dxa"/>
            <w:vAlign w:val="center"/>
          </w:tcPr>
          <w:p>
            <w:pPr>
              <w:spacing w:line="360" w:lineRule="auto"/>
              <w:ind w:firstLine="482"/>
              <w:jc w:val="center"/>
              <w:rPr>
                <w:rFonts w:cs="Times New Roman"/>
                <w:b/>
                <w:bCs/>
                <w:szCs w:val="24"/>
              </w:rPr>
            </w:pPr>
          </w:p>
        </w:tc>
        <w:tc>
          <w:tcPr>
            <w:tcW w:w="808" w:type="dxa"/>
            <w:vAlign w:val="center"/>
          </w:tcPr>
          <w:p>
            <w:pPr>
              <w:spacing w:line="360" w:lineRule="auto"/>
              <w:ind w:firstLine="482"/>
              <w:jc w:val="center"/>
              <w:rPr>
                <w:rFonts w:cs="Times New Roman"/>
                <w:b/>
                <w:bCs/>
                <w:szCs w:val="24"/>
              </w:rPr>
            </w:pPr>
          </w:p>
        </w:tc>
      </w:tr>
    </w:tbl>
    <w:p>
      <w:pPr>
        <w:spacing w:line="360" w:lineRule="auto"/>
        <w:jc w:val="left"/>
        <w:rPr>
          <w:rFonts w:cs="Times New Roman"/>
          <w:szCs w:val="24"/>
        </w:rPr>
      </w:pPr>
      <w:r>
        <w:rPr>
          <w:rFonts w:cs="Times New Roman"/>
          <w:szCs w:val="24"/>
        </w:rPr>
        <w:t>（2）监测仪器设备的技术指标</w:t>
      </w:r>
    </w:p>
    <w:p>
      <w:pPr>
        <w:spacing w:line="360" w:lineRule="auto"/>
        <w:jc w:val="left"/>
        <w:rPr>
          <w:rFonts w:cs="Times New Roman"/>
          <w:szCs w:val="24"/>
        </w:rPr>
      </w:pPr>
      <w:r>
        <w:rPr>
          <w:rFonts w:cs="Times New Roman"/>
          <w:szCs w:val="24"/>
        </w:rPr>
        <w:t>（3）测量结果</w:t>
      </w:r>
    </w:p>
    <w:p>
      <w:pPr>
        <w:spacing w:line="360" w:lineRule="auto"/>
        <w:jc w:val="center"/>
        <w:rPr>
          <w:rFonts w:cs="Times New Roman"/>
          <w:szCs w:val="24"/>
        </w:rPr>
      </w:pPr>
    </w:p>
    <w:p>
      <w:pPr>
        <w:widowControl/>
        <w:spacing w:line="360" w:lineRule="auto"/>
        <w:rPr>
          <w:rFonts w:cs="Times New Roman"/>
          <w:szCs w:val="24"/>
        </w:rPr>
      </w:pPr>
      <w:r>
        <w:rPr>
          <w:rFonts w:cs="Times New Roman"/>
          <w:szCs w:val="24"/>
        </w:rPr>
        <w:t>四、质量保证</w:t>
      </w:r>
    </w:p>
    <w:p>
      <w:pPr>
        <w:spacing w:line="360" w:lineRule="auto"/>
        <w:rPr>
          <w:rFonts w:cs="Times New Roman"/>
          <w:szCs w:val="24"/>
        </w:rPr>
      </w:pPr>
      <w:r>
        <w:rPr>
          <w:rFonts w:cs="Times New Roman"/>
          <w:szCs w:val="24"/>
        </w:rPr>
        <w:t>1、人员的保证</w:t>
      </w:r>
    </w:p>
    <w:p>
      <w:pPr>
        <w:spacing w:line="360" w:lineRule="auto"/>
        <w:rPr>
          <w:rFonts w:cs="Times New Roman"/>
          <w:szCs w:val="24"/>
        </w:rPr>
      </w:pPr>
      <w:r>
        <w:rPr>
          <w:rFonts w:cs="Times New Roman"/>
          <w:szCs w:val="24"/>
        </w:rPr>
        <w:t>2、监测方法适用性</w:t>
      </w:r>
    </w:p>
    <w:p>
      <w:pPr>
        <w:spacing w:line="360" w:lineRule="auto"/>
        <w:rPr>
          <w:rFonts w:cs="Times New Roman"/>
          <w:szCs w:val="24"/>
        </w:rPr>
      </w:pPr>
      <w:r>
        <w:rPr>
          <w:rFonts w:cs="Times New Roman"/>
          <w:szCs w:val="24"/>
        </w:rPr>
        <w:t>3、仪器设备和标准物质的保证</w:t>
      </w:r>
    </w:p>
    <w:p>
      <w:pPr>
        <w:spacing w:line="360" w:lineRule="auto"/>
        <w:rPr>
          <w:rFonts w:cs="Times New Roman"/>
          <w:szCs w:val="24"/>
        </w:rPr>
      </w:pPr>
    </w:p>
    <w:p>
      <w:pPr>
        <w:spacing w:line="360" w:lineRule="auto"/>
        <w:rPr>
          <w:rFonts w:cs="Times New Roman"/>
          <w:szCs w:val="24"/>
        </w:rPr>
      </w:pPr>
      <w:r>
        <w:rPr>
          <w:rFonts w:cs="Times New Roman"/>
          <w:szCs w:val="24"/>
        </w:rPr>
        <w:t>五、经验反馈</w:t>
      </w:r>
    </w:p>
    <w:p>
      <w:pPr>
        <w:spacing w:line="360" w:lineRule="auto"/>
        <w:rPr>
          <w:rFonts w:cs="Times New Roman"/>
          <w:szCs w:val="24"/>
        </w:rPr>
      </w:pPr>
      <w:r>
        <w:rPr>
          <w:rFonts w:cs="Times New Roman"/>
          <w:szCs w:val="24"/>
        </w:rPr>
        <w:t>1、应急监测技术的经验与建议</w:t>
      </w:r>
    </w:p>
    <w:p>
      <w:pPr>
        <w:spacing w:line="360" w:lineRule="auto"/>
        <w:rPr>
          <w:rFonts w:cs="Times New Roman"/>
          <w:szCs w:val="24"/>
        </w:rPr>
      </w:pPr>
      <w:r>
        <w:rPr>
          <w:rFonts w:cs="Times New Roman"/>
          <w:szCs w:val="24"/>
        </w:rPr>
        <w:t>2、应急监测管理的经验与建议</w:t>
      </w:r>
    </w:p>
    <w:p>
      <w:pPr>
        <w:spacing w:line="360" w:lineRule="auto"/>
        <w:rPr>
          <w:rFonts w:cs="Times New Roman"/>
          <w:szCs w:val="24"/>
        </w:rPr>
      </w:pPr>
      <w:r>
        <w:rPr>
          <w:rFonts w:cs="Times New Roman"/>
          <w:szCs w:val="24"/>
        </w:rPr>
        <w:t>3、监测数据信息公开的经验和建议</w:t>
      </w:r>
    </w:p>
    <w:p>
      <w:pPr>
        <w:spacing w:line="360" w:lineRule="auto"/>
        <w:rPr>
          <w:rFonts w:cs="Times New Roman"/>
          <w:szCs w:val="24"/>
        </w:rPr>
      </w:pPr>
    </w:p>
    <w:p>
      <w:pPr>
        <w:spacing w:before="120" w:beforeLines="50" w:line="360" w:lineRule="auto"/>
        <w:rPr>
          <w:rFonts w:cs="Times New Roman"/>
          <w:szCs w:val="24"/>
          <w:shd w:val="clear" w:color="auto" w:fill="FFFFFF"/>
        </w:rPr>
      </w:pPr>
      <w:bookmarkStart w:id="100" w:name="_Toc407803800"/>
    </w:p>
    <w:bookmarkEnd w:id="100"/>
    <w:p>
      <w:pPr>
        <w:spacing w:line="360" w:lineRule="auto"/>
        <w:ind w:firstLine="482"/>
        <w:rPr>
          <w:rFonts w:cs="Times New Roman"/>
          <w:b/>
          <w:bCs/>
          <w:szCs w:val="24"/>
        </w:rPr>
        <w:sectPr>
          <w:footerReference r:id="rId8" w:type="default"/>
          <w:pgSz w:w="11907" w:h="16840"/>
          <w:pgMar w:top="1440" w:right="1758" w:bottom="1440" w:left="1758" w:header="851" w:footer="992" w:gutter="0"/>
          <w:cols w:space="720" w:num="1"/>
          <w:docGrid w:linePitch="312" w:charSpace="0"/>
        </w:sectPr>
      </w:pPr>
    </w:p>
    <w:p>
      <w:pPr>
        <w:pStyle w:val="3"/>
        <w:rPr>
          <w:rFonts w:hint="eastAsia" w:ascii="黑体" w:hAnsi="黑体" w:eastAsia="黑体" w:cs="黑体"/>
          <w:b w:val="0"/>
          <w:bCs w:val="0"/>
          <w:shd w:val="clear" w:color="auto" w:fill="FFFFFF"/>
        </w:rPr>
      </w:pPr>
      <w:bookmarkStart w:id="101" w:name="_Toc108453172"/>
      <w:bookmarkStart w:id="102" w:name="_Toc407803801"/>
      <w:r>
        <w:rPr>
          <w:rFonts w:hint="eastAsia" w:ascii="黑体" w:hAnsi="黑体" w:eastAsia="黑体" w:cs="黑体"/>
          <w:b w:val="0"/>
          <w:bCs w:val="0"/>
          <w:shd w:val="clear" w:color="auto" w:fill="FFFFFF"/>
        </w:rPr>
        <w:t>附件3</w:t>
      </w:r>
    </w:p>
    <w:p>
      <w:pPr>
        <w:pStyle w:val="3"/>
        <w:keepNext/>
        <w:keepLines/>
        <w:pageBreakBefore w:val="0"/>
        <w:widowControl w:val="0"/>
        <w:kinsoku/>
        <w:wordWrap/>
        <w:overflowPunct/>
        <w:topLinePunct w:val="0"/>
        <w:autoSpaceDE/>
        <w:autoSpaceDN/>
        <w:bidi w:val="0"/>
        <w:adjustRightInd w:val="0"/>
        <w:snapToGrid w:val="0"/>
        <w:spacing w:before="0" w:beforeLines="0" w:line="600" w:lineRule="exact"/>
        <w:jc w:val="center"/>
        <w:textAlignment w:val="auto"/>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应急时应急监测队伍开展现场监测工作应配备的</w:t>
      </w:r>
    </w:p>
    <w:p>
      <w:pPr>
        <w:pStyle w:val="3"/>
        <w:keepNext/>
        <w:keepLines/>
        <w:pageBreakBefore w:val="0"/>
        <w:widowControl w:val="0"/>
        <w:kinsoku/>
        <w:wordWrap/>
        <w:overflowPunct/>
        <w:topLinePunct w:val="0"/>
        <w:autoSpaceDE/>
        <w:autoSpaceDN/>
        <w:bidi w:val="0"/>
        <w:adjustRightInd w:val="0"/>
        <w:snapToGrid w:val="0"/>
        <w:spacing w:before="0" w:beforeLines="0" w:line="600" w:lineRule="exact"/>
        <w:jc w:val="center"/>
        <w:textAlignment w:val="auto"/>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仪器设备工具及技术资料清单</w:t>
      </w:r>
      <w:bookmarkEnd w:id="101"/>
      <w:bookmarkEnd w:id="102"/>
    </w:p>
    <w:tbl>
      <w:tblPr>
        <w:tblStyle w:val="16"/>
        <w:tblW w:w="860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36"/>
        <w:gridCol w:w="3118"/>
        <w:gridCol w:w="1276"/>
        <w:gridCol w:w="337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tcBorders>
              <w:top w:val="single" w:color="auto" w:sz="12" w:space="0"/>
            </w:tcBorders>
            <w:vAlign w:val="center"/>
          </w:tcPr>
          <w:p>
            <w:pPr>
              <w:adjustRightInd w:val="0"/>
              <w:snapToGrid w:val="0"/>
              <w:spacing w:line="360" w:lineRule="auto"/>
              <w:jc w:val="center"/>
              <w:rPr>
                <w:rFonts w:cs="Times New Roman"/>
                <w:szCs w:val="24"/>
              </w:rPr>
            </w:pPr>
            <w:r>
              <w:rPr>
                <w:rFonts w:cs="Times New Roman"/>
                <w:szCs w:val="24"/>
              </w:rPr>
              <w:t>序号</w:t>
            </w:r>
          </w:p>
        </w:tc>
        <w:tc>
          <w:tcPr>
            <w:tcW w:w="3118" w:type="dxa"/>
            <w:tcBorders>
              <w:top w:val="single" w:color="auto" w:sz="12" w:space="0"/>
            </w:tcBorders>
            <w:vAlign w:val="center"/>
          </w:tcPr>
          <w:p>
            <w:pPr>
              <w:adjustRightInd w:val="0"/>
              <w:snapToGrid w:val="0"/>
              <w:spacing w:line="360" w:lineRule="auto"/>
              <w:jc w:val="center"/>
              <w:rPr>
                <w:rFonts w:cs="Times New Roman"/>
                <w:szCs w:val="24"/>
              </w:rPr>
            </w:pPr>
            <w:r>
              <w:rPr>
                <w:rFonts w:cs="Times New Roman"/>
                <w:szCs w:val="24"/>
              </w:rPr>
              <w:t>名 称</w:t>
            </w:r>
          </w:p>
        </w:tc>
        <w:tc>
          <w:tcPr>
            <w:tcW w:w="1276" w:type="dxa"/>
            <w:tcBorders>
              <w:top w:val="single" w:color="auto" w:sz="12" w:space="0"/>
            </w:tcBorders>
            <w:vAlign w:val="center"/>
          </w:tcPr>
          <w:p>
            <w:pPr>
              <w:adjustRightInd w:val="0"/>
              <w:snapToGrid w:val="0"/>
              <w:spacing w:line="360" w:lineRule="auto"/>
              <w:jc w:val="center"/>
              <w:rPr>
                <w:rFonts w:cs="Times New Roman"/>
                <w:szCs w:val="24"/>
              </w:rPr>
            </w:pPr>
            <w:r>
              <w:rPr>
                <w:rFonts w:cs="Times New Roman"/>
                <w:szCs w:val="24"/>
              </w:rPr>
              <w:t>数 量</w:t>
            </w:r>
          </w:p>
        </w:tc>
        <w:tc>
          <w:tcPr>
            <w:tcW w:w="3377" w:type="dxa"/>
            <w:tcBorders>
              <w:top w:val="single" w:color="auto" w:sz="12" w:space="0"/>
            </w:tcBorders>
            <w:vAlign w:val="center"/>
          </w:tcPr>
          <w:p>
            <w:pPr>
              <w:adjustRightInd w:val="0"/>
              <w:snapToGrid w:val="0"/>
              <w:spacing w:line="360" w:lineRule="auto"/>
              <w:jc w:val="center"/>
              <w:rPr>
                <w:rFonts w:cs="Times New Roman"/>
                <w:szCs w:val="24"/>
              </w:rPr>
            </w:pPr>
            <w:r>
              <w:rPr>
                <w:rFonts w:cs="Times New Roman"/>
                <w:szCs w:val="24"/>
              </w:rPr>
              <w:t>技术资料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1</w:t>
            </w:r>
          </w:p>
        </w:tc>
        <w:tc>
          <w:tcPr>
            <w:tcW w:w="3118" w:type="dxa"/>
            <w:vAlign w:val="center"/>
          </w:tcPr>
          <w:p>
            <w:pPr>
              <w:adjustRightInd w:val="0"/>
              <w:snapToGrid w:val="0"/>
              <w:spacing w:line="360" w:lineRule="auto"/>
              <w:jc w:val="center"/>
              <w:rPr>
                <w:rFonts w:cs="Times New Roman"/>
                <w:szCs w:val="24"/>
              </w:rPr>
            </w:pPr>
            <w:r>
              <w:rPr>
                <w:rFonts w:cs="Times New Roman"/>
                <w:szCs w:val="24"/>
              </w:rPr>
              <w:t>γ剂量率仪</w:t>
            </w:r>
          </w:p>
        </w:tc>
        <w:tc>
          <w:tcPr>
            <w:tcW w:w="1276" w:type="dxa"/>
            <w:vAlign w:val="center"/>
          </w:tcPr>
          <w:p>
            <w:pPr>
              <w:adjustRightInd w:val="0"/>
              <w:snapToGrid w:val="0"/>
              <w:spacing w:line="360" w:lineRule="auto"/>
              <w:jc w:val="center"/>
              <w:rPr>
                <w:rFonts w:cs="Times New Roman"/>
                <w:szCs w:val="24"/>
              </w:rPr>
            </w:pPr>
            <w:r>
              <w:rPr>
                <w:rFonts w:cs="Times New Roman"/>
                <w:szCs w:val="24"/>
              </w:rPr>
              <w:t>2台</w:t>
            </w:r>
          </w:p>
        </w:tc>
        <w:tc>
          <w:tcPr>
            <w:tcW w:w="3377" w:type="dxa"/>
            <w:vAlign w:val="center"/>
          </w:tcPr>
          <w:p>
            <w:pPr>
              <w:adjustRightInd w:val="0"/>
              <w:snapToGrid w:val="0"/>
              <w:spacing w:line="360" w:lineRule="auto"/>
              <w:jc w:val="center"/>
              <w:rPr>
                <w:rFonts w:cs="Times New Roman"/>
                <w:szCs w:val="24"/>
              </w:rPr>
            </w:pPr>
            <w:r>
              <w:rPr>
                <w:rFonts w:cs="Times New Roman"/>
                <w:szCs w:val="24"/>
              </w:rPr>
              <w:t>检定证书、作业指导书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2</w:t>
            </w:r>
          </w:p>
        </w:tc>
        <w:tc>
          <w:tcPr>
            <w:tcW w:w="3118" w:type="dxa"/>
            <w:vAlign w:val="center"/>
          </w:tcPr>
          <w:p>
            <w:pPr>
              <w:adjustRightInd w:val="0"/>
              <w:snapToGrid w:val="0"/>
              <w:spacing w:line="360" w:lineRule="auto"/>
              <w:jc w:val="center"/>
              <w:rPr>
                <w:rFonts w:cs="Times New Roman"/>
                <w:szCs w:val="24"/>
              </w:rPr>
            </w:pPr>
            <w:r>
              <w:rPr>
                <w:rFonts w:cs="Times New Roman"/>
                <w:szCs w:val="24"/>
              </w:rPr>
              <w:t>便携式γ能谱仪</w:t>
            </w:r>
          </w:p>
        </w:tc>
        <w:tc>
          <w:tcPr>
            <w:tcW w:w="1276" w:type="dxa"/>
            <w:vAlign w:val="center"/>
          </w:tcPr>
          <w:p>
            <w:pPr>
              <w:adjustRightInd w:val="0"/>
              <w:snapToGrid w:val="0"/>
              <w:spacing w:line="360" w:lineRule="auto"/>
              <w:jc w:val="center"/>
              <w:rPr>
                <w:rFonts w:cs="Times New Roman"/>
                <w:szCs w:val="24"/>
              </w:rPr>
            </w:pPr>
            <w:r>
              <w:rPr>
                <w:rFonts w:cs="Times New Roman"/>
                <w:szCs w:val="24"/>
              </w:rPr>
              <w:t>2台</w:t>
            </w:r>
          </w:p>
        </w:tc>
        <w:tc>
          <w:tcPr>
            <w:tcW w:w="3377" w:type="dxa"/>
            <w:vAlign w:val="center"/>
          </w:tcPr>
          <w:p>
            <w:pPr>
              <w:adjustRightInd w:val="0"/>
              <w:snapToGrid w:val="0"/>
              <w:spacing w:line="360" w:lineRule="auto"/>
              <w:jc w:val="center"/>
              <w:rPr>
                <w:rFonts w:cs="Times New Roman"/>
                <w:szCs w:val="24"/>
              </w:rPr>
            </w:pPr>
            <w:r>
              <w:rPr>
                <w:rFonts w:cs="Times New Roman"/>
                <w:szCs w:val="24"/>
              </w:rPr>
              <w:t>检定证书、作业指导书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3</w:t>
            </w:r>
          </w:p>
        </w:tc>
        <w:tc>
          <w:tcPr>
            <w:tcW w:w="3118" w:type="dxa"/>
            <w:vAlign w:val="center"/>
          </w:tcPr>
          <w:p>
            <w:pPr>
              <w:adjustRightInd w:val="0"/>
              <w:snapToGrid w:val="0"/>
              <w:spacing w:line="360" w:lineRule="auto"/>
              <w:jc w:val="center"/>
              <w:rPr>
                <w:rFonts w:cs="Times New Roman"/>
                <w:szCs w:val="24"/>
              </w:rPr>
            </w:pPr>
            <w:r>
              <w:rPr>
                <w:rFonts w:cs="Times New Roman"/>
                <w:szCs w:val="24"/>
              </w:rPr>
              <w:t>活度计</w:t>
            </w:r>
          </w:p>
        </w:tc>
        <w:tc>
          <w:tcPr>
            <w:tcW w:w="1276" w:type="dxa"/>
            <w:vAlign w:val="center"/>
          </w:tcPr>
          <w:p>
            <w:pPr>
              <w:adjustRightInd w:val="0"/>
              <w:snapToGrid w:val="0"/>
              <w:spacing w:line="360" w:lineRule="auto"/>
              <w:jc w:val="center"/>
              <w:rPr>
                <w:rFonts w:cs="Times New Roman"/>
                <w:szCs w:val="24"/>
              </w:rPr>
            </w:pPr>
            <w:r>
              <w:rPr>
                <w:rFonts w:cs="Times New Roman"/>
                <w:szCs w:val="24"/>
              </w:rPr>
              <w:t>1台</w:t>
            </w:r>
          </w:p>
        </w:tc>
        <w:tc>
          <w:tcPr>
            <w:tcW w:w="3377" w:type="dxa"/>
            <w:vAlign w:val="center"/>
          </w:tcPr>
          <w:p>
            <w:pPr>
              <w:adjustRightInd w:val="0"/>
              <w:snapToGrid w:val="0"/>
              <w:spacing w:line="360" w:lineRule="auto"/>
              <w:jc w:val="center"/>
              <w:rPr>
                <w:rFonts w:cs="Times New Roman"/>
                <w:szCs w:val="24"/>
              </w:rPr>
            </w:pPr>
            <w:r>
              <w:rPr>
                <w:rFonts w:cs="Times New Roman"/>
                <w:szCs w:val="24"/>
              </w:rPr>
              <w:t>检定证书、作业指导书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4</w:t>
            </w:r>
          </w:p>
        </w:tc>
        <w:tc>
          <w:tcPr>
            <w:tcW w:w="3118" w:type="dxa"/>
            <w:vAlign w:val="center"/>
          </w:tcPr>
          <w:p>
            <w:pPr>
              <w:adjustRightInd w:val="0"/>
              <w:snapToGrid w:val="0"/>
              <w:spacing w:line="360" w:lineRule="auto"/>
              <w:jc w:val="center"/>
              <w:rPr>
                <w:rFonts w:cs="Times New Roman"/>
                <w:szCs w:val="24"/>
              </w:rPr>
            </w:pPr>
            <w:r>
              <w:rPr>
                <w:rFonts w:cs="Times New Roman"/>
                <w:szCs w:val="24"/>
              </w:rPr>
              <w:t>α、β表面污染仪</w:t>
            </w:r>
          </w:p>
        </w:tc>
        <w:tc>
          <w:tcPr>
            <w:tcW w:w="1276" w:type="dxa"/>
            <w:vAlign w:val="center"/>
          </w:tcPr>
          <w:p>
            <w:pPr>
              <w:adjustRightInd w:val="0"/>
              <w:snapToGrid w:val="0"/>
              <w:spacing w:line="360" w:lineRule="auto"/>
              <w:jc w:val="center"/>
              <w:rPr>
                <w:rFonts w:cs="Times New Roman"/>
                <w:szCs w:val="24"/>
              </w:rPr>
            </w:pPr>
            <w:r>
              <w:rPr>
                <w:rFonts w:cs="Times New Roman"/>
                <w:szCs w:val="24"/>
              </w:rPr>
              <w:t>2台</w:t>
            </w:r>
          </w:p>
        </w:tc>
        <w:tc>
          <w:tcPr>
            <w:tcW w:w="3377" w:type="dxa"/>
            <w:vAlign w:val="center"/>
          </w:tcPr>
          <w:p>
            <w:pPr>
              <w:adjustRightInd w:val="0"/>
              <w:snapToGrid w:val="0"/>
              <w:spacing w:line="360" w:lineRule="auto"/>
              <w:jc w:val="center"/>
              <w:rPr>
                <w:rFonts w:cs="Times New Roman"/>
                <w:szCs w:val="24"/>
              </w:rPr>
            </w:pPr>
            <w:r>
              <w:rPr>
                <w:rFonts w:cs="Times New Roman"/>
                <w:szCs w:val="24"/>
              </w:rPr>
              <w:t>检定证书、作业指导书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5</w:t>
            </w:r>
          </w:p>
        </w:tc>
        <w:tc>
          <w:tcPr>
            <w:tcW w:w="3118" w:type="dxa"/>
            <w:vAlign w:val="center"/>
          </w:tcPr>
          <w:p>
            <w:pPr>
              <w:adjustRightInd w:val="0"/>
              <w:snapToGrid w:val="0"/>
              <w:spacing w:line="360" w:lineRule="auto"/>
              <w:jc w:val="center"/>
              <w:rPr>
                <w:rFonts w:cs="Times New Roman"/>
                <w:szCs w:val="24"/>
              </w:rPr>
            </w:pPr>
            <w:r>
              <w:rPr>
                <w:rFonts w:cs="Times New Roman"/>
                <w:szCs w:val="24"/>
              </w:rPr>
              <w:t>便携式气象仪表</w:t>
            </w:r>
          </w:p>
        </w:tc>
        <w:tc>
          <w:tcPr>
            <w:tcW w:w="1276" w:type="dxa"/>
            <w:vAlign w:val="center"/>
          </w:tcPr>
          <w:p>
            <w:pPr>
              <w:adjustRightInd w:val="0"/>
              <w:snapToGrid w:val="0"/>
              <w:spacing w:line="360" w:lineRule="auto"/>
              <w:jc w:val="center"/>
              <w:rPr>
                <w:rFonts w:cs="Times New Roman"/>
                <w:szCs w:val="24"/>
              </w:rPr>
            </w:pPr>
            <w:r>
              <w:rPr>
                <w:rFonts w:cs="Times New Roman"/>
                <w:szCs w:val="24"/>
              </w:rPr>
              <w:t>各1</w:t>
            </w:r>
          </w:p>
        </w:tc>
        <w:tc>
          <w:tcPr>
            <w:tcW w:w="3377" w:type="dxa"/>
            <w:vAlign w:val="center"/>
          </w:tcPr>
          <w:p>
            <w:pPr>
              <w:adjustRightInd w:val="0"/>
              <w:snapToGrid w:val="0"/>
              <w:spacing w:line="360" w:lineRule="auto"/>
              <w:jc w:val="center"/>
              <w:rPr>
                <w:rFonts w:cs="Times New Roman"/>
                <w:szCs w:val="24"/>
              </w:rPr>
            </w:pPr>
            <w:r>
              <w:rPr>
                <w:rFonts w:cs="Times New Roman"/>
                <w:szCs w:val="24"/>
              </w:rPr>
              <w:t>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6</w:t>
            </w:r>
          </w:p>
        </w:tc>
        <w:tc>
          <w:tcPr>
            <w:tcW w:w="3118" w:type="dxa"/>
            <w:vAlign w:val="center"/>
          </w:tcPr>
          <w:p>
            <w:pPr>
              <w:adjustRightInd w:val="0"/>
              <w:snapToGrid w:val="0"/>
              <w:spacing w:line="360" w:lineRule="auto"/>
              <w:jc w:val="center"/>
              <w:rPr>
                <w:rFonts w:cs="Times New Roman"/>
                <w:szCs w:val="24"/>
              </w:rPr>
            </w:pPr>
            <w:r>
              <w:rPr>
                <w:rFonts w:cs="Times New Roman"/>
                <w:szCs w:val="24"/>
              </w:rPr>
              <w:t>地图、指南针、GPS</w:t>
            </w:r>
          </w:p>
        </w:tc>
        <w:tc>
          <w:tcPr>
            <w:tcW w:w="1276" w:type="dxa"/>
            <w:vAlign w:val="center"/>
          </w:tcPr>
          <w:p>
            <w:pPr>
              <w:adjustRightInd w:val="0"/>
              <w:snapToGrid w:val="0"/>
              <w:spacing w:line="360" w:lineRule="auto"/>
              <w:jc w:val="center"/>
              <w:rPr>
                <w:rFonts w:cs="Times New Roman"/>
                <w:szCs w:val="24"/>
              </w:rPr>
            </w:pPr>
            <w:r>
              <w:rPr>
                <w:rFonts w:cs="Times New Roman"/>
                <w:szCs w:val="24"/>
              </w:rPr>
              <w:t>各1</w:t>
            </w:r>
          </w:p>
        </w:tc>
        <w:tc>
          <w:tcPr>
            <w:tcW w:w="3377" w:type="dxa"/>
            <w:vAlign w:val="center"/>
          </w:tcPr>
          <w:p>
            <w:pPr>
              <w:adjustRightInd w:val="0"/>
              <w:snapToGrid w:val="0"/>
              <w:spacing w:line="360" w:lineRule="auto"/>
              <w:jc w:val="center"/>
              <w:rPr>
                <w:rFonts w:cs="Times New Roman"/>
                <w:szCs w:val="24"/>
              </w:rPr>
            </w:pPr>
            <w:r>
              <w:rPr>
                <w:rFonts w:cs="Times New Roman"/>
                <w:szCs w:val="24"/>
              </w:rPr>
              <w:t>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7</w:t>
            </w:r>
          </w:p>
        </w:tc>
        <w:tc>
          <w:tcPr>
            <w:tcW w:w="3118" w:type="dxa"/>
            <w:vAlign w:val="center"/>
          </w:tcPr>
          <w:p>
            <w:pPr>
              <w:adjustRightInd w:val="0"/>
              <w:snapToGrid w:val="0"/>
              <w:spacing w:line="360" w:lineRule="auto"/>
              <w:jc w:val="center"/>
              <w:rPr>
                <w:rFonts w:cs="Times New Roman"/>
                <w:szCs w:val="24"/>
              </w:rPr>
            </w:pPr>
            <w:r>
              <w:rPr>
                <w:rFonts w:cs="Times New Roman"/>
                <w:szCs w:val="24"/>
              </w:rPr>
              <w:t>便携式计算机</w:t>
            </w:r>
          </w:p>
        </w:tc>
        <w:tc>
          <w:tcPr>
            <w:tcW w:w="1276" w:type="dxa"/>
            <w:vAlign w:val="center"/>
          </w:tcPr>
          <w:p>
            <w:pPr>
              <w:adjustRightInd w:val="0"/>
              <w:snapToGrid w:val="0"/>
              <w:spacing w:line="360" w:lineRule="auto"/>
              <w:jc w:val="center"/>
              <w:rPr>
                <w:rFonts w:cs="Times New Roman"/>
                <w:szCs w:val="24"/>
              </w:rPr>
            </w:pPr>
            <w:r>
              <w:rPr>
                <w:rFonts w:cs="Times New Roman"/>
                <w:szCs w:val="24"/>
              </w:rPr>
              <w:t>2台</w:t>
            </w:r>
          </w:p>
        </w:tc>
        <w:tc>
          <w:tcPr>
            <w:tcW w:w="3377" w:type="dxa"/>
            <w:vAlign w:val="center"/>
          </w:tcPr>
          <w:p>
            <w:pPr>
              <w:adjustRightInd w:val="0"/>
              <w:snapToGrid w:val="0"/>
              <w:spacing w:line="360" w:lineRule="auto"/>
              <w:jc w:val="center"/>
              <w:rPr>
                <w:rFonts w:cs="Times New Roman"/>
                <w:szCs w:val="24"/>
              </w:rPr>
            </w:pPr>
            <w:r>
              <w:rPr>
                <w:rFonts w:cs="Times New Roman"/>
                <w:szCs w:val="24"/>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8</w:t>
            </w:r>
          </w:p>
        </w:tc>
        <w:tc>
          <w:tcPr>
            <w:tcW w:w="3118" w:type="dxa"/>
            <w:vAlign w:val="center"/>
          </w:tcPr>
          <w:p>
            <w:pPr>
              <w:adjustRightInd w:val="0"/>
              <w:snapToGrid w:val="0"/>
              <w:spacing w:line="360" w:lineRule="auto"/>
              <w:jc w:val="center"/>
              <w:rPr>
                <w:rFonts w:cs="Times New Roman"/>
                <w:szCs w:val="24"/>
              </w:rPr>
            </w:pPr>
            <w:r>
              <w:rPr>
                <w:rFonts w:cs="Times New Roman"/>
                <w:szCs w:val="24"/>
              </w:rPr>
              <w:t>汽油发电机</w:t>
            </w:r>
          </w:p>
        </w:tc>
        <w:tc>
          <w:tcPr>
            <w:tcW w:w="1276" w:type="dxa"/>
            <w:vAlign w:val="center"/>
          </w:tcPr>
          <w:p>
            <w:pPr>
              <w:adjustRightInd w:val="0"/>
              <w:snapToGrid w:val="0"/>
              <w:spacing w:line="360" w:lineRule="auto"/>
              <w:jc w:val="center"/>
              <w:rPr>
                <w:rFonts w:cs="Times New Roman"/>
                <w:szCs w:val="24"/>
              </w:rPr>
            </w:pPr>
            <w:r>
              <w:rPr>
                <w:rFonts w:cs="Times New Roman"/>
                <w:szCs w:val="24"/>
              </w:rPr>
              <w:t>2台</w:t>
            </w:r>
          </w:p>
        </w:tc>
        <w:tc>
          <w:tcPr>
            <w:tcW w:w="3377" w:type="dxa"/>
            <w:vAlign w:val="center"/>
          </w:tcPr>
          <w:p>
            <w:pPr>
              <w:adjustRightInd w:val="0"/>
              <w:snapToGrid w:val="0"/>
              <w:spacing w:line="360" w:lineRule="auto"/>
              <w:jc w:val="center"/>
              <w:rPr>
                <w:rFonts w:cs="Times New Roman"/>
                <w:szCs w:val="24"/>
              </w:rPr>
            </w:pPr>
            <w:r>
              <w:rPr>
                <w:rFonts w:cs="Times New Roman"/>
                <w:szCs w:val="24"/>
              </w:rPr>
              <w:t>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9</w:t>
            </w:r>
          </w:p>
        </w:tc>
        <w:tc>
          <w:tcPr>
            <w:tcW w:w="3118" w:type="dxa"/>
            <w:vAlign w:val="center"/>
          </w:tcPr>
          <w:p>
            <w:pPr>
              <w:adjustRightInd w:val="0"/>
              <w:snapToGrid w:val="0"/>
              <w:spacing w:line="360" w:lineRule="auto"/>
              <w:jc w:val="center"/>
              <w:rPr>
                <w:rFonts w:cs="Times New Roman"/>
                <w:szCs w:val="24"/>
              </w:rPr>
            </w:pPr>
            <w:r>
              <w:rPr>
                <w:rFonts w:cs="Times New Roman"/>
                <w:szCs w:val="24"/>
              </w:rPr>
              <w:t>仪器用放射源</w:t>
            </w:r>
          </w:p>
        </w:tc>
        <w:tc>
          <w:tcPr>
            <w:tcW w:w="1276" w:type="dxa"/>
            <w:vAlign w:val="center"/>
          </w:tcPr>
          <w:p>
            <w:pPr>
              <w:adjustRightInd w:val="0"/>
              <w:snapToGrid w:val="0"/>
              <w:spacing w:line="360" w:lineRule="auto"/>
              <w:jc w:val="center"/>
              <w:rPr>
                <w:rFonts w:cs="Times New Roman"/>
                <w:szCs w:val="24"/>
              </w:rPr>
            </w:pPr>
            <w:r>
              <w:rPr>
                <w:rFonts w:cs="Times New Roman"/>
                <w:szCs w:val="24"/>
              </w:rPr>
              <w:t>---</w:t>
            </w:r>
          </w:p>
        </w:tc>
        <w:tc>
          <w:tcPr>
            <w:tcW w:w="3377" w:type="dxa"/>
            <w:vAlign w:val="center"/>
          </w:tcPr>
          <w:p>
            <w:pPr>
              <w:adjustRightInd w:val="0"/>
              <w:snapToGrid w:val="0"/>
              <w:spacing w:line="360" w:lineRule="auto"/>
              <w:jc w:val="center"/>
              <w:rPr>
                <w:rFonts w:cs="Times New Roman"/>
                <w:szCs w:val="24"/>
              </w:rPr>
            </w:pPr>
            <w:r>
              <w:rPr>
                <w:rFonts w:cs="Times New Roman"/>
                <w:szCs w:val="24"/>
              </w:rPr>
              <w:t>作业指导书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10</w:t>
            </w:r>
          </w:p>
        </w:tc>
        <w:tc>
          <w:tcPr>
            <w:tcW w:w="3118" w:type="dxa"/>
            <w:vAlign w:val="center"/>
          </w:tcPr>
          <w:p>
            <w:pPr>
              <w:adjustRightInd w:val="0"/>
              <w:snapToGrid w:val="0"/>
              <w:spacing w:line="360" w:lineRule="auto"/>
              <w:jc w:val="center"/>
              <w:rPr>
                <w:rFonts w:cs="Times New Roman"/>
                <w:szCs w:val="24"/>
              </w:rPr>
            </w:pPr>
            <w:r>
              <w:rPr>
                <w:rFonts w:cs="Times New Roman"/>
                <w:szCs w:val="24"/>
              </w:rPr>
              <w:t>通讯工具及应急联系电话</w:t>
            </w:r>
          </w:p>
        </w:tc>
        <w:tc>
          <w:tcPr>
            <w:tcW w:w="1276" w:type="dxa"/>
            <w:vAlign w:val="center"/>
          </w:tcPr>
          <w:p>
            <w:pPr>
              <w:adjustRightInd w:val="0"/>
              <w:snapToGrid w:val="0"/>
              <w:spacing w:line="360" w:lineRule="auto"/>
              <w:jc w:val="center"/>
              <w:rPr>
                <w:rFonts w:cs="Times New Roman"/>
                <w:szCs w:val="24"/>
              </w:rPr>
            </w:pPr>
            <w:r>
              <w:rPr>
                <w:rFonts w:cs="Times New Roman"/>
                <w:szCs w:val="24"/>
              </w:rPr>
              <w:t>---</w:t>
            </w:r>
          </w:p>
        </w:tc>
        <w:tc>
          <w:tcPr>
            <w:tcW w:w="3377" w:type="dxa"/>
            <w:vAlign w:val="center"/>
          </w:tcPr>
          <w:p>
            <w:pPr>
              <w:adjustRightInd w:val="0"/>
              <w:snapToGrid w:val="0"/>
              <w:spacing w:line="360" w:lineRule="auto"/>
              <w:jc w:val="center"/>
              <w:rPr>
                <w:rFonts w:cs="Times New Roman"/>
                <w:szCs w:val="24"/>
              </w:rPr>
            </w:pPr>
            <w:r>
              <w:rPr>
                <w:rFonts w:cs="Times New Roman"/>
                <w:szCs w:val="24"/>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11</w:t>
            </w:r>
          </w:p>
        </w:tc>
        <w:tc>
          <w:tcPr>
            <w:tcW w:w="3118" w:type="dxa"/>
            <w:vAlign w:val="center"/>
          </w:tcPr>
          <w:p>
            <w:pPr>
              <w:adjustRightInd w:val="0"/>
              <w:snapToGrid w:val="0"/>
              <w:spacing w:line="360" w:lineRule="auto"/>
              <w:jc w:val="center"/>
              <w:rPr>
                <w:rFonts w:cs="Times New Roman"/>
                <w:szCs w:val="24"/>
              </w:rPr>
            </w:pPr>
            <w:r>
              <w:rPr>
                <w:rFonts w:cs="Times New Roman"/>
                <w:szCs w:val="24"/>
              </w:rPr>
              <w:t>环境介质采样工具和容器</w:t>
            </w:r>
          </w:p>
        </w:tc>
        <w:tc>
          <w:tcPr>
            <w:tcW w:w="1276" w:type="dxa"/>
            <w:vAlign w:val="center"/>
          </w:tcPr>
          <w:p>
            <w:pPr>
              <w:adjustRightInd w:val="0"/>
              <w:snapToGrid w:val="0"/>
              <w:spacing w:line="360" w:lineRule="auto"/>
              <w:jc w:val="center"/>
              <w:rPr>
                <w:rFonts w:cs="Times New Roman"/>
                <w:szCs w:val="24"/>
              </w:rPr>
            </w:pPr>
            <w:r>
              <w:rPr>
                <w:rFonts w:cs="Times New Roman"/>
                <w:szCs w:val="24"/>
              </w:rPr>
              <w:t>若干</w:t>
            </w:r>
          </w:p>
        </w:tc>
        <w:tc>
          <w:tcPr>
            <w:tcW w:w="3377" w:type="dxa"/>
            <w:vAlign w:val="center"/>
          </w:tcPr>
          <w:p>
            <w:pPr>
              <w:adjustRightInd w:val="0"/>
              <w:snapToGrid w:val="0"/>
              <w:spacing w:line="360" w:lineRule="auto"/>
              <w:jc w:val="center"/>
              <w:rPr>
                <w:rFonts w:cs="Times New Roman"/>
                <w:szCs w:val="24"/>
              </w:rPr>
            </w:pPr>
            <w:r>
              <w:rPr>
                <w:rFonts w:cs="Times New Roman"/>
                <w:szCs w:val="24"/>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vAlign w:val="center"/>
          </w:tcPr>
          <w:p>
            <w:pPr>
              <w:adjustRightInd w:val="0"/>
              <w:snapToGrid w:val="0"/>
              <w:spacing w:line="360" w:lineRule="auto"/>
              <w:jc w:val="center"/>
              <w:rPr>
                <w:rFonts w:cs="Times New Roman"/>
                <w:szCs w:val="24"/>
              </w:rPr>
            </w:pPr>
            <w:r>
              <w:rPr>
                <w:rFonts w:cs="Times New Roman"/>
                <w:szCs w:val="24"/>
              </w:rPr>
              <w:t>12</w:t>
            </w:r>
          </w:p>
        </w:tc>
        <w:tc>
          <w:tcPr>
            <w:tcW w:w="3118" w:type="dxa"/>
            <w:vAlign w:val="center"/>
          </w:tcPr>
          <w:p>
            <w:pPr>
              <w:adjustRightInd w:val="0"/>
              <w:snapToGrid w:val="0"/>
              <w:spacing w:line="360" w:lineRule="auto"/>
              <w:jc w:val="center"/>
              <w:rPr>
                <w:rFonts w:cs="Times New Roman"/>
                <w:szCs w:val="24"/>
              </w:rPr>
            </w:pPr>
            <w:r>
              <w:rPr>
                <w:rFonts w:cs="Times New Roman"/>
                <w:szCs w:val="24"/>
              </w:rPr>
              <w:t>辐射防护用品</w:t>
            </w:r>
          </w:p>
        </w:tc>
        <w:tc>
          <w:tcPr>
            <w:tcW w:w="4653" w:type="dxa"/>
            <w:gridSpan w:val="2"/>
            <w:vAlign w:val="center"/>
          </w:tcPr>
          <w:p>
            <w:pPr>
              <w:adjustRightInd w:val="0"/>
              <w:snapToGrid w:val="0"/>
              <w:spacing w:line="360" w:lineRule="auto"/>
              <w:jc w:val="left"/>
              <w:rPr>
                <w:rFonts w:cs="Times New Roman"/>
                <w:szCs w:val="24"/>
              </w:rPr>
            </w:pPr>
            <w:r>
              <w:rPr>
                <w:rFonts w:cs="Times New Roman"/>
                <w:szCs w:val="24"/>
              </w:rPr>
              <w:t>包括个人剂量报警仪、工作服、防护面罩、手套等</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jc w:val="center"/>
        </w:trPr>
        <w:tc>
          <w:tcPr>
            <w:tcW w:w="836" w:type="dxa"/>
            <w:tcBorders>
              <w:bottom w:val="single" w:color="auto" w:sz="12" w:space="0"/>
            </w:tcBorders>
            <w:vAlign w:val="center"/>
          </w:tcPr>
          <w:p>
            <w:pPr>
              <w:adjustRightInd w:val="0"/>
              <w:snapToGrid w:val="0"/>
              <w:spacing w:line="360" w:lineRule="auto"/>
              <w:jc w:val="center"/>
              <w:rPr>
                <w:rFonts w:cs="Times New Roman"/>
                <w:szCs w:val="24"/>
              </w:rPr>
            </w:pPr>
            <w:r>
              <w:rPr>
                <w:rFonts w:cs="Times New Roman"/>
                <w:szCs w:val="24"/>
              </w:rPr>
              <w:t>13</w:t>
            </w:r>
          </w:p>
        </w:tc>
        <w:tc>
          <w:tcPr>
            <w:tcW w:w="3118" w:type="dxa"/>
            <w:tcBorders>
              <w:bottom w:val="single" w:color="auto" w:sz="12" w:space="0"/>
            </w:tcBorders>
            <w:vAlign w:val="center"/>
          </w:tcPr>
          <w:p>
            <w:pPr>
              <w:adjustRightInd w:val="0"/>
              <w:snapToGrid w:val="0"/>
              <w:spacing w:line="360" w:lineRule="auto"/>
              <w:jc w:val="center"/>
              <w:rPr>
                <w:rFonts w:cs="Times New Roman"/>
                <w:szCs w:val="24"/>
              </w:rPr>
            </w:pPr>
            <w:r>
              <w:rPr>
                <w:rFonts w:cs="Times New Roman"/>
                <w:szCs w:val="24"/>
              </w:rPr>
              <w:t>应急工具</w:t>
            </w:r>
          </w:p>
        </w:tc>
        <w:tc>
          <w:tcPr>
            <w:tcW w:w="4653" w:type="dxa"/>
            <w:gridSpan w:val="2"/>
            <w:tcBorders>
              <w:bottom w:val="single" w:color="auto" w:sz="12" w:space="0"/>
            </w:tcBorders>
            <w:vAlign w:val="center"/>
          </w:tcPr>
          <w:p>
            <w:pPr>
              <w:adjustRightInd w:val="0"/>
              <w:snapToGrid w:val="0"/>
              <w:spacing w:line="360" w:lineRule="auto"/>
              <w:jc w:val="left"/>
              <w:rPr>
                <w:rFonts w:cs="Times New Roman"/>
                <w:szCs w:val="24"/>
              </w:rPr>
            </w:pPr>
            <w:r>
              <w:rPr>
                <w:rFonts w:cs="Times New Roman"/>
                <w:szCs w:val="24"/>
              </w:rPr>
              <w:t>包括仪器修理工具、接线板、电线、药箱、照明工具</w:t>
            </w:r>
          </w:p>
        </w:tc>
      </w:tr>
    </w:tbl>
    <w:p>
      <w:pPr>
        <w:spacing w:line="360" w:lineRule="auto"/>
        <w:ind w:firstLine="482"/>
        <w:rPr>
          <w:rFonts w:cs="Times New Roman"/>
          <w:b/>
          <w:bCs/>
          <w:szCs w:val="24"/>
        </w:rPr>
      </w:pPr>
      <w:r>
        <w:rPr>
          <w:rFonts w:cs="Times New Roman"/>
          <w:b/>
          <w:bCs/>
          <w:szCs w:val="24"/>
        </w:rPr>
        <w:t>* 应急监测队伍由永州市生态环境局内设机构及生态环境局指定的有资质与能力完成监测工作的外协单位组成</w:t>
      </w:r>
    </w:p>
    <w:p>
      <w:pPr>
        <w:pStyle w:val="3"/>
        <w:rPr>
          <w:rFonts w:hint="eastAsia" w:ascii="黑体" w:hAnsi="黑体" w:eastAsia="黑体" w:cs="黑体"/>
          <w:b w:val="0"/>
          <w:bCs w:val="0"/>
          <w:shd w:val="clear" w:color="auto" w:fill="FFFFFF"/>
        </w:rPr>
      </w:pPr>
      <w:r>
        <w:br w:type="page"/>
      </w:r>
      <w:bookmarkStart w:id="103" w:name="_Toc108453173"/>
      <w:bookmarkStart w:id="104" w:name="_Toc407803802"/>
      <w:r>
        <w:rPr>
          <w:rFonts w:hint="eastAsia" w:ascii="黑体" w:hAnsi="黑体" w:eastAsia="黑体" w:cs="黑体"/>
          <w:b w:val="0"/>
          <w:bCs w:val="0"/>
          <w:shd w:val="clear" w:color="auto" w:fill="FFFFFF"/>
        </w:rPr>
        <w:t>附件4</w:t>
      </w:r>
    </w:p>
    <w:p>
      <w:pPr>
        <w:pStyle w:val="3"/>
        <w:jc w:val="center"/>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应急监测时后勤保障物品清单</w:t>
      </w:r>
      <w:bookmarkEnd w:id="103"/>
      <w:bookmarkEnd w:id="104"/>
    </w:p>
    <w:p/>
    <w:p>
      <w:pPr>
        <w:numPr>
          <w:ilvl w:val="2"/>
          <w:numId w:val="2"/>
        </w:numPr>
        <w:spacing w:line="360" w:lineRule="auto"/>
        <w:ind w:left="1134" w:firstLine="0"/>
        <w:rPr>
          <w:rFonts w:cs="Times New Roman"/>
          <w:szCs w:val="24"/>
        </w:rPr>
      </w:pPr>
      <w:r>
        <w:rPr>
          <w:rFonts w:cs="Times New Roman"/>
          <w:szCs w:val="24"/>
        </w:rPr>
        <w:t>任务指令</w:t>
      </w:r>
    </w:p>
    <w:p>
      <w:pPr>
        <w:numPr>
          <w:ilvl w:val="2"/>
          <w:numId w:val="2"/>
        </w:numPr>
        <w:spacing w:line="360" w:lineRule="auto"/>
        <w:ind w:left="1134" w:firstLine="0"/>
        <w:rPr>
          <w:rFonts w:cs="Times New Roman"/>
          <w:szCs w:val="24"/>
        </w:rPr>
      </w:pPr>
      <w:r>
        <w:rPr>
          <w:rFonts w:cs="Times New Roman"/>
          <w:szCs w:val="24"/>
        </w:rPr>
        <w:t>身份证明文件（市生态环境局或有关部门的介绍信）</w:t>
      </w:r>
    </w:p>
    <w:p>
      <w:pPr>
        <w:numPr>
          <w:ilvl w:val="2"/>
          <w:numId w:val="2"/>
        </w:numPr>
        <w:spacing w:line="360" w:lineRule="auto"/>
        <w:ind w:left="1134" w:firstLine="0"/>
        <w:rPr>
          <w:rFonts w:cs="Times New Roman"/>
          <w:szCs w:val="24"/>
        </w:rPr>
      </w:pPr>
      <w:r>
        <w:rPr>
          <w:rFonts w:cs="Times New Roman"/>
          <w:szCs w:val="24"/>
        </w:rPr>
        <w:t>车辆（配备驾驶员）</w:t>
      </w:r>
    </w:p>
    <w:p>
      <w:pPr>
        <w:numPr>
          <w:ilvl w:val="2"/>
          <w:numId w:val="2"/>
        </w:numPr>
        <w:spacing w:line="360" w:lineRule="auto"/>
        <w:ind w:left="1134" w:firstLine="0"/>
        <w:rPr>
          <w:rFonts w:cs="Times New Roman"/>
          <w:szCs w:val="24"/>
        </w:rPr>
      </w:pPr>
      <w:r>
        <w:rPr>
          <w:rFonts w:cs="Times New Roman"/>
          <w:szCs w:val="24"/>
        </w:rPr>
        <w:t>食品及饮水</w:t>
      </w:r>
    </w:p>
    <w:p>
      <w:pPr>
        <w:numPr>
          <w:ilvl w:val="2"/>
          <w:numId w:val="2"/>
        </w:numPr>
        <w:spacing w:line="360" w:lineRule="auto"/>
        <w:ind w:left="1134" w:firstLine="0"/>
        <w:rPr>
          <w:rFonts w:cs="Times New Roman"/>
          <w:szCs w:val="24"/>
        </w:rPr>
      </w:pPr>
      <w:r>
        <w:rPr>
          <w:rFonts w:cs="Times New Roman"/>
          <w:szCs w:val="24"/>
        </w:rPr>
        <w:t>御寒衣服（冬天或寒冷地区用）</w:t>
      </w:r>
    </w:p>
    <w:p>
      <w:pPr>
        <w:numPr>
          <w:ilvl w:val="2"/>
          <w:numId w:val="2"/>
        </w:numPr>
        <w:spacing w:line="360" w:lineRule="auto"/>
        <w:ind w:left="1134" w:firstLine="0"/>
        <w:rPr>
          <w:rFonts w:cs="Times New Roman"/>
          <w:szCs w:val="24"/>
        </w:rPr>
      </w:pPr>
      <w:r>
        <w:rPr>
          <w:rFonts w:cs="Times New Roman"/>
          <w:szCs w:val="24"/>
        </w:rPr>
        <w:t>雨具</w:t>
      </w:r>
    </w:p>
    <w:p>
      <w:pPr>
        <w:numPr>
          <w:ilvl w:val="2"/>
          <w:numId w:val="2"/>
        </w:numPr>
        <w:spacing w:line="360" w:lineRule="auto"/>
        <w:ind w:left="1134" w:firstLine="0"/>
        <w:rPr>
          <w:rFonts w:cs="Times New Roman"/>
          <w:szCs w:val="24"/>
        </w:rPr>
      </w:pPr>
      <w:r>
        <w:rPr>
          <w:rFonts w:cs="Times New Roman"/>
          <w:szCs w:val="24"/>
        </w:rPr>
        <w:t>汽车及发电机用燃料、机油及防冻液</w:t>
      </w:r>
    </w:p>
    <w:p>
      <w:pPr>
        <w:numPr>
          <w:ilvl w:val="2"/>
          <w:numId w:val="2"/>
        </w:numPr>
        <w:spacing w:line="360" w:lineRule="auto"/>
        <w:ind w:left="1134" w:firstLine="0"/>
        <w:rPr>
          <w:rFonts w:cs="Times New Roman"/>
          <w:szCs w:val="24"/>
        </w:rPr>
      </w:pPr>
      <w:r>
        <w:rPr>
          <w:rFonts w:cs="Times New Roman"/>
          <w:szCs w:val="24"/>
        </w:rPr>
        <w:t>监测仪器、采样设备及通讯工具</w:t>
      </w: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spacing w:before="120" w:beforeLines="50" w:after="120" w:afterLines="50" w:line="360" w:lineRule="auto"/>
        <w:ind w:firstLine="482"/>
        <w:jc w:val="center"/>
        <w:rPr>
          <w:rFonts w:cs="Times New Roman"/>
          <w:b/>
          <w:bCs/>
          <w:szCs w:val="24"/>
        </w:rPr>
      </w:pPr>
    </w:p>
    <w:p>
      <w:pPr>
        <w:widowControl/>
        <w:spacing w:line="360" w:lineRule="auto"/>
        <w:ind w:firstLine="482"/>
        <w:jc w:val="left"/>
        <w:rPr>
          <w:rFonts w:cs="Times New Roman"/>
          <w:b/>
          <w:bCs/>
          <w:szCs w:val="24"/>
        </w:rPr>
      </w:pPr>
    </w:p>
    <w:p>
      <w:pPr>
        <w:widowControl/>
        <w:spacing w:line="240" w:lineRule="auto"/>
        <w:jc w:val="left"/>
        <w:rPr>
          <w:rFonts w:cs="Times New Roman"/>
          <w:b/>
          <w:bCs/>
          <w:szCs w:val="24"/>
        </w:rPr>
      </w:pPr>
      <w:r>
        <w:rPr>
          <w:rFonts w:cs="Times New Roman"/>
          <w:b/>
          <w:bCs/>
          <w:szCs w:val="24"/>
        </w:rPr>
        <w:br w:type="page"/>
      </w:r>
    </w:p>
    <w:p>
      <w:pPr>
        <w:pStyle w:val="3"/>
        <w:rPr>
          <w:rFonts w:hint="eastAsia" w:ascii="黑体" w:hAnsi="黑体" w:eastAsia="黑体" w:cs="黑体"/>
          <w:b w:val="0"/>
          <w:bCs w:val="0"/>
          <w:shd w:val="clear" w:color="auto" w:fill="FFFFFF"/>
        </w:rPr>
      </w:pPr>
      <w:bookmarkStart w:id="105" w:name="_Toc108453174"/>
      <w:bookmarkStart w:id="106" w:name="_Toc407803804"/>
      <w:r>
        <w:rPr>
          <w:rFonts w:hint="eastAsia" w:ascii="黑体" w:hAnsi="黑体" w:eastAsia="黑体" w:cs="黑体"/>
          <w:b w:val="0"/>
          <w:bCs w:val="0"/>
          <w:shd w:val="clear" w:color="auto" w:fill="FFFFFF"/>
        </w:rPr>
        <w:t>附件5</w:t>
      </w:r>
    </w:p>
    <w:p>
      <w:pPr>
        <w:pStyle w:val="3"/>
        <w:jc w:val="center"/>
        <w:rPr>
          <w:rFonts w:hint="eastAsia" w:ascii="方正小标宋简体" w:hAnsi="方正小标宋简体" w:eastAsia="方正小标宋简体" w:cs="方正小标宋简体"/>
          <w:b w:val="0"/>
          <w:bCs w:val="0"/>
          <w:sz w:val="36"/>
          <w:szCs w:val="36"/>
          <w:shd w:val="clear" w:color="auto" w:fill="FFFFFF"/>
        </w:rPr>
      </w:pPr>
      <w:r>
        <w:rPr>
          <w:rFonts w:hint="eastAsia" w:ascii="方正小标宋简体" w:hAnsi="方正小标宋简体" w:eastAsia="方正小标宋简体" w:cs="方正小标宋简体"/>
          <w:b w:val="0"/>
          <w:bCs w:val="0"/>
          <w:sz w:val="36"/>
          <w:szCs w:val="36"/>
          <w:shd w:val="clear" w:color="auto" w:fill="FFFFFF"/>
        </w:rPr>
        <w:t>辐射事故信息公开文稿模版</w:t>
      </w:r>
      <w:bookmarkEnd w:id="105"/>
      <w:bookmarkEnd w:id="106"/>
    </w:p>
    <w:p>
      <w:pPr>
        <w:snapToGrid w:val="0"/>
        <w:spacing w:before="240" w:beforeLines="100" w:after="120" w:afterLines="50" w:line="360" w:lineRule="auto"/>
        <w:ind w:firstLine="482"/>
        <w:jc w:val="center"/>
        <w:rPr>
          <w:rFonts w:cs="Times New Roman"/>
          <w:b/>
          <w:bCs/>
          <w:szCs w:val="24"/>
        </w:rPr>
      </w:pPr>
      <w:r>
        <w:rPr>
          <w:rFonts w:cs="Times New Roman"/>
          <w:b/>
          <w:bCs/>
          <w:szCs w:val="24"/>
          <w:u w:val="single"/>
        </w:rPr>
        <w:t xml:space="preserve">      </w:t>
      </w:r>
      <w:r>
        <w:rPr>
          <w:rFonts w:cs="Times New Roman"/>
          <w:b/>
          <w:bCs/>
          <w:szCs w:val="24"/>
        </w:rPr>
        <w:t>（时间）</w:t>
      </w:r>
      <w:r>
        <w:rPr>
          <w:rFonts w:cs="Times New Roman"/>
          <w:b/>
          <w:bCs/>
          <w:szCs w:val="24"/>
          <w:u w:val="single"/>
        </w:rPr>
        <w:t xml:space="preserve">     </w:t>
      </w:r>
      <w:r>
        <w:rPr>
          <w:rFonts w:cs="Times New Roman"/>
          <w:b/>
          <w:bCs/>
          <w:szCs w:val="24"/>
        </w:rPr>
        <w:t>（单位名称）发生</w:t>
      </w:r>
      <w:r>
        <w:rPr>
          <w:rFonts w:cs="Times New Roman"/>
          <w:b/>
          <w:bCs/>
          <w:szCs w:val="24"/>
          <w:u w:val="single"/>
        </w:rPr>
        <w:t xml:space="preserve">     </w:t>
      </w:r>
      <w:r>
        <w:rPr>
          <w:rFonts w:cs="Times New Roman"/>
          <w:b/>
          <w:bCs/>
          <w:szCs w:val="24"/>
        </w:rPr>
        <w:t>辐射事故</w:t>
      </w:r>
    </w:p>
    <w:p>
      <w:pPr>
        <w:adjustRightInd w:val="0"/>
        <w:snapToGrid w:val="0"/>
        <w:spacing w:after="120" w:afterLines="50" w:line="360" w:lineRule="auto"/>
        <w:ind w:firstLine="482"/>
        <w:jc w:val="center"/>
        <w:rPr>
          <w:rFonts w:cs="Times New Roman"/>
          <w:b/>
          <w:bCs/>
          <w:szCs w:val="24"/>
        </w:rPr>
      </w:pPr>
      <w:r>
        <w:rPr>
          <w:rFonts w:cs="Times New Roman"/>
          <w:b/>
          <w:bCs/>
          <w:szCs w:val="24"/>
          <w:u w:val="single"/>
        </w:rPr>
        <w:t xml:space="preserve">    </w:t>
      </w:r>
      <w:r>
        <w:rPr>
          <w:rFonts w:cs="Times New Roman"/>
          <w:b/>
          <w:bCs/>
          <w:szCs w:val="24"/>
        </w:rPr>
        <w:t>年</w:t>
      </w:r>
      <w:r>
        <w:rPr>
          <w:rFonts w:cs="Times New Roman"/>
          <w:b/>
          <w:bCs/>
          <w:szCs w:val="24"/>
          <w:u w:val="single"/>
        </w:rPr>
        <w:t xml:space="preserve">   </w:t>
      </w:r>
      <w:r>
        <w:rPr>
          <w:rFonts w:cs="Times New Roman"/>
          <w:b/>
          <w:bCs/>
          <w:szCs w:val="24"/>
        </w:rPr>
        <w:t>月</w:t>
      </w:r>
      <w:r>
        <w:rPr>
          <w:rFonts w:cs="Times New Roman"/>
          <w:b/>
          <w:bCs/>
          <w:szCs w:val="24"/>
          <w:u w:val="single"/>
        </w:rPr>
        <w:t xml:space="preserve">   </w:t>
      </w:r>
      <w:r>
        <w:rPr>
          <w:rFonts w:cs="Times New Roman"/>
          <w:b/>
          <w:bCs/>
          <w:szCs w:val="24"/>
        </w:rPr>
        <w:t>日</w:t>
      </w:r>
    </w:p>
    <w:p>
      <w:pPr>
        <w:snapToGrid w:val="0"/>
        <w:spacing w:line="360" w:lineRule="auto"/>
        <w:ind w:firstLine="480" w:firstLineChars="200"/>
        <w:rPr>
          <w:rFonts w:cs="Times New Roman"/>
          <w:szCs w:val="24"/>
        </w:rPr>
      </w:pPr>
      <w:r>
        <w:rPr>
          <w:rFonts w:cs="Times New Roman"/>
          <w:szCs w:val="24"/>
          <w:u w:val="single"/>
        </w:rPr>
        <w:t xml:space="preserve">     </w:t>
      </w:r>
      <w:r>
        <w:rPr>
          <w:rFonts w:cs="Times New Roman"/>
          <w:szCs w:val="24"/>
        </w:rPr>
        <w:t>年</w:t>
      </w:r>
      <w:r>
        <w:rPr>
          <w:rFonts w:cs="Times New Roman"/>
          <w:szCs w:val="24"/>
          <w:u w:val="single"/>
        </w:rPr>
        <w:t xml:space="preserve">  </w:t>
      </w:r>
      <w:r>
        <w:rPr>
          <w:rFonts w:cs="Times New Roman"/>
          <w:szCs w:val="24"/>
        </w:rPr>
        <w:t>月</w:t>
      </w:r>
      <w:r>
        <w:rPr>
          <w:rFonts w:cs="Times New Roman"/>
          <w:szCs w:val="24"/>
          <w:u w:val="single"/>
        </w:rPr>
        <w:t xml:space="preserve">  </w:t>
      </w:r>
      <w:r>
        <w:rPr>
          <w:rFonts w:cs="Times New Roman"/>
          <w:szCs w:val="24"/>
        </w:rPr>
        <w:t>日</w:t>
      </w:r>
      <w:r>
        <w:rPr>
          <w:rFonts w:cs="Times New Roman"/>
          <w:szCs w:val="24"/>
          <w:u w:val="single"/>
        </w:rPr>
        <w:t xml:space="preserve">  </w:t>
      </w:r>
      <w:r>
        <w:rPr>
          <w:rFonts w:cs="Times New Roman"/>
          <w:szCs w:val="24"/>
        </w:rPr>
        <w:t>时</w:t>
      </w:r>
      <w:r>
        <w:rPr>
          <w:rFonts w:cs="Times New Roman"/>
          <w:szCs w:val="24"/>
          <w:u w:val="single"/>
        </w:rPr>
        <w:t xml:space="preserve">  </w:t>
      </w:r>
      <w:r>
        <w:rPr>
          <w:rFonts w:cs="Times New Roman"/>
          <w:szCs w:val="24"/>
        </w:rPr>
        <w:t>分，位于</w:t>
      </w:r>
      <w:r>
        <w:rPr>
          <w:rFonts w:cs="Times New Roman"/>
          <w:szCs w:val="24"/>
          <w:u w:val="single"/>
        </w:rPr>
        <w:t xml:space="preserve">       </w:t>
      </w:r>
      <w:r>
        <w:rPr>
          <w:rFonts w:cs="Times New Roman"/>
          <w:szCs w:val="24"/>
        </w:rPr>
        <w:t>（地点）的</w:t>
      </w:r>
      <w:r>
        <w:rPr>
          <w:rFonts w:cs="Times New Roman"/>
          <w:szCs w:val="24"/>
          <w:u w:val="single"/>
        </w:rPr>
        <w:t xml:space="preserve">      </w:t>
      </w:r>
      <w:r>
        <w:rPr>
          <w:rFonts w:cs="Times New Roman"/>
          <w:szCs w:val="24"/>
        </w:rPr>
        <w:t>（单位名称）发生</w:t>
      </w:r>
      <w:r>
        <w:rPr>
          <w:rFonts w:cs="Times New Roman"/>
          <w:szCs w:val="24"/>
          <w:u w:val="single"/>
        </w:rPr>
        <w:t xml:space="preserve">      </w:t>
      </w:r>
      <w:r>
        <w:rPr>
          <w:rFonts w:cs="Times New Roman"/>
          <w:szCs w:val="24"/>
        </w:rPr>
        <w:t>事故，事件发生过程简要描述（放射性物质丢失、被盗、失控，或者放射性物质造成人员受到意外异常照射或环境放射性污染的情况描述）。目前，</w:t>
      </w:r>
      <w:r>
        <w:rPr>
          <w:rFonts w:cs="Times New Roman"/>
          <w:szCs w:val="24"/>
          <w:u w:val="single"/>
        </w:rPr>
        <w:t xml:space="preserve">       </w:t>
      </w:r>
      <w:r>
        <w:rPr>
          <w:rFonts w:cs="Times New Roman"/>
          <w:szCs w:val="24"/>
        </w:rPr>
        <w:t>（单位名称）处于</w:t>
      </w:r>
      <w:r>
        <w:rPr>
          <w:rFonts w:cs="Times New Roman"/>
          <w:szCs w:val="24"/>
          <w:u w:val="single"/>
        </w:rPr>
        <w:t xml:space="preserve">        </w:t>
      </w:r>
      <w:r>
        <w:rPr>
          <w:rFonts w:cs="Times New Roman"/>
          <w:szCs w:val="24"/>
        </w:rPr>
        <w:t>状态，该单位正采取</w:t>
      </w:r>
      <w:r>
        <w:rPr>
          <w:rFonts w:cs="Times New Roman"/>
          <w:szCs w:val="24"/>
          <w:u w:val="single"/>
        </w:rPr>
        <w:t xml:space="preserve">        </w:t>
      </w:r>
      <w:r>
        <w:rPr>
          <w:rFonts w:cs="Times New Roman"/>
          <w:szCs w:val="24"/>
        </w:rPr>
        <w:t>措施予以恢复。事故单位周边辐射环境监测水平处于</w:t>
      </w:r>
      <w:r>
        <w:rPr>
          <w:rFonts w:cs="Times New Roman"/>
          <w:szCs w:val="24"/>
          <w:u w:val="single"/>
        </w:rPr>
        <w:t xml:space="preserve">        </w:t>
      </w:r>
      <w:r>
        <w:rPr>
          <w:rFonts w:cs="Times New Roman"/>
          <w:szCs w:val="24"/>
        </w:rPr>
        <w:t>范围内，对当地环境与公众健康造成</w:t>
      </w:r>
      <w:r>
        <w:rPr>
          <w:rFonts w:cs="Times New Roman"/>
          <w:szCs w:val="24"/>
          <w:u w:val="single"/>
        </w:rPr>
        <w:t xml:space="preserve">            </w:t>
      </w:r>
      <w:r>
        <w:rPr>
          <w:rFonts w:cs="Times New Roman"/>
          <w:szCs w:val="24"/>
        </w:rPr>
        <w:t>影响。经（初步）调查，事故发生原因为</w:t>
      </w:r>
      <w:r>
        <w:rPr>
          <w:rFonts w:cs="Times New Roman"/>
          <w:szCs w:val="24"/>
          <w:u w:val="single"/>
        </w:rPr>
        <w:t xml:space="preserve">         </w:t>
      </w:r>
      <w:r>
        <w:rPr>
          <w:rFonts w:cs="Times New Roman"/>
          <w:szCs w:val="24"/>
        </w:rPr>
        <w:t>。</w:t>
      </w:r>
    </w:p>
    <w:p>
      <w:pPr>
        <w:snapToGrid w:val="0"/>
        <w:spacing w:line="360" w:lineRule="auto"/>
        <w:ind w:firstLine="480" w:firstLineChars="200"/>
        <w:rPr>
          <w:rFonts w:cs="Times New Roman"/>
          <w:szCs w:val="24"/>
        </w:rPr>
      </w:pPr>
      <w:r>
        <w:rPr>
          <w:rFonts w:cs="Times New Roman"/>
          <w:szCs w:val="24"/>
        </w:rPr>
        <w:t>我局已采取</w:t>
      </w:r>
      <w:r>
        <w:rPr>
          <w:rFonts w:cs="Times New Roman"/>
          <w:szCs w:val="24"/>
          <w:u w:val="single"/>
        </w:rPr>
        <w:t xml:space="preserve">            </w:t>
      </w:r>
      <w:r>
        <w:rPr>
          <w:rFonts w:cs="Times New Roman"/>
          <w:szCs w:val="24"/>
        </w:rPr>
        <w:t>措施，进行跟踪调查与处理，加强事故单位周边辐射环境监测，密切关注事态发展，重要情况随时公布。</w:t>
      </w:r>
      <w:bookmarkEnd w:id="90"/>
    </w:p>
    <w:sectPr>
      <w:footerReference r:id="rId9" w:type="default"/>
      <w:pgSz w:w="11906" w:h="16838"/>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中倩简体">
    <w:panose1 w:val="03000509000000000000"/>
    <w:charset w:val="86"/>
    <w:family w:val="auto"/>
    <w:pitch w:val="default"/>
    <w:sig w:usb0="00000001" w:usb1="080E0000" w:usb2="00000000" w:usb3="00000000" w:csb0="00040000" w:csb1="00000000"/>
  </w:font>
  <w:font w:name="方正北魏楷书简体">
    <w:panose1 w:val="03000509000000000000"/>
    <w:charset w:val="86"/>
    <w:family w:val="auto"/>
    <w:pitch w:val="default"/>
    <w:sig w:usb0="00000001" w:usb1="080E0000" w:usb2="00000000" w:usb3="00000000" w:csb0="00040000" w:csb1="00000000"/>
  </w:font>
  <w:font w:name="方正古隶繁体">
    <w:panose1 w:val="03000509000000000000"/>
    <w:charset w:val="86"/>
    <w:family w:val="auto"/>
    <w:pitch w:val="default"/>
    <w:sig w:usb0="00000001" w:usb1="080E0000" w:usb2="00000000" w:usb3="00000000" w:csb0="00040000" w:csb1="00000000"/>
  </w:font>
  <w:font w:name="方正大黑简体">
    <w:panose1 w:val="02010601030101010101"/>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8457060"/>
      <w:docPartObj>
        <w:docPartGallery w:val="autotext"/>
      </w:docPartObj>
    </w:sdtPr>
    <w:sdtContent>
      <w:p>
        <w:pPr>
          <w:pStyle w:val="11"/>
          <w:jc w:val="center"/>
        </w:pPr>
        <w:r>
          <w:fldChar w:fldCharType="begin"/>
        </w:r>
        <w:r>
          <w:instrText xml:space="preserve">PAGE   \* MERGEFORMAT</w:instrText>
        </w:r>
        <w:r>
          <w:fldChar w:fldCharType="separate"/>
        </w:r>
        <w:r>
          <w:rPr>
            <w:lang w:val="zh-CN"/>
          </w:rPr>
          <w:t>III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adjustRightInd w:val="0"/>
      <w:jc w:val="center"/>
    </w:pPr>
    <w:r>
      <w:fldChar w:fldCharType="begin"/>
    </w:r>
    <w:r>
      <w:instrText xml:space="preserve"> PAGE   \* MERGEFORMAT </w:instrText>
    </w:r>
    <w:r>
      <w:fldChar w:fldCharType="separate"/>
    </w:r>
    <w:r>
      <w:rPr>
        <w:lang w:val="zh-CN"/>
      </w:rPr>
      <w:t>8</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adjustRightInd w:val="0"/>
      <w:jc w:val="center"/>
    </w:pPr>
    <w:r>
      <w:fldChar w:fldCharType="begin"/>
    </w:r>
    <w:r>
      <w:instrText xml:space="preserve"> PAGE   \* MERGEFORMAT </w:instrText>
    </w:r>
    <w:r>
      <w:fldChar w:fldCharType="separate"/>
    </w:r>
    <w:r>
      <w:rPr>
        <w:lang w:val="zh-CN"/>
      </w:rPr>
      <w:t>36</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7"/>
    <w:multiLevelType w:val="multilevel"/>
    <w:tmpl w:val="00000007"/>
    <w:lvl w:ilvl="0" w:tentative="0">
      <w:start w:val="7"/>
      <w:numFmt w:val="decimal"/>
      <w:lvlText w:val="%1"/>
      <w:lvlJc w:val="left"/>
      <w:pPr>
        <w:tabs>
          <w:tab w:val="left" w:pos="435"/>
        </w:tabs>
        <w:ind w:left="435" w:hanging="435"/>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xMzQwMWE0MDBjNTc1Zjk1YjM3NTljNTEzZDg2ZTEifQ=="/>
  </w:docVars>
  <w:rsids>
    <w:rsidRoot w:val="003C6AE5"/>
    <w:rsid w:val="00001F8D"/>
    <w:rsid w:val="0001069F"/>
    <w:rsid w:val="00010AB3"/>
    <w:rsid w:val="00030AED"/>
    <w:rsid w:val="00030B34"/>
    <w:rsid w:val="00032C75"/>
    <w:rsid w:val="00043354"/>
    <w:rsid w:val="00051A66"/>
    <w:rsid w:val="00065F67"/>
    <w:rsid w:val="00076B9D"/>
    <w:rsid w:val="00092035"/>
    <w:rsid w:val="000A14B4"/>
    <w:rsid w:val="000A2B19"/>
    <w:rsid w:val="000C36B4"/>
    <w:rsid w:val="000C7190"/>
    <w:rsid w:val="000E18BA"/>
    <w:rsid w:val="000E2931"/>
    <w:rsid w:val="000E2F87"/>
    <w:rsid w:val="000E304E"/>
    <w:rsid w:val="000F06D3"/>
    <w:rsid w:val="000F2B9E"/>
    <w:rsid w:val="00100B94"/>
    <w:rsid w:val="001045E4"/>
    <w:rsid w:val="001055F7"/>
    <w:rsid w:val="00116DF8"/>
    <w:rsid w:val="0013278B"/>
    <w:rsid w:val="00136645"/>
    <w:rsid w:val="00146FD4"/>
    <w:rsid w:val="00147E32"/>
    <w:rsid w:val="001603C9"/>
    <w:rsid w:val="001609B5"/>
    <w:rsid w:val="001707ED"/>
    <w:rsid w:val="0018532F"/>
    <w:rsid w:val="001948E4"/>
    <w:rsid w:val="00196DA5"/>
    <w:rsid w:val="001A3929"/>
    <w:rsid w:val="001A42FD"/>
    <w:rsid w:val="001B5A70"/>
    <w:rsid w:val="001C68EF"/>
    <w:rsid w:val="001D6984"/>
    <w:rsid w:val="001E1230"/>
    <w:rsid w:val="002014A7"/>
    <w:rsid w:val="0021079E"/>
    <w:rsid w:val="00214933"/>
    <w:rsid w:val="002275E1"/>
    <w:rsid w:val="00236449"/>
    <w:rsid w:val="00236B10"/>
    <w:rsid w:val="002371F8"/>
    <w:rsid w:val="00237E59"/>
    <w:rsid w:val="002467FF"/>
    <w:rsid w:val="00252E6D"/>
    <w:rsid w:val="0026602E"/>
    <w:rsid w:val="00266CCA"/>
    <w:rsid w:val="00283327"/>
    <w:rsid w:val="0028339F"/>
    <w:rsid w:val="0028660B"/>
    <w:rsid w:val="00297FDD"/>
    <w:rsid w:val="002A04EB"/>
    <w:rsid w:val="002B25E4"/>
    <w:rsid w:val="002B3045"/>
    <w:rsid w:val="002B3099"/>
    <w:rsid w:val="002B34E4"/>
    <w:rsid w:val="002C3FE6"/>
    <w:rsid w:val="002D3578"/>
    <w:rsid w:val="002D7E04"/>
    <w:rsid w:val="002E65CD"/>
    <w:rsid w:val="002E722B"/>
    <w:rsid w:val="002F311E"/>
    <w:rsid w:val="002F7382"/>
    <w:rsid w:val="002F7390"/>
    <w:rsid w:val="003005D2"/>
    <w:rsid w:val="00301D7B"/>
    <w:rsid w:val="00323D34"/>
    <w:rsid w:val="003308BD"/>
    <w:rsid w:val="003316C3"/>
    <w:rsid w:val="00332FF6"/>
    <w:rsid w:val="0033604E"/>
    <w:rsid w:val="00341E60"/>
    <w:rsid w:val="00352592"/>
    <w:rsid w:val="00354A1E"/>
    <w:rsid w:val="0036440A"/>
    <w:rsid w:val="00371567"/>
    <w:rsid w:val="00373DC0"/>
    <w:rsid w:val="003775F1"/>
    <w:rsid w:val="00384F8E"/>
    <w:rsid w:val="003867B5"/>
    <w:rsid w:val="00386EEA"/>
    <w:rsid w:val="00387A38"/>
    <w:rsid w:val="003955A2"/>
    <w:rsid w:val="003A04DC"/>
    <w:rsid w:val="003A0664"/>
    <w:rsid w:val="003A33C3"/>
    <w:rsid w:val="003A58C6"/>
    <w:rsid w:val="003A6338"/>
    <w:rsid w:val="003C6AE5"/>
    <w:rsid w:val="003C6D2F"/>
    <w:rsid w:val="003C721F"/>
    <w:rsid w:val="003C7B35"/>
    <w:rsid w:val="003D201B"/>
    <w:rsid w:val="003D3CDF"/>
    <w:rsid w:val="003E0CBF"/>
    <w:rsid w:val="003E319A"/>
    <w:rsid w:val="0040053B"/>
    <w:rsid w:val="00400EF8"/>
    <w:rsid w:val="00404336"/>
    <w:rsid w:val="00406961"/>
    <w:rsid w:val="004157D7"/>
    <w:rsid w:val="00415FA0"/>
    <w:rsid w:val="00425C05"/>
    <w:rsid w:val="004323A0"/>
    <w:rsid w:val="004412E5"/>
    <w:rsid w:val="00443F23"/>
    <w:rsid w:val="004446A4"/>
    <w:rsid w:val="00446E86"/>
    <w:rsid w:val="0044709F"/>
    <w:rsid w:val="00455470"/>
    <w:rsid w:val="0045613C"/>
    <w:rsid w:val="004657C2"/>
    <w:rsid w:val="004671A7"/>
    <w:rsid w:val="0047566F"/>
    <w:rsid w:val="00485372"/>
    <w:rsid w:val="004860A8"/>
    <w:rsid w:val="00491A4D"/>
    <w:rsid w:val="00496968"/>
    <w:rsid w:val="00497AB1"/>
    <w:rsid w:val="004B6D47"/>
    <w:rsid w:val="004B7CAF"/>
    <w:rsid w:val="004C5187"/>
    <w:rsid w:val="004C5328"/>
    <w:rsid w:val="004C73B4"/>
    <w:rsid w:val="004D1922"/>
    <w:rsid w:val="004D31E5"/>
    <w:rsid w:val="004D6A27"/>
    <w:rsid w:val="004E1E78"/>
    <w:rsid w:val="004E5198"/>
    <w:rsid w:val="004E671E"/>
    <w:rsid w:val="004E6C70"/>
    <w:rsid w:val="00511752"/>
    <w:rsid w:val="00520997"/>
    <w:rsid w:val="00520BB7"/>
    <w:rsid w:val="00530590"/>
    <w:rsid w:val="005312C3"/>
    <w:rsid w:val="00540A98"/>
    <w:rsid w:val="00540AB3"/>
    <w:rsid w:val="00541F09"/>
    <w:rsid w:val="00542600"/>
    <w:rsid w:val="0057111B"/>
    <w:rsid w:val="00574985"/>
    <w:rsid w:val="00584B49"/>
    <w:rsid w:val="00591DEF"/>
    <w:rsid w:val="005A43D7"/>
    <w:rsid w:val="005A7C20"/>
    <w:rsid w:val="005B307A"/>
    <w:rsid w:val="005C0CEF"/>
    <w:rsid w:val="005C651C"/>
    <w:rsid w:val="005D1319"/>
    <w:rsid w:val="005D3D84"/>
    <w:rsid w:val="005E5EAE"/>
    <w:rsid w:val="005F5478"/>
    <w:rsid w:val="005F6044"/>
    <w:rsid w:val="0060380A"/>
    <w:rsid w:val="006038FF"/>
    <w:rsid w:val="00606634"/>
    <w:rsid w:val="00614F9E"/>
    <w:rsid w:val="00615FA4"/>
    <w:rsid w:val="006203D1"/>
    <w:rsid w:val="00622233"/>
    <w:rsid w:val="00634023"/>
    <w:rsid w:val="00672015"/>
    <w:rsid w:val="006762F8"/>
    <w:rsid w:val="00681209"/>
    <w:rsid w:val="00682314"/>
    <w:rsid w:val="006876EB"/>
    <w:rsid w:val="00696318"/>
    <w:rsid w:val="006C2FA6"/>
    <w:rsid w:val="006C685B"/>
    <w:rsid w:val="006D460D"/>
    <w:rsid w:val="006D5482"/>
    <w:rsid w:val="006D7367"/>
    <w:rsid w:val="006D744A"/>
    <w:rsid w:val="0070748A"/>
    <w:rsid w:val="00727B7E"/>
    <w:rsid w:val="00730F03"/>
    <w:rsid w:val="007430DF"/>
    <w:rsid w:val="00745397"/>
    <w:rsid w:val="00770FA3"/>
    <w:rsid w:val="00774185"/>
    <w:rsid w:val="00786C13"/>
    <w:rsid w:val="007A5281"/>
    <w:rsid w:val="007A6A1E"/>
    <w:rsid w:val="007D157D"/>
    <w:rsid w:val="007E1528"/>
    <w:rsid w:val="007E2130"/>
    <w:rsid w:val="007E7B6A"/>
    <w:rsid w:val="007F2F91"/>
    <w:rsid w:val="008035CC"/>
    <w:rsid w:val="00815510"/>
    <w:rsid w:val="00817467"/>
    <w:rsid w:val="008412E5"/>
    <w:rsid w:val="00843B97"/>
    <w:rsid w:val="00845908"/>
    <w:rsid w:val="00847DE1"/>
    <w:rsid w:val="00855314"/>
    <w:rsid w:val="00865D55"/>
    <w:rsid w:val="0087502A"/>
    <w:rsid w:val="0087569E"/>
    <w:rsid w:val="00875776"/>
    <w:rsid w:val="00876421"/>
    <w:rsid w:val="00880121"/>
    <w:rsid w:val="008811F9"/>
    <w:rsid w:val="00893C05"/>
    <w:rsid w:val="00893C28"/>
    <w:rsid w:val="008B3A2D"/>
    <w:rsid w:val="008B6EA4"/>
    <w:rsid w:val="008C06C4"/>
    <w:rsid w:val="008C14C3"/>
    <w:rsid w:val="008C4D4F"/>
    <w:rsid w:val="008D5F7A"/>
    <w:rsid w:val="008D725A"/>
    <w:rsid w:val="008E58B0"/>
    <w:rsid w:val="008F1C4B"/>
    <w:rsid w:val="009108FC"/>
    <w:rsid w:val="00917095"/>
    <w:rsid w:val="0093164E"/>
    <w:rsid w:val="0093432B"/>
    <w:rsid w:val="00945E7F"/>
    <w:rsid w:val="009513E0"/>
    <w:rsid w:val="00954775"/>
    <w:rsid w:val="00963CC8"/>
    <w:rsid w:val="009666F4"/>
    <w:rsid w:val="009740DA"/>
    <w:rsid w:val="009827A2"/>
    <w:rsid w:val="00984A73"/>
    <w:rsid w:val="0098724C"/>
    <w:rsid w:val="009A16F5"/>
    <w:rsid w:val="009A47E8"/>
    <w:rsid w:val="009C2FE0"/>
    <w:rsid w:val="009C741D"/>
    <w:rsid w:val="009D1ED5"/>
    <w:rsid w:val="009D7ABE"/>
    <w:rsid w:val="009D7ABF"/>
    <w:rsid w:val="009F442C"/>
    <w:rsid w:val="009F51C6"/>
    <w:rsid w:val="00A01A14"/>
    <w:rsid w:val="00A11858"/>
    <w:rsid w:val="00A1283C"/>
    <w:rsid w:val="00A14887"/>
    <w:rsid w:val="00A151BD"/>
    <w:rsid w:val="00A3134D"/>
    <w:rsid w:val="00A33B4E"/>
    <w:rsid w:val="00A45723"/>
    <w:rsid w:val="00A5326D"/>
    <w:rsid w:val="00A628F3"/>
    <w:rsid w:val="00A64E52"/>
    <w:rsid w:val="00A746CE"/>
    <w:rsid w:val="00A80F58"/>
    <w:rsid w:val="00A9551C"/>
    <w:rsid w:val="00AA103F"/>
    <w:rsid w:val="00AB3369"/>
    <w:rsid w:val="00AB47C0"/>
    <w:rsid w:val="00AC25F4"/>
    <w:rsid w:val="00AC4350"/>
    <w:rsid w:val="00AE0ADA"/>
    <w:rsid w:val="00AF3D88"/>
    <w:rsid w:val="00B0753E"/>
    <w:rsid w:val="00B0799E"/>
    <w:rsid w:val="00B20732"/>
    <w:rsid w:val="00B235C8"/>
    <w:rsid w:val="00B30ADF"/>
    <w:rsid w:val="00B337CA"/>
    <w:rsid w:val="00B344AC"/>
    <w:rsid w:val="00B40449"/>
    <w:rsid w:val="00B40DE5"/>
    <w:rsid w:val="00B653D5"/>
    <w:rsid w:val="00B662A0"/>
    <w:rsid w:val="00B7581A"/>
    <w:rsid w:val="00B802F4"/>
    <w:rsid w:val="00B93270"/>
    <w:rsid w:val="00B94B4D"/>
    <w:rsid w:val="00B95C27"/>
    <w:rsid w:val="00BA0BE2"/>
    <w:rsid w:val="00BA2816"/>
    <w:rsid w:val="00BA46FA"/>
    <w:rsid w:val="00BA6C3A"/>
    <w:rsid w:val="00BB1DBB"/>
    <w:rsid w:val="00BB7017"/>
    <w:rsid w:val="00BC054B"/>
    <w:rsid w:val="00BC0FE3"/>
    <w:rsid w:val="00BD04F5"/>
    <w:rsid w:val="00BD15B5"/>
    <w:rsid w:val="00BD790B"/>
    <w:rsid w:val="00BE3E36"/>
    <w:rsid w:val="00BE4BCA"/>
    <w:rsid w:val="00BF1728"/>
    <w:rsid w:val="00C051AA"/>
    <w:rsid w:val="00C06E16"/>
    <w:rsid w:val="00C074CB"/>
    <w:rsid w:val="00C163FE"/>
    <w:rsid w:val="00C16C83"/>
    <w:rsid w:val="00C23387"/>
    <w:rsid w:val="00C37C39"/>
    <w:rsid w:val="00C42B2D"/>
    <w:rsid w:val="00C55F9D"/>
    <w:rsid w:val="00C65556"/>
    <w:rsid w:val="00C66EB9"/>
    <w:rsid w:val="00C7116A"/>
    <w:rsid w:val="00C8353B"/>
    <w:rsid w:val="00CA11AD"/>
    <w:rsid w:val="00CA2C1A"/>
    <w:rsid w:val="00CA6C7E"/>
    <w:rsid w:val="00CB229E"/>
    <w:rsid w:val="00CB4CC5"/>
    <w:rsid w:val="00CB631E"/>
    <w:rsid w:val="00CB6BC8"/>
    <w:rsid w:val="00CC2FA0"/>
    <w:rsid w:val="00CC3180"/>
    <w:rsid w:val="00CC47A7"/>
    <w:rsid w:val="00CD753F"/>
    <w:rsid w:val="00CE5EF1"/>
    <w:rsid w:val="00CF257C"/>
    <w:rsid w:val="00D01027"/>
    <w:rsid w:val="00D01840"/>
    <w:rsid w:val="00D01AFB"/>
    <w:rsid w:val="00D03DE9"/>
    <w:rsid w:val="00D10618"/>
    <w:rsid w:val="00D12321"/>
    <w:rsid w:val="00D26925"/>
    <w:rsid w:val="00D344B1"/>
    <w:rsid w:val="00D54E8D"/>
    <w:rsid w:val="00D779AB"/>
    <w:rsid w:val="00D84639"/>
    <w:rsid w:val="00D91CF7"/>
    <w:rsid w:val="00DA7F59"/>
    <w:rsid w:val="00DB00CC"/>
    <w:rsid w:val="00DB0E20"/>
    <w:rsid w:val="00DB6C0D"/>
    <w:rsid w:val="00DD288C"/>
    <w:rsid w:val="00DD2A29"/>
    <w:rsid w:val="00DD2C04"/>
    <w:rsid w:val="00DD2FC4"/>
    <w:rsid w:val="00DD52A2"/>
    <w:rsid w:val="00DE5BB6"/>
    <w:rsid w:val="00DE7BEA"/>
    <w:rsid w:val="00E002EC"/>
    <w:rsid w:val="00E00D8A"/>
    <w:rsid w:val="00E14569"/>
    <w:rsid w:val="00E17F56"/>
    <w:rsid w:val="00E21496"/>
    <w:rsid w:val="00E219D3"/>
    <w:rsid w:val="00E42377"/>
    <w:rsid w:val="00E45683"/>
    <w:rsid w:val="00E45A98"/>
    <w:rsid w:val="00E45FE1"/>
    <w:rsid w:val="00E521EC"/>
    <w:rsid w:val="00E5264C"/>
    <w:rsid w:val="00E52F91"/>
    <w:rsid w:val="00E5466D"/>
    <w:rsid w:val="00E55BBE"/>
    <w:rsid w:val="00E712DA"/>
    <w:rsid w:val="00E72F26"/>
    <w:rsid w:val="00E730A4"/>
    <w:rsid w:val="00E75255"/>
    <w:rsid w:val="00E867B9"/>
    <w:rsid w:val="00E91D3D"/>
    <w:rsid w:val="00EB3CEC"/>
    <w:rsid w:val="00EB4798"/>
    <w:rsid w:val="00EC03FB"/>
    <w:rsid w:val="00EC7AFC"/>
    <w:rsid w:val="00ED37D5"/>
    <w:rsid w:val="00ED3EBC"/>
    <w:rsid w:val="00EE03FE"/>
    <w:rsid w:val="00EE2800"/>
    <w:rsid w:val="00EF1C58"/>
    <w:rsid w:val="00EF291F"/>
    <w:rsid w:val="00EF56A0"/>
    <w:rsid w:val="00F01FDF"/>
    <w:rsid w:val="00F14F83"/>
    <w:rsid w:val="00F15032"/>
    <w:rsid w:val="00F40AE5"/>
    <w:rsid w:val="00F41AC6"/>
    <w:rsid w:val="00F426FD"/>
    <w:rsid w:val="00F57E34"/>
    <w:rsid w:val="00F71517"/>
    <w:rsid w:val="00F71F23"/>
    <w:rsid w:val="00F74896"/>
    <w:rsid w:val="00F81C6F"/>
    <w:rsid w:val="00F87F14"/>
    <w:rsid w:val="00F92B0B"/>
    <w:rsid w:val="00FB5F8F"/>
    <w:rsid w:val="00FC089E"/>
    <w:rsid w:val="00FC5E4D"/>
    <w:rsid w:val="00FC690F"/>
    <w:rsid w:val="00FC75AE"/>
    <w:rsid w:val="00FD1465"/>
    <w:rsid w:val="00FE17B5"/>
    <w:rsid w:val="00FF006C"/>
    <w:rsid w:val="00FF56B2"/>
    <w:rsid w:val="00FF5973"/>
    <w:rsid w:val="00FF7A0C"/>
    <w:rsid w:val="03F17FE1"/>
    <w:rsid w:val="15A23F13"/>
    <w:rsid w:val="16A57539"/>
    <w:rsid w:val="17020839"/>
    <w:rsid w:val="2142237C"/>
    <w:rsid w:val="244D251B"/>
    <w:rsid w:val="27345954"/>
    <w:rsid w:val="2735764B"/>
    <w:rsid w:val="369714B2"/>
    <w:rsid w:val="3EBF0913"/>
    <w:rsid w:val="3F004A44"/>
    <w:rsid w:val="5CFE16E3"/>
    <w:rsid w:val="602433B2"/>
    <w:rsid w:val="739F5566"/>
    <w:rsid w:val="78BD35C4"/>
    <w:rsid w:val="7AB0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Times New Roman" w:hAnsi="Times New Roman" w:eastAsia="仿宋" w:cstheme="minorBidi"/>
      <w:kern w:val="2"/>
      <w:sz w:val="24"/>
      <w:szCs w:val="22"/>
      <w:lang w:val="en-US" w:eastAsia="zh-CN" w:bidi="ar-SA"/>
    </w:rPr>
  </w:style>
  <w:style w:type="paragraph" w:styleId="2">
    <w:name w:val="heading 1"/>
    <w:basedOn w:val="1"/>
    <w:next w:val="1"/>
    <w:link w:val="22"/>
    <w:qFormat/>
    <w:uiPriority w:val="9"/>
    <w:pPr>
      <w:keepNext/>
      <w:keepLines/>
      <w:adjustRightInd w:val="0"/>
      <w:snapToGrid w:val="0"/>
      <w:spacing w:before="120" w:after="120" w:line="360" w:lineRule="auto"/>
      <w:outlineLvl w:val="0"/>
    </w:pPr>
    <w:rPr>
      <w:b/>
      <w:bCs/>
      <w:kern w:val="44"/>
      <w:sz w:val="30"/>
      <w:szCs w:val="30"/>
    </w:rPr>
  </w:style>
  <w:style w:type="paragraph" w:styleId="3">
    <w:name w:val="heading 2"/>
    <w:basedOn w:val="1"/>
    <w:next w:val="1"/>
    <w:link w:val="23"/>
    <w:unhideWhenUsed/>
    <w:qFormat/>
    <w:uiPriority w:val="9"/>
    <w:pPr>
      <w:keepNext/>
      <w:keepLines/>
      <w:adjustRightInd w:val="0"/>
      <w:snapToGrid w:val="0"/>
      <w:spacing w:before="120" w:beforeLines="50" w:line="360" w:lineRule="auto"/>
      <w:outlineLvl w:val="1"/>
    </w:pPr>
    <w:rPr>
      <w:rFonts w:cs="Times New Roman"/>
      <w:b/>
      <w:bCs/>
      <w:sz w:val="28"/>
      <w:szCs w:val="28"/>
    </w:rPr>
  </w:style>
  <w:style w:type="paragraph" w:styleId="4">
    <w:name w:val="heading 3"/>
    <w:basedOn w:val="1"/>
    <w:next w:val="1"/>
    <w:link w:val="24"/>
    <w:unhideWhenUsed/>
    <w:qFormat/>
    <w:uiPriority w:val="9"/>
    <w:pPr>
      <w:keepNext/>
      <w:keepLines/>
      <w:spacing w:before="260" w:line="415" w:lineRule="auto"/>
      <w:outlineLvl w:val="2"/>
    </w:pPr>
    <w:rPr>
      <w:rFonts w:eastAsia="楷体"/>
      <w:b/>
      <w:bCs/>
      <w:szCs w:val="32"/>
    </w:rPr>
  </w:style>
  <w:style w:type="paragraph" w:styleId="5">
    <w:name w:val="heading 4"/>
    <w:basedOn w:val="1"/>
    <w:next w:val="1"/>
    <w:link w:val="25"/>
    <w:unhideWhenUsed/>
    <w:qFormat/>
    <w:uiPriority w:val="9"/>
    <w:pPr>
      <w:keepNext/>
      <w:keepLines/>
      <w:spacing w:before="280" w:line="377"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semiHidden/>
    <w:unhideWhenUsed/>
    <w:qFormat/>
    <w:uiPriority w:val="99"/>
    <w:pPr>
      <w:jc w:val="left"/>
    </w:pPr>
  </w:style>
  <w:style w:type="paragraph" w:styleId="7">
    <w:name w:val="Body Text"/>
    <w:basedOn w:val="1"/>
    <w:link w:val="32"/>
    <w:qFormat/>
    <w:uiPriority w:val="1"/>
    <w:pPr>
      <w:spacing w:line="360" w:lineRule="auto"/>
      <w:ind w:left="1418" w:firstLine="640" w:firstLineChars="200"/>
    </w:pPr>
    <w:rPr>
      <w:rFonts w:ascii="仿宋" w:hAnsi="仿宋" w:cs="仿宋"/>
      <w:sz w:val="32"/>
      <w:szCs w:val="32"/>
    </w:rPr>
  </w:style>
  <w:style w:type="paragraph" w:styleId="8">
    <w:name w:val="toc 3"/>
    <w:basedOn w:val="1"/>
    <w:next w:val="1"/>
    <w:unhideWhenUsed/>
    <w:qFormat/>
    <w:uiPriority w:val="39"/>
    <w:pPr>
      <w:ind w:left="840" w:leftChars="400"/>
    </w:pPr>
  </w:style>
  <w:style w:type="paragraph" w:styleId="9">
    <w:name w:val="Date"/>
    <w:basedOn w:val="1"/>
    <w:next w:val="1"/>
    <w:link w:val="26"/>
    <w:unhideWhenUsed/>
    <w:qFormat/>
    <w:uiPriority w:val="99"/>
    <w:pPr>
      <w:ind w:left="100" w:leftChars="2500"/>
    </w:pPr>
  </w:style>
  <w:style w:type="paragraph" w:styleId="10">
    <w:name w:val="Balloon Text"/>
    <w:basedOn w:val="1"/>
    <w:link w:val="29"/>
    <w:semiHidden/>
    <w:unhideWhenUsed/>
    <w:qFormat/>
    <w:uiPriority w:val="99"/>
    <w:pPr>
      <w:spacing w:line="240" w:lineRule="auto"/>
    </w:pPr>
    <w:rPr>
      <w:sz w:val="18"/>
      <w:szCs w:val="18"/>
    </w:rPr>
  </w:style>
  <w:style w:type="paragraph" w:styleId="11">
    <w:name w:val="footer"/>
    <w:basedOn w:val="1"/>
    <w:link w:val="21"/>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unhideWhenUsed/>
    <w:qFormat/>
    <w:uiPriority w:val="39"/>
    <w:pPr>
      <w:tabs>
        <w:tab w:val="right" w:leader="dot" w:pos="8381"/>
      </w:tabs>
      <w:adjustRightInd w:val="0"/>
      <w:snapToGrid w:val="0"/>
      <w:spacing w:before="50" w:beforeLines="50" w:after="50" w:afterLines="50" w:line="440" w:lineRule="exact"/>
    </w:pPr>
    <w:rPr>
      <w:b/>
    </w:rPr>
  </w:style>
  <w:style w:type="paragraph" w:styleId="14">
    <w:name w:val="toc 2"/>
    <w:basedOn w:val="1"/>
    <w:next w:val="1"/>
    <w:unhideWhenUsed/>
    <w:qFormat/>
    <w:uiPriority w:val="39"/>
    <w:pPr>
      <w:adjustRightInd w:val="0"/>
      <w:snapToGrid w:val="0"/>
      <w:spacing w:line="440" w:lineRule="exact"/>
    </w:pPr>
  </w:style>
  <w:style w:type="paragraph" w:styleId="15">
    <w:name w:val="annotation subject"/>
    <w:basedOn w:val="6"/>
    <w:next w:val="6"/>
    <w:link w:val="31"/>
    <w:semiHidden/>
    <w:unhideWhenUsed/>
    <w:qFormat/>
    <w:uiPriority w:val="99"/>
    <w:rPr>
      <w:b/>
      <w:bCs/>
    </w:r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页眉 Char"/>
    <w:basedOn w:val="17"/>
    <w:link w:val="12"/>
    <w:qFormat/>
    <w:uiPriority w:val="99"/>
    <w:rPr>
      <w:sz w:val="18"/>
      <w:szCs w:val="18"/>
    </w:rPr>
  </w:style>
  <w:style w:type="character" w:customStyle="1" w:styleId="21">
    <w:name w:val="页脚 Char1"/>
    <w:basedOn w:val="17"/>
    <w:link w:val="11"/>
    <w:qFormat/>
    <w:uiPriority w:val="99"/>
    <w:rPr>
      <w:sz w:val="18"/>
      <w:szCs w:val="18"/>
    </w:rPr>
  </w:style>
  <w:style w:type="character" w:customStyle="1" w:styleId="22">
    <w:name w:val="标题 1 Char"/>
    <w:basedOn w:val="17"/>
    <w:link w:val="2"/>
    <w:qFormat/>
    <w:uiPriority w:val="9"/>
    <w:rPr>
      <w:rFonts w:ascii="Times New Roman" w:hAnsi="Times New Roman" w:eastAsia="仿宋"/>
      <w:b/>
      <w:bCs/>
      <w:kern w:val="44"/>
      <w:sz w:val="30"/>
      <w:szCs w:val="30"/>
    </w:rPr>
  </w:style>
  <w:style w:type="character" w:customStyle="1" w:styleId="23">
    <w:name w:val="标题 2 Char"/>
    <w:basedOn w:val="17"/>
    <w:link w:val="3"/>
    <w:qFormat/>
    <w:uiPriority w:val="9"/>
    <w:rPr>
      <w:rFonts w:ascii="Times New Roman" w:hAnsi="Times New Roman" w:eastAsia="仿宋" w:cs="Times New Roman"/>
      <w:b/>
      <w:bCs/>
      <w:sz w:val="28"/>
      <w:szCs w:val="28"/>
    </w:rPr>
  </w:style>
  <w:style w:type="character" w:customStyle="1" w:styleId="24">
    <w:name w:val="标题 3 Char"/>
    <w:basedOn w:val="17"/>
    <w:link w:val="4"/>
    <w:qFormat/>
    <w:uiPriority w:val="9"/>
    <w:rPr>
      <w:rFonts w:ascii="Times New Roman" w:hAnsi="Times New Roman" w:eastAsia="楷体"/>
      <w:b/>
      <w:bCs/>
      <w:sz w:val="24"/>
      <w:szCs w:val="32"/>
    </w:rPr>
  </w:style>
  <w:style w:type="character" w:customStyle="1" w:styleId="25">
    <w:name w:val="标题 4 Char"/>
    <w:basedOn w:val="17"/>
    <w:link w:val="5"/>
    <w:qFormat/>
    <w:uiPriority w:val="9"/>
    <w:rPr>
      <w:rFonts w:asciiTheme="majorHAnsi" w:hAnsiTheme="majorHAnsi" w:eastAsiaTheme="majorEastAsia" w:cstheme="majorBidi"/>
      <w:b/>
      <w:bCs/>
      <w:sz w:val="28"/>
      <w:szCs w:val="28"/>
    </w:rPr>
  </w:style>
  <w:style w:type="character" w:customStyle="1" w:styleId="26">
    <w:name w:val="日期 Char"/>
    <w:basedOn w:val="17"/>
    <w:link w:val="9"/>
    <w:qFormat/>
    <w:uiPriority w:val="99"/>
    <w:rPr>
      <w:rFonts w:ascii="Times New Roman" w:hAnsi="Times New Roman"/>
    </w:rPr>
  </w:style>
  <w:style w:type="paragraph" w:customStyle="1" w:styleId="27">
    <w:name w:val="xl25"/>
    <w:basedOn w:val="1"/>
    <w:qFormat/>
    <w:uiPriority w:val="99"/>
    <w:pPr>
      <w:widowControl/>
      <w:pBdr>
        <w:bottom w:val="single" w:color="auto" w:sz="4" w:space="0"/>
        <w:right w:val="single" w:color="auto" w:sz="4" w:space="0"/>
      </w:pBdr>
      <w:spacing w:before="100" w:beforeAutospacing="1" w:after="100" w:afterAutospacing="1" w:line="240" w:lineRule="auto"/>
      <w:jc w:val="center"/>
    </w:pPr>
    <w:rPr>
      <w:rFonts w:ascii="黑体" w:hAnsi="宋体" w:eastAsia="黑体" w:cs="黑体"/>
      <w:kern w:val="0"/>
      <w:szCs w:val="24"/>
    </w:rPr>
  </w:style>
  <w:style w:type="paragraph" w:customStyle="1" w:styleId="2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9">
    <w:name w:val="批注框文本 Char"/>
    <w:basedOn w:val="17"/>
    <w:link w:val="10"/>
    <w:semiHidden/>
    <w:qFormat/>
    <w:uiPriority w:val="99"/>
    <w:rPr>
      <w:rFonts w:ascii="Times New Roman" w:hAnsi="Times New Roman" w:eastAsia="仿宋"/>
      <w:sz w:val="18"/>
      <w:szCs w:val="18"/>
    </w:rPr>
  </w:style>
  <w:style w:type="character" w:customStyle="1" w:styleId="30">
    <w:name w:val="批注文字 Char"/>
    <w:basedOn w:val="17"/>
    <w:link w:val="6"/>
    <w:semiHidden/>
    <w:qFormat/>
    <w:uiPriority w:val="99"/>
    <w:rPr>
      <w:rFonts w:ascii="Times New Roman" w:hAnsi="Times New Roman" w:eastAsia="仿宋"/>
      <w:sz w:val="24"/>
    </w:rPr>
  </w:style>
  <w:style w:type="character" w:customStyle="1" w:styleId="31">
    <w:name w:val="批注主题 Char"/>
    <w:basedOn w:val="30"/>
    <w:link w:val="15"/>
    <w:semiHidden/>
    <w:qFormat/>
    <w:uiPriority w:val="99"/>
    <w:rPr>
      <w:rFonts w:ascii="Times New Roman" w:hAnsi="Times New Roman" w:eastAsia="仿宋"/>
      <w:b/>
      <w:bCs/>
      <w:sz w:val="24"/>
    </w:rPr>
  </w:style>
  <w:style w:type="character" w:customStyle="1" w:styleId="32">
    <w:name w:val="正文文本 Char"/>
    <w:basedOn w:val="17"/>
    <w:link w:val="7"/>
    <w:qFormat/>
    <w:uiPriority w:val="1"/>
    <w:rPr>
      <w:rFonts w:ascii="仿宋" w:hAnsi="仿宋" w:eastAsia="仿宋" w:cs="仿宋"/>
      <w:sz w:val="32"/>
      <w:szCs w:val="32"/>
    </w:rPr>
  </w:style>
  <w:style w:type="character" w:customStyle="1" w:styleId="33">
    <w:name w:val="页脚 Char"/>
    <w:qFormat/>
    <w:uiPriority w:val="99"/>
    <w:rPr>
      <w:rFonts w:ascii="仿宋" w:hAnsi="仿宋" w:eastAsia="仿宋"/>
      <w:sz w:val="18"/>
      <w:szCs w:val="18"/>
    </w:rPr>
  </w:style>
  <w:style w:type="paragraph" w:customStyle="1" w:styleId="34">
    <w:name w:val="Table Paragraph"/>
    <w:basedOn w:val="1"/>
    <w:qFormat/>
    <w:uiPriority w:val="1"/>
    <w:pPr>
      <w:spacing w:line="360" w:lineRule="auto"/>
      <w:ind w:firstLine="560" w:firstLineChars="200"/>
      <w:jc w:val="left"/>
    </w:pPr>
    <w:rPr>
      <w:rFonts w:ascii="仿宋" w:hAnsi="仿宋" w:cs="仿宋"/>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ED8A6A-BA47-4BB0-93FF-6DB6602EBED4}">
  <ds:schemaRefs/>
</ds:datastoreItem>
</file>

<file path=docProps/app.xml><?xml version="1.0" encoding="utf-8"?>
<Properties xmlns="http://schemas.openxmlformats.org/officeDocument/2006/extended-properties" xmlns:vt="http://schemas.openxmlformats.org/officeDocument/2006/docPropsVTypes">
  <Template>Normal</Template>
  <Pages>40</Pages>
  <Words>16774</Words>
  <Characters>17534</Characters>
  <Lines>184</Lines>
  <Paragraphs>52</Paragraphs>
  <TotalTime>15</TotalTime>
  <ScaleCrop>false</ScaleCrop>
  <LinksUpToDate>false</LinksUpToDate>
  <CharactersWithSpaces>18409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2022-03-15T07:30:00Z</dcterms:created>
  <dc:creator>Windows 用户</dc:creator>
  <cp:lastModifiedBy>夏豪</cp:lastModifiedBy>
  <cp:lastPrinted>2022-12-16T03:15:00Z</cp:lastPrinted>
  <dcterms:modified xsi:type="dcterms:W3CDTF">2023-01-16T02:40:50Z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8E3E655D9CEE4E2881FB732B38806770</vt:lpwstr>
  </property>
</Properties>
</file>