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CD6F40">
      <w:pPr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黑体" w:eastAsia="黑体" w:cs="Times New Roman"/>
          <w:sz w:val="32"/>
          <w:szCs w:val="32"/>
        </w:rPr>
        <w:t>附件</w:t>
      </w:r>
      <w:r>
        <w:rPr>
          <w:rFonts w:ascii="Times New Roman" w:hAnsi="Times New Roman" w:eastAsia="黑体" w:cs="Times New Roman"/>
          <w:sz w:val="32"/>
          <w:szCs w:val="32"/>
        </w:rPr>
        <w:t>1-1</w:t>
      </w:r>
    </w:p>
    <w:p w14:paraId="37CA0F04">
      <w:pPr>
        <w:jc w:val="center"/>
        <w:rPr>
          <w:rFonts w:ascii="Times New Roman" w:hAnsi="Times New Roman" w:eastAsia="方正小标宋_GBK" w:cs="Times New Roman"/>
          <w:sz w:val="44"/>
          <w:szCs w:val="44"/>
        </w:rPr>
      </w:pPr>
      <w:r>
        <w:rPr>
          <w:rFonts w:ascii="Times New Roman" w:hAnsi="方正小标宋_GBK" w:eastAsia="方正小标宋_GBK" w:cs="Times New Roman"/>
          <w:sz w:val="44"/>
          <w:szCs w:val="44"/>
        </w:rPr>
        <w:t>企业服务年强化大抓项目投资促进攻坚战行动责任清单</w:t>
      </w:r>
    </w:p>
    <w:tbl>
      <w:tblPr>
        <w:tblStyle w:val="6"/>
        <w:tblW w:w="142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2"/>
        <w:gridCol w:w="13099"/>
      </w:tblGrid>
      <w:tr w14:paraId="1281E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" w:hRule="atLeast"/>
          <w:jc w:val="center"/>
        </w:trPr>
        <w:tc>
          <w:tcPr>
            <w:tcW w:w="1162" w:type="dxa"/>
            <w:vAlign w:val="center"/>
          </w:tcPr>
          <w:p w14:paraId="06A7A45C"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黑体" w:eastAsia="黑体" w:cs="Times New Roman"/>
              </w:rPr>
              <w:t>总体</w:t>
            </w:r>
          </w:p>
          <w:p w14:paraId="3EDDAC12"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黑体" w:eastAsia="黑体" w:cs="Times New Roman"/>
              </w:rPr>
              <w:t>目标</w:t>
            </w:r>
          </w:p>
        </w:tc>
        <w:tc>
          <w:tcPr>
            <w:tcW w:w="13099" w:type="dxa"/>
            <w:vAlign w:val="center"/>
          </w:tcPr>
          <w:p w14:paraId="3CFBA969">
            <w:pPr>
              <w:spacing w:line="300" w:lineRule="exact"/>
              <w:ind w:firstLine="420" w:firstLineChars="200"/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谋划储备项目</w:t>
            </w:r>
            <w:r>
              <w:rPr>
                <w:rFonts w:ascii="Times New Roman" w:hAnsi="Times New Roman" w:cs="Times New Roman"/>
              </w:rPr>
              <w:t>300</w:t>
            </w:r>
            <w:r>
              <w:rPr>
                <w:rFonts w:ascii="Times New Roman" w:cs="Times New Roman"/>
              </w:rPr>
              <w:t>个以上，力争纳入国省规划项目数量超过全省平均水平。争取中央预算内投资、超长期</w:t>
            </w:r>
            <w:r>
              <w:rPr>
                <w:rFonts w:hint="eastAsia" w:ascii="Times New Roman" w:cs="Times New Roman"/>
              </w:rPr>
              <w:t>特别</w:t>
            </w:r>
            <w:r>
              <w:rPr>
                <w:rFonts w:ascii="Times New Roman" w:cs="Times New Roman"/>
              </w:rPr>
              <w:t>国债和用于项目建设的地方政府专项债券资金</w:t>
            </w:r>
            <w:r>
              <w:rPr>
                <w:rFonts w:ascii="Times New Roman" w:hAnsi="Times New Roman" w:cs="Times New Roman"/>
              </w:rPr>
              <w:t>55</w:t>
            </w:r>
            <w:r>
              <w:rPr>
                <w:rFonts w:ascii="Times New Roman" w:cs="Times New Roman"/>
              </w:rPr>
              <w:t>亿元以上，项目建设和资金支付进度达到国省要求。省市重点项目年度完成投资</w:t>
            </w:r>
            <w:r>
              <w:rPr>
                <w:rFonts w:ascii="Times New Roman" w:hAnsi="Times New Roman" w:cs="Times New Roman"/>
              </w:rPr>
              <w:t>450</w:t>
            </w:r>
            <w:r>
              <w:rPr>
                <w:rFonts w:ascii="Times New Roman" w:cs="Times New Roman"/>
              </w:rPr>
              <w:t>亿元以上。实现固定资产投资增长</w:t>
            </w:r>
            <w:r>
              <w:rPr>
                <w:rFonts w:ascii="Times New Roman" w:hAnsi="Times New Roman" w:cs="Times New Roman"/>
              </w:rPr>
              <w:t>2%</w:t>
            </w:r>
            <w:r>
              <w:rPr>
                <w:rFonts w:ascii="Times New Roman" w:cs="Times New Roman"/>
              </w:rPr>
              <w:t>以上，民间投资和高技投资占比稳中有升。</w:t>
            </w:r>
          </w:p>
        </w:tc>
      </w:tr>
      <w:tr w14:paraId="09A8E3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8" w:hRule="atLeast"/>
          <w:jc w:val="center"/>
        </w:trPr>
        <w:tc>
          <w:tcPr>
            <w:tcW w:w="1162" w:type="dxa"/>
            <w:vAlign w:val="center"/>
          </w:tcPr>
          <w:p w14:paraId="68E3A0E4"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黑体" w:eastAsia="黑体" w:cs="Times New Roman"/>
              </w:rPr>
              <w:t>工作</w:t>
            </w:r>
          </w:p>
          <w:p w14:paraId="068C5DDE"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黑体" w:eastAsia="黑体" w:cs="Times New Roman"/>
              </w:rPr>
              <w:t>机制</w:t>
            </w:r>
          </w:p>
        </w:tc>
        <w:tc>
          <w:tcPr>
            <w:tcW w:w="13099" w:type="dxa"/>
            <w:vAlign w:val="center"/>
          </w:tcPr>
          <w:p w14:paraId="39D3BE42">
            <w:pPr>
              <w:spacing w:line="300" w:lineRule="exact"/>
              <w:ind w:firstLine="420" w:firstLineChars="200"/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建立企业服务年强化大抓项目投资行动工作专班，由</w:t>
            </w:r>
            <w:r>
              <w:rPr>
                <w:rFonts w:hint="eastAsia" w:ascii="Times New Roman" w:cs="Times New Roman"/>
              </w:rPr>
              <w:t>联系</w:t>
            </w:r>
            <w:r>
              <w:rPr>
                <w:rFonts w:ascii="Times New Roman" w:cs="Times New Roman"/>
              </w:rPr>
              <w:t>发改工作的市政府副秘书长牵头，市发改委具体负责。工作责任单位包括市政府办、市教育局、市科技局、市工信局、市财政局、市人社局、市自然资源和规划局、市生态环境局、市住建局、市交通运输局、市水利局、市农业农村局、市商务局、市林业局、市市场监督管理局、市统计局、市数据局（营商环境建设局）、市文旅广体局、市卫健委、市民政局、市公安局、市城市管理局等。</w:t>
            </w:r>
          </w:p>
        </w:tc>
      </w:tr>
    </w:tbl>
    <w:p w14:paraId="2B6D15A5">
      <w:pPr>
        <w:spacing w:line="20" w:lineRule="exact"/>
        <w:rPr>
          <w:rFonts w:ascii="Times New Roman" w:hAnsi="Times New Roman" w:eastAsia="黑体" w:cs="Times New Roman"/>
          <w:spacing w:val="-20"/>
        </w:rPr>
      </w:pPr>
    </w:p>
    <w:tbl>
      <w:tblPr>
        <w:tblStyle w:val="6"/>
        <w:tblW w:w="142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55"/>
        <w:gridCol w:w="8925"/>
        <w:gridCol w:w="3004"/>
      </w:tblGrid>
      <w:tr w14:paraId="6B200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tblHeader/>
          <w:jc w:val="center"/>
        </w:trPr>
        <w:tc>
          <w:tcPr>
            <w:tcW w:w="2355" w:type="dxa"/>
            <w:vAlign w:val="center"/>
          </w:tcPr>
          <w:p w14:paraId="67788CFC"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黑体" w:eastAsia="黑体" w:cs="Times New Roman"/>
              </w:rPr>
              <w:t>重点任务</w:t>
            </w:r>
          </w:p>
        </w:tc>
        <w:tc>
          <w:tcPr>
            <w:tcW w:w="8925" w:type="dxa"/>
            <w:vAlign w:val="center"/>
          </w:tcPr>
          <w:p w14:paraId="3E70DA3D"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黑体" w:eastAsia="黑体" w:cs="Times New Roman"/>
              </w:rPr>
              <w:t>具体举措</w:t>
            </w:r>
          </w:p>
        </w:tc>
        <w:tc>
          <w:tcPr>
            <w:tcW w:w="3004" w:type="dxa"/>
            <w:vAlign w:val="center"/>
          </w:tcPr>
          <w:p w14:paraId="41310F0D">
            <w:pPr>
              <w:jc w:val="center"/>
              <w:rPr>
                <w:rFonts w:ascii="Times New Roman" w:hAnsi="Times New Roman" w:eastAsia="黑体" w:cs="Times New Roman"/>
              </w:rPr>
            </w:pPr>
            <w:r>
              <w:rPr>
                <w:rFonts w:ascii="Times New Roman" w:hAnsi="黑体" w:eastAsia="黑体" w:cs="Times New Roman"/>
              </w:rPr>
              <w:t>责任单位</w:t>
            </w:r>
          </w:p>
        </w:tc>
      </w:tr>
      <w:tr w14:paraId="22DB28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32" w:hRule="atLeast"/>
          <w:jc w:val="center"/>
        </w:trPr>
        <w:tc>
          <w:tcPr>
            <w:tcW w:w="2355" w:type="dxa"/>
            <w:vAlign w:val="center"/>
          </w:tcPr>
          <w:p w14:paraId="2A54096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（一）谋划储备项目</w:t>
            </w:r>
            <w:r>
              <w:rPr>
                <w:rFonts w:ascii="Times New Roman" w:hAnsi="Times New Roman" w:cs="Times New Roman"/>
              </w:rPr>
              <w:t>300</w:t>
            </w:r>
            <w:r>
              <w:rPr>
                <w:rFonts w:ascii="Times New Roman" w:cs="Times New Roman"/>
              </w:rPr>
              <w:t>个以上，力争纳入国省规划项目数量超过全省平均水平。</w:t>
            </w:r>
          </w:p>
        </w:tc>
        <w:tc>
          <w:tcPr>
            <w:tcW w:w="8925" w:type="dxa"/>
            <w:vAlign w:val="center"/>
          </w:tcPr>
          <w:p w14:paraId="76B1DF85">
            <w:pPr>
              <w:ind w:firstLine="420" w:firstLineChars="200"/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抓谋划储备。围绕中央预算内投资、超长期特别国债、地方政府专项债券和新型政策性金融工具等资金支持方向，加强国省政策清单梳理，结合全市发展需要，在产业发展、数字经济基础设施、交通、水利、教育、卫生、城市更新、设备更新、生态环境等重点领域，谋划一批强基础、补短板、增后劲的重大项目，积极争取更多项目纳入国省规划布局。及时将符合条件的项目录入国家重大建设项目库，争取纳入国家和省级储备库。</w:t>
            </w:r>
          </w:p>
        </w:tc>
        <w:tc>
          <w:tcPr>
            <w:tcW w:w="3004" w:type="dxa"/>
            <w:vAlign w:val="center"/>
          </w:tcPr>
          <w:p w14:paraId="1AD63A54">
            <w:pPr>
              <w:spacing w:line="250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  <w:spacing w:val="-6"/>
              </w:rPr>
              <w:t>市发改委、市工信局、市农业农村局、市林业局、市文旅广体局、市商务局、市交通运输局、市水利局、市教育局、市卫健委、市住建局、市城市管理局、市生态环境局、市市场监管局、市数据局（营商环境建设局）等相关单位</w:t>
            </w:r>
            <w:r>
              <w:rPr>
                <w:rFonts w:hint="eastAsia" w:ascii="Times New Roman" w:cs="Times New Roman"/>
                <w:spacing w:val="-6"/>
              </w:rPr>
              <w:t>，各县市区党委、政府，</w:t>
            </w:r>
            <w:r>
              <w:rPr>
                <w:rFonts w:hint="eastAsia" w:ascii="Times New Roman" w:cs="Times New Roman"/>
                <w:bCs/>
                <w:spacing w:val="-6"/>
              </w:rPr>
              <w:t>排</w:t>
            </w:r>
            <w:r>
              <w:rPr>
                <w:rFonts w:ascii="Times New Roman" w:cs="Times New Roman"/>
                <w:bCs/>
                <w:spacing w:val="-6"/>
              </w:rPr>
              <w:t>第一位</w:t>
            </w:r>
            <w:r>
              <w:rPr>
                <w:rFonts w:hint="eastAsia" w:ascii="Times New Roman" w:cs="Times New Roman"/>
                <w:bCs/>
                <w:spacing w:val="-6"/>
              </w:rPr>
              <w:t>的</w:t>
            </w:r>
            <w:r>
              <w:rPr>
                <w:rFonts w:ascii="Times New Roman" w:cs="Times New Roman"/>
                <w:bCs/>
                <w:spacing w:val="-6"/>
              </w:rPr>
              <w:t>为牵头单位</w:t>
            </w:r>
            <w:r>
              <w:rPr>
                <w:rFonts w:hint="eastAsia" w:ascii="Times New Roman" w:cs="Times New Roman"/>
                <w:bCs/>
                <w:spacing w:val="-6"/>
              </w:rPr>
              <w:t>，下同。</w:t>
            </w:r>
            <w:r>
              <w:rPr>
                <w:rFonts w:ascii="Times New Roman" w:cs="Times New Roman"/>
                <w:bCs/>
                <w:spacing w:val="-6"/>
              </w:rPr>
              <w:t>以下</w:t>
            </w:r>
            <w:r>
              <w:rPr>
                <w:rFonts w:hint="eastAsia" w:ascii="Times New Roman" w:cs="Times New Roman"/>
                <w:bCs/>
                <w:spacing w:val="-6"/>
              </w:rPr>
              <w:t>各项</w:t>
            </w:r>
            <w:r>
              <w:rPr>
                <w:rFonts w:ascii="Times New Roman" w:cs="Times New Roman"/>
                <w:bCs/>
                <w:spacing w:val="-6"/>
              </w:rPr>
              <w:t>均需县市区党委和政府</w:t>
            </w:r>
            <w:r>
              <w:rPr>
                <w:rFonts w:hint="eastAsia" w:ascii="Times New Roman" w:cs="Times New Roman"/>
                <w:bCs/>
                <w:spacing w:val="-6"/>
              </w:rPr>
              <w:t>、管理区、永州经开区</w:t>
            </w:r>
            <w:r>
              <w:rPr>
                <w:rFonts w:ascii="Times New Roman" w:cs="Times New Roman"/>
                <w:bCs/>
                <w:spacing w:val="-6"/>
              </w:rPr>
              <w:t>落实，不</w:t>
            </w:r>
            <w:r>
              <w:rPr>
                <w:rFonts w:hint="eastAsia" w:ascii="Times New Roman" w:cs="Times New Roman"/>
                <w:bCs/>
                <w:spacing w:val="-6"/>
              </w:rPr>
              <w:t>再单独列出。</w:t>
            </w:r>
          </w:p>
        </w:tc>
      </w:tr>
      <w:tr w14:paraId="48E170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89" w:hRule="atLeast"/>
          <w:jc w:val="center"/>
        </w:trPr>
        <w:tc>
          <w:tcPr>
            <w:tcW w:w="2355" w:type="dxa"/>
            <w:vAlign w:val="center"/>
          </w:tcPr>
          <w:p w14:paraId="1E1ACA8E">
            <w:pPr>
              <w:spacing w:line="280" w:lineRule="exact"/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（二）争取中央预算内投资、超长期</w:t>
            </w:r>
            <w:r>
              <w:rPr>
                <w:rFonts w:hint="eastAsia" w:ascii="Times New Roman" w:cs="Times New Roman"/>
              </w:rPr>
              <w:t>特别</w:t>
            </w:r>
            <w:r>
              <w:rPr>
                <w:rFonts w:ascii="Times New Roman" w:cs="Times New Roman"/>
              </w:rPr>
              <w:t>国债和用于项目建设的地方政府专项债券资金</w:t>
            </w:r>
            <w:r>
              <w:rPr>
                <w:rFonts w:ascii="Times New Roman" w:hAnsi="Times New Roman" w:cs="Times New Roman"/>
              </w:rPr>
              <w:t>55</w:t>
            </w:r>
            <w:r>
              <w:rPr>
                <w:rFonts w:ascii="Times New Roman" w:cs="Times New Roman"/>
              </w:rPr>
              <w:t>亿元以上。</w:t>
            </w:r>
          </w:p>
        </w:tc>
        <w:tc>
          <w:tcPr>
            <w:tcW w:w="8925" w:type="dxa"/>
            <w:vAlign w:val="center"/>
          </w:tcPr>
          <w:p w14:paraId="16F01C77">
            <w:pPr>
              <w:spacing w:line="280" w:lineRule="exact"/>
              <w:ind w:firstLine="420" w:firstLineChars="200"/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抓资金争取。抢抓</w:t>
            </w:r>
            <w:r>
              <w:rPr>
                <w:rFonts w:ascii="Times New Roman" w:hAnsi="Times New Roman" w:cs="Times New Roman"/>
              </w:rPr>
              <w:t>“</w:t>
            </w:r>
            <w:r>
              <w:rPr>
                <w:rFonts w:ascii="Times New Roman" w:cs="Times New Roman"/>
              </w:rPr>
              <w:t>两重</w:t>
            </w:r>
            <w:r>
              <w:rPr>
                <w:rFonts w:ascii="Times New Roman" w:hAnsi="Times New Roman" w:cs="Times New Roman"/>
              </w:rPr>
              <w:t>”“</w:t>
            </w:r>
            <w:r>
              <w:rPr>
                <w:rFonts w:ascii="Times New Roman" w:cs="Times New Roman"/>
              </w:rPr>
              <w:t>两新</w:t>
            </w:r>
            <w:r>
              <w:rPr>
                <w:rFonts w:ascii="Times New Roman" w:hAnsi="Times New Roman" w:cs="Times New Roman"/>
              </w:rPr>
              <w:t>”</w:t>
            </w:r>
            <w:r>
              <w:rPr>
                <w:rFonts w:ascii="Times New Roman" w:cs="Times New Roman"/>
              </w:rPr>
              <w:t>等政策机遇，围绕铁路、公路、水利、林业、教育、养老托育、卫生、以工代赈、城市更新和地下管网等细分领域，落实分条线政策指导和培训。进一步加强重大项目论证能力，提高项目科学性，扎实做好项目前期工作，拟发行的专项债券储备项目要全面完成招标程序，中央预算内投资和超长期</w:t>
            </w:r>
            <w:r>
              <w:rPr>
                <w:rFonts w:hint="eastAsia" w:ascii="Times New Roman" w:cs="Times New Roman"/>
              </w:rPr>
              <w:t>特别</w:t>
            </w:r>
            <w:r>
              <w:rPr>
                <w:rFonts w:ascii="Times New Roman" w:cs="Times New Roman"/>
              </w:rPr>
              <w:t>国债项目要实质完成初步设计及概算批复，确保达到国省资金下达发行条件。</w:t>
            </w:r>
          </w:p>
        </w:tc>
        <w:tc>
          <w:tcPr>
            <w:tcW w:w="3004" w:type="dxa"/>
            <w:vAlign w:val="center"/>
          </w:tcPr>
          <w:p w14:paraId="16C6D09F">
            <w:pPr>
              <w:spacing w:line="280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市发改委、市交通运输局、市水利局、市林业局、市教育局、市民政局、市卫健委、市住建局、市城市管理局等相关单位</w:t>
            </w:r>
          </w:p>
        </w:tc>
      </w:tr>
      <w:tr w14:paraId="7C38D6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2355" w:type="dxa"/>
            <w:vMerge w:val="restart"/>
            <w:vAlign w:val="center"/>
          </w:tcPr>
          <w:p w14:paraId="75159077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（三）项目建设和资金支付进度达到国省要求。省市重点项目年度完成投资</w:t>
            </w:r>
            <w:r>
              <w:rPr>
                <w:rFonts w:ascii="Times New Roman" w:hAnsi="Times New Roman" w:cs="Times New Roman"/>
              </w:rPr>
              <w:t>450</w:t>
            </w:r>
            <w:r>
              <w:rPr>
                <w:rFonts w:ascii="Times New Roman" w:cs="Times New Roman"/>
              </w:rPr>
              <w:t>亿元以上。</w:t>
            </w:r>
          </w:p>
        </w:tc>
        <w:tc>
          <w:tcPr>
            <w:tcW w:w="8925" w:type="dxa"/>
            <w:vAlign w:val="center"/>
          </w:tcPr>
          <w:p w14:paraId="7381F5B3">
            <w:pPr>
              <w:ind w:firstLine="420" w:firstLineChars="200"/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抓开工建设。建立前期工作台账，明确涉及的审批事项、责任单位、计划完成时间，安排专人跟踪协调，定期调度工作进展情况，实行销号管理，推动项目尽早开工。全力以赴推进项目建设，压实工作责任，细化施工方案，倒排工期、挂图作战，狠抓项目进度、质量和安全生产，确保按期建成投产。</w:t>
            </w:r>
            <w:r>
              <w:rPr>
                <w:rFonts w:ascii="Times New Roman" w:hAnsi="Times New Roman" w:cs="Times New Roman"/>
              </w:rPr>
              <w:t>“</w:t>
            </w:r>
            <w:r>
              <w:rPr>
                <w:rFonts w:ascii="Times New Roman" w:cs="Times New Roman"/>
              </w:rPr>
              <w:t>三类</w:t>
            </w:r>
            <w:r>
              <w:rPr>
                <w:rFonts w:ascii="Times New Roman" w:hAnsi="Times New Roman" w:cs="Times New Roman"/>
              </w:rPr>
              <w:t>”</w:t>
            </w:r>
            <w:r>
              <w:rPr>
                <w:rFonts w:ascii="Times New Roman" w:cs="Times New Roman"/>
              </w:rPr>
              <w:t>资金项目，要加快形成更多实物工作量并做好资金支付，避免纳入省级红黄灯预警和惩戒。</w:t>
            </w:r>
          </w:p>
        </w:tc>
        <w:tc>
          <w:tcPr>
            <w:tcW w:w="3004" w:type="dxa"/>
            <w:vAlign w:val="center"/>
          </w:tcPr>
          <w:p w14:paraId="700252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市发改委、市商务局、市财政局等相关单位</w:t>
            </w:r>
          </w:p>
        </w:tc>
      </w:tr>
      <w:tr w14:paraId="5C1B5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2355" w:type="dxa"/>
            <w:vMerge w:val="continue"/>
            <w:vAlign w:val="center"/>
          </w:tcPr>
          <w:p w14:paraId="5FFA56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25" w:type="dxa"/>
            <w:vAlign w:val="center"/>
          </w:tcPr>
          <w:p w14:paraId="066560CA">
            <w:pPr>
              <w:ind w:firstLine="420" w:firstLineChars="200"/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强化调度推进。围绕项目建设年度目标，实行任务清单、负面清单</w:t>
            </w:r>
            <w:r>
              <w:rPr>
                <w:rFonts w:ascii="Times New Roman" w:hAnsi="Times New Roman" w:cs="Times New Roman"/>
              </w:rPr>
              <w:t>“</w:t>
            </w:r>
            <w:r>
              <w:rPr>
                <w:rFonts w:ascii="Times New Roman" w:cs="Times New Roman"/>
              </w:rPr>
              <w:t>两清单</w:t>
            </w:r>
            <w:r>
              <w:rPr>
                <w:rFonts w:ascii="Times New Roman" w:hAnsi="Times New Roman" w:cs="Times New Roman"/>
              </w:rPr>
              <w:t>”</w:t>
            </w:r>
            <w:r>
              <w:rPr>
                <w:rFonts w:ascii="Times New Roman" w:cs="Times New Roman"/>
              </w:rPr>
              <w:t>调度管理，每月对省市重点项目、</w:t>
            </w:r>
            <w:r>
              <w:rPr>
                <w:rFonts w:ascii="Times New Roman" w:hAnsi="Times New Roman" w:cs="Times New Roman"/>
              </w:rPr>
              <w:t>“</w:t>
            </w:r>
            <w:r>
              <w:rPr>
                <w:rFonts w:ascii="Times New Roman" w:cs="Times New Roman"/>
              </w:rPr>
              <w:t>三类</w:t>
            </w:r>
            <w:r>
              <w:rPr>
                <w:rFonts w:ascii="Times New Roman" w:hAnsi="Times New Roman" w:cs="Times New Roman"/>
              </w:rPr>
              <w:t>”</w:t>
            </w:r>
            <w:r>
              <w:rPr>
                <w:rFonts w:ascii="Times New Roman" w:cs="Times New Roman"/>
              </w:rPr>
              <w:t>资金项目、招商引资项目的签约、开工、投资完成、资金支付等情况进行调度，将存在逾期未开工、资金支付率低、进度滞后、开工未入统等情况的项目列入负面清单，适时进行通报，并进行月整改销号，对整改成效不明显、进度缓慢的项目，报请市领导召开会议调度或深入项目现场督导，</w:t>
            </w:r>
            <w:r>
              <w:rPr>
                <w:rFonts w:hint="eastAsia" w:ascii="Times New Roman" w:cs="Times New Roman"/>
              </w:rPr>
              <w:t>推动项目加快建设</w:t>
            </w:r>
            <w:r>
              <w:rPr>
                <w:rFonts w:ascii="Times New Roman" w:cs="Times New Roman"/>
              </w:rPr>
              <w:t>。</w:t>
            </w:r>
          </w:p>
        </w:tc>
        <w:tc>
          <w:tcPr>
            <w:tcW w:w="3004" w:type="dxa"/>
            <w:vAlign w:val="center"/>
          </w:tcPr>
          <w:p w14:paraId="4614144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市发改委、市财政局、市商务局等相关单位</w:t>
            </w:r>
          </w:p>
        </w:tc>
      </w:tr>
      <w:tr w14:paraId="0E5A7C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2355" w:type="dxa"/>
            <w:vMerge w:val="continue"/>
            <w:vAlign w:val="center"/>
          </w:tcPr>
          <w:p w14:paraId="2DCCF84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925" w:type="dxa"/>
            <w:vAlign w:val="center"/>
          </w:tcPr>
          <w:p w14:paraId="41FB66A6">
            <w:pPr>
              <w:ind w:firstLine="420" w:firstLineChars="200"/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强化协调服务。持续开展重大项目</w:t>
            </w:r>
            <w:r>
              <w:rPr>
                <w:rFonts w:ascii="Times New Roman" w:hAnsi="Times New Roman" w:cs="Times New Roman"/>
              </w:rPr>
              <w:t>“</w:t>
            </w:r>
            <w:r>
              <w:rPr>
                <w:rFonts w:ascii="Times New Roman" w:cs="Times New Roman"/>
              </w:rPr>
              <w:t>送解优</w:t>
            </w:r>
            <w:r>
              <w:rPr>
                <w:rFonts w:ascii="Times New Roman" w:hAnsi="Times New Roman" w:cs="Times New Roman"/>
              </w:rPr>
              <w:t>”</w:t>
            </w:r>
            <w:r>
              <w:rPr>
                <w:rFonts w:ascii="Times New Roman" w:cs="Times New Roman"/>
              </w:rPr>
              <w:t>走访帮扶活动，对项目单位反映的资金、用地用林、环评水保、配套设施、施工环境等方面问题及时进行协调办理，紧盯问题办结时限，跟踪调度责任单位办理进度，直至问题办结销号。进一步健全协同、高效、便捷的政务服务帮代办体系，提前介入指导，全程跟踪协办，加快项目审批事项办理，优化项目落地全流程服务。根据项目融资需求，常态化开展政银企投融资对接，健全驻永金融机构服务项目建设评价机制，引导金融机构创新服务支持项目建设。围绕项目建设用地需求，提前研判项目用地的制约因素，进一步提高用地选址精准度，从</w:t>
            </w:r>
            <w:r>
              <w:rPr>
                <w:rFonts w:ascii="Times New Roman" w:hAnsi="Times New Roman" w:cs="Times New Roman"/>
              </w:rPr>
              <w:t>“</w:t>
            </w:r>
            <w:r>
              <w:rPr>
                <w:rFonts w:ascii="Times New Roman" w:cs="Times New Roman"/>
              </w:rPr>
              <w:t>征、批、供、用</w:t>
            </w:r>
            <w:r>
              <w:rPr>
                <w:rFonts w:ascii="Times New Roman" w:hAnsi="Times New Roman" w:cs="Times New Roman"/>
              </w:rPr>
              <w:t>”</w:t>
            </w:r>
            <w:r>
              <w:rPr>
                <w:rFonts w:ascii="Times New Roman" w:cs="Times New Roman"/>
              </w:rPr>
              <w:t>等环节完善项目用地保障机制。</w:t>
            </w:r>
          </w:p>
        </w:tc>
        <w:tc>
          <w:tcPr>
            <w:tcW w:w="3004" w:type="dxa"/>
            <w:vAlign w:val="center"/>
          </w:tcPr>
          <w:p w14:paraId="5D299F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市发改委、市数据局（营商环境建设局）、市政府办、市自然资源和规划局、市林业局、市生态环境局、市水利局、市公安局等相关单位</w:t>
            </w:r>
          </w:p>
        </w:tc>
      </w:tr>
      <w:tr w14:paraId="691B78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7" w:hRule="atLeast"/>
          <w:jc w:val="center"/>
        </w:trPr>
        <w:tc>
          <w:tcPr>
            <w:tcW w:w="2355" w:type="dxa"/>
            <w:vAlign w:val="center"/>
          </w:tcPr>
          <w:p w14:paraId="513FCD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（四）实现固定资产投资增长</w:t>
            </w:r>
            <w:r>
              <w:rPr>
                <w:rFonts w:ascii="Times New Roman" w:hAnsi="Times New Roman" w:cs="Times New Roman"/>
              </w:rPr>
              <w:t>2%</w:t>
            </w:r>
            <w:r>
              <w:rPr>
                <w:rFonts w:ascii="Times New Roman" w:cs="Times New Roman"/>
              </w:rPr>
              <w:t>以上，民间投资和高技投资占比稳中有升。</w:t>
            </w:r>
          </w:p>
        </w:tc>
        <w:tc>
          <w:tcPr>
            <w:tcW w:w="8925" w:type="dxa"/>
            <w:vAlign w:val="center"/>
          </w:tcPr>
          <w:p w14:paraId="097476A0">
            <w:pPr>
              <w:ind w:firstLine="420" w:firstLineChars="200"/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抓投资入库。重点抓项目入库和投资报数环节，县市区、行业主管部门和统计部门要</w:t>
            </w:r>
            <w:r>
              <w:rPr>
                <w:rFonts w:hint="eastAsia" w:ascii="Times New Roman" w:cs="Times New Roman"/>
              </w:rPr>
              <w:t>加强</w:t>
            </w:r>
            <w:r>
              <w:rPr>
                <w:rFonts w:ascii="Times New Roman" w:cs="Times New Roman"/>
              </w:rPr>
              <w:t>联动，形成工作合力。县市区政府要担负起属地责任，相关市直部门要压实</w:t>
            </w:r>
            <w:r>
              <w:rPr>
                <w:rFonts w:ascii="Times New Roman" w:hAnsi="Times New Roman" w:cs="Times New Roman"/>
              </w:rPr>
              <w:t>“</w:t>
            </w:r>
            <w:r>
              <w:rPr>
                <w:rFonts w:ascii="Times New Roman" w:cs="Times New Roman"/>
              </w:rPr>
              <w:t>管行业必须管投资</w:t>
            </w:r>
            <w:r>
              <w:rPr>
                <w:rFonts w:ascii="Times New Roman" w:hAnsi="Times New Roman" w:cs="Times New Roman"/>
              </w:rPr>
              <w:t>”</w:t>
            </w:r>
            <w:r>
              <w:rPr>
                <w:rFonts w:ascii="Times New Roman" w:cs="Times New Roman"/>
              </w:rPr>
              <w:t>责任，统计部门要加强业务指导和信息反馈。对已开工项目和获得中央资金的建设项目，原则上要全部统计入库</w:t>
            </w:r>
            <w:r>
              <w:rPr>
                <w:rFonts w:hint="eastAsia" w:ascii="Times New Roman" w:cs="Times New Roman"/>
              </w:rPr>
              <w:t>；</w:t>
            </w:r>
            <w:r>
              <w:rPr>
                <w:rFonts w:ascii="Times New Roman" w:cs="Times New Roman"/>
              </w:rPr>
              <w:t>对在库剩余投资较多的在建项目，要在加快建设进度的基础上争取全部解锁报数。对需解锁项目，县市区和相关部门督促指导项目单位加紧做好资料准备，确保相关资料完备，项目应解尽解，投资应报尽报、颗粒归仓。</w:t>
            </w:r>
          </w:p>
        </w:tc>
        <w:tc>
          <w:tcPr>
            <w:tcW w:w="3004" w:type="dxa"/>
            <w:vAlign w:val="center"/>
          </w:tcPr>
          <w:p w14:paraId="0085FAF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/>
              </w:rPr>
              <w:t>市发改委、市统计局等相关单位</w:t>
            </w:r>
          </w:p>
        </w:tc>
      </w:tr>
    </w:tbl>
    <w:p w14:paraId="52CE3274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Heiti SC Light">
    <w:altName w:val="仿宋"/>
    <w:panose1 w:val="00000000000000000000"/>
    <w:charset w:val="00"/>
    <w:family w:val="auto"/>
    <w:pitch w:val="default"/>
    <w:sig w:usb0="00000000" w:usb1="00000000" w:usb2="00000000" w:usb3="00000000" w:csb0="203E0000" w:csb1="00000000"/>
  </w:font>
  <w:font w:name="方正小标宋_GBK">
    <w:altName w:val="Arial Unicode MS"/>
    <w:panose1 w:val="02000000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215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widowControl/>
      <w:jc w:val="center"/>
    </w:pPr>
    <w:rPr>
      <w:rFonts w:ascii="Heiti SC Light" w:hAnsi="Heiti SC Light" w:eastAsia="黑体" w:cs="Times New Roman"/>
      <w:sz w:val="44"/>
    </w:rPr>
  </w:style>
  <w:style w:type="paragraph" w:styleId="3">
    <w:name w:val="header"/>
    <w:basedOn w:val="1"/>
    <w:next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Administrator.2016-20170517BZ</dc:creator>
  <cp:lastModifiedBy>行走</cp:lastModifiedBy>
  <dcterms:modified xsi:type="dcterms:W3CDTF">2026-04-03T03:07:35Z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eyJoZGlkIjoiNWJkMDk4MTMzNGNiNmU5OWIyZDkyZTk2ZDNkMzdjZjgiLCJ1c2VySWQiOiI2Mjg1NjMwODYifQ==</vt:lpwstr>
  </property>
  <property fmtid="{D5CDD505-2E9C-101B-9397-08002B2CF9AE}" pid="4" name="ICV">
    <vt:lpwstr>631DAEBA24194A559503F6BAADB115AF_12</vt:lpwstr>
  </property>
</Properties>
</file>