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rPr>
          <w:rFonts w:eastAsia="黑体"/>
          <w:b w:val="0"/>
          <w:sz w:val="32"/>
          <w:szCs w:val="32"/>
        </w:rPr>
      </w:pPr>
      <w:bookmarkStart w:id="5" w:name="_GoBack"/>
      <w:bookmarkEnd w:id="5"/>
      <w:bookmarkStart w:id="0" w:name="_Toc20484751"/>
      <w:r>
        <w:rPr>
          <w:rFonts w:eastAsia="黑体"/>
          <w:b w:val="0"/>
          <w:sz w:val="32"/>
          <w:szCs w:val="32"/>
        </w:rPr>
        <w:t>附件3</w:t>
      </w:r>
    </w:p>
    <w:p>
      <w:pPr>
        <w:jc w:val="center"/>
        <w:rPr>
          <w:rFonts w:ascii="Times New Roman" w:hAnsi="Times New Roman" w:eastAsia="仿宋" w:cs="Times New Roman"/>
          <w:b/>
          <w:szCs w:val="21"/>
        </w:rPr>
      </w:pPr>
    </w:p>
    <w:p>
      <w:pPr>
        <w:jc w:val="center"/>
        <w:rPr>
          <w:rFonts w:ascii="Times New Roman" w:hAnsi="Times New Roman" w:eastAsia="仿宋" w:cs="Times New Roman"/>
          <w:b/>
          <w:szCs w:val="21"/>
        </w:rPr>
      </w:pPr>
    </w:p>
    <w:p>
      <w:pPr>
        <w:jc w:val="center"/>
        <w:rPr>
          <w:rFonts w:ascii="Times New Roman" w:hAnsi="Times New Roman" w:eastAsia="仿宋" w:cs="Times New Roman"/>
          <w:b/>
          <w:szCs w:val="21"/>
        </w:rPr>
      </w:pPr>
    </w:p>
    <w:p>
      <w:pPr>
        <w:jc w:val="center"/>
        <w:rPr>
          <w:rFonts w:ascii="Times New Roman" w:hAnsi="Times New Roman" w:eastAsia="方正小标宋简体" w:cs="Times New Roman"/>
          <w:b/>
          <w:sz w:val="44"/>
          <w:szCs w:val="44"/>
        </w:rPr>
      </w:pPr>
    </w:p>
    <w:p>
      <w:pPr>
        <w:spacing w:line="348" w:lineRule="auto"/>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永州市生态环境管控基本要求（2023版）</w:t>
      </w:r>
    </w:p>
    <w:bookmarkEnd w:id="0"/>
    <w:p>
      <w:pPr>
        <w:spacing w:line="360" w:lineRule="auto"/>
        <w:jc w:val="center"/>
        <w:rPr>
          <w:rFonts w:ascii="Times New Roman" w:hAnsi="Times New Roman" w:eastAsia="仿宋" w:cs="Times New Roman"/>
          <w:kern w:val="0"/>
          <w:szCs w:val="21"/>
        </w:rPr>
      </w:pPr>
    </w:p>
    <w:p>
      <w:pPr>
        <w:spacing w:line="360" w:lineRule="auto"/>
        <w:jc w:val="center"/>
        <w:rPr>
          <w:rFonts w:ascii="Times New Roman" w:hAnsi="Times New Roman" w:eastAsia="仿宋" w:cs="Times New Roman"/>
          <w:kern w:val="0"/>
          <w:szCs w:val="21"/>
        </w:rPr>
      </w:pPr>
    </w:p>
    <w:p>
      <w:pPr>
        <w:spacing w:line="360" w:lineRule="auto"/>
        <w:jc w:val="center"/>
        <w:rPr>
          <w:rFonts w:ascii="Times New Roman" w:hAnsi="Times New Roman" w:eastAsia="仿宋" w:cs="Times New Roman"/>
          <w:kern w:val="0"/>
          <w:szCs w:val="21"/>
        </w:rPr>
      </w:pPr>
    </w:p>
    <w:p>
      <w:pPr>
        <w:widowControl/>
        <w:jc w:val="lef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br w:type="page"/>
      </w:r>
    </w:p>
    <w:p>
      <w:pPr>
        <w:widowControl/>
        <w:spacing w:line="360" w:lineRule="auto"/>
        <w:jc w:val="center"/>
        <w:rPr>
          <w:rFonts w:ascii="Times New Roman" w:hAnsi="Times New Roman" w:eastAsia="仿宋" w:cs="Times New Roman"/>
          <w:color w:val="000000"/>
          <w:kern w:val="0"/>
          <w:szCs w:val="21"/>
        </w:rPr>
        <w:sectPr>
          <w:headerReference r:id="rId3" w:type="default"/>
          <w:footerReference r:id="rId4" w:type="default"/>
          <w:pgSz w:w="16838" w:h="11906" w:orient="landscape"/>
          <w:pgMar w:top="1134" w:right="1701" w:bottom="1134" w:left="1701" w:header="851" w:footer="992" w:gutter="0"/>
          <w:pgNumType w:start="0"/>
          <w:cols w:space="425" w:num="1"/>
          <w:docGrid w:type="lines" w:linePitch="312" w:charSpace="0"/>
        </w:sectPr>
      </w:pPr>
    </w:p>
    <w:p>
      <w:pPr>
        <w:widowControl/>
        <w:spacing w:line="360" w:lineRule="auto"/>
        <w:jc w:val="center"/>
        <w:rPr>
          <w:rFonts w:hint="eastAsia" w:ascii="方正小标宋简体" w:hAnsi="方正小标宋简体" w:eastAsia="方正小标宋简体" w:cs="方正小标宋简体"/>
          <w:kern w:val="0"/>
          <w:sz w:val="40"/>
          <w:szCs w:val="40"/>
        </w:rPr>
      </w:pPr>
      <w:r>
        <w:rPr>
          <w:rFonts w:hint="eastAsia" w:ascii="方正小标宋简体" w:hAnsi="方正小标宋简体" w:eastAsia="方正小标宋简体" w:cs="方正小标宋简体"/>
          <w:color w:val="000000"/>
          <w:kern w:val="0"/>
          <w:sz w:val="40"/>
          <w:szCs w:val="40"/>
        </w:rPr>
        <w:t>生态环境准入清单体系及使用说明</w:t>
      </w:r>
    </w:p>
    <w:p>
      <w:pPr>
        <w:widowControl/>
        <w:spacing w:line="360" w:lineRule="auto"/>
        <w:ind w:firstLine="420" w:firstLineChars="200"/>
        <w:jc w:val="left"/>
        <w:rPr>
          <w:rFonts w:ascii="Times New Roman" w:hAnsi="Times New Roman" w:eastAsia="仿宋" w:cs="Times New Roman"/>
          <w:color w:val="000000"/>
          <w:kern w:val="0"/>
          <w:szCs w:val="21"/>
        </w:rPr>
      </w:pPr>
    </w:p>
    <w:p>
      <w:pPr>
        <w:widowControl/>
        <w:spacing w:line="360" w:lineRule="auto"/>
        <w:ind w:firstLine="420" w:firstLineChars="200"/>
        <w:jc w:val="left"/>
        <w:rPr>
          <w:rFonts w:ascii="Times New Roman" w:hAnsi="Times New Roman" w:eastAsia="仿宋" w:cs="Times New Roman"/>
          <w:kern w:val="0"/>
          <w:szCs w:val="21"/>
        </w:rPr>
      </w:pPr>
      <w:r>
        <w:rPr>
          <w:rFonts w:ascii="Times New Roman" w:hAnsi="Times New Roman" w:eastAsia="仿宋" w:cs="Times New Roman"/>
          <w:color w:val="000000"/>
          <w:kern w:val="0"/>
          <w:szCs w:val="21"/>
        </w:rPr>
        <w:t xml:space="preserve">一、生态环境准入清单体系 </w:t>
      </w:r>
    </w:p>
    <w:p>
      <w:pPr>
        <w:widowControl/>
        <w:spacing w:line="360" w:lineRule="auto"/>
        <w:ind w:firstLine="420" w:firstLineChars="200"/>
        <w:jc w:val="lef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全省建立“1+4+14+875”的四级生态环境准入清单管控体系，以下简称“准入清单”。</w:t>
      </w:r>
    </w:p>
    <w:p>
      <w:pPr>
        <w:widowControl/>
        <w:spacing w:line="360" w:lineRule="auto"/>
        <w:ind w:firstLine="420" w:firstLineChars="200"/>
        <w:jc w:val="lef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“1”是指针对全省优先保护单元、重点管控单元、一般管控单元制定的省级生态环境总体管控要求，体现环境管控单元的基础性、底线性要求。</w:t>
      </w:r>
    </w:p>
    <w:p>
      <w:pPr>
        <w:widowControl/>
        <w:spacing w:line="360" w:lineRule="auto"/>
        <w:ind w:firstLine="420" w:firstLineChars="200"/>
        <w:jc w:val="lef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 “4”是指针对省级以上产业园区及“长株潭、洞庭湖、湘南、大湘西”区域四大板块的生态环境总体管控要求，体现 环境管控单元所在区域的特色性、规范性要求。</w:t>
      </w:r>
    </w:p>
    <w:p>
      <w:pPr>
        <w:widowControl/>
        <w:spacing w:line="360" w:lineRule="auto"/>
        <w:ind w:firstLine="420" w:firstLineChars="200"/>
        <w:jc w:val="lef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“14”为市级生态环境总体管控要求，体现环境管控单元所在市州的地域性、适用性要求，由市州人民政府组织编制、发布和实施。</w:t>
      </w:r>
    </w:p>
    <w:p>
      <w:pPr>
        <w:widowControl/>
        <w:spacing w:line="360" w:lineRule="auto"/>
        <w:ind w:firstLine="420" w:firstLineChars="200"/>
        <w:jc w:val="lef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“875”为环境管控单元生态环境准入清单，分为省级以上产业园区单元（139）和其它环境管控单元（736），体现各环境管控单元的差异性、落地性要求。 </w:t>
      </w:r>
    </w:p>
    <w:p>
      <w:pPr>
        <w:widowControl/>
        <w:spacing w:line="360" w:lineRule="auto"/>
        <w:ind w:firstLine="420" w:firstLineChars="200"/>
        <w:jc w:val="left"/>
        <w:rPr>
          <w:rFonts w:ascii="Times New Roman" w:hAnsi="Times New Roman" w:eastAsia="仿宋" w:cs="Times New Roman"/>
          <w:kern w:val="0"/>
          <w:szCs w:val="21"/>
        </w:rPr>
      </w:pPr>
      <w:r>
        <w:rPr>
          <w:rFonts w:ascii="Times New Roman" w:hAnsi="Times New Roman" w:eastAsia="仿宋" w:cs="Times New Roman"/>
          <w:color w:val="000000"/>
          <w:kern w:val="0"/>
          <w:szCs w:val="21"/>
        </w:rPr>
        <w:t xml:space="preserve">二、生态环境准入清单使用说明 </w:t>
      </w:r>
    </w:p>
    <w:p>
      <w:pPr>
        <w:widowControl/>
        <w:spacing w:line="360" w:lineRule="auto"/>
        <w:ind w:firstLine="420" w:firstLineChars="200"/>
        <w:jc w:val="lef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 湖南省生态环境分区管控总体管控要求是“1+4+14+875”四级准入清单管控体系的基础性、底线性要求，全省各级准入清单均应执行。全省各级准入清单执行过程中涉及与湖南省生态环境总体管控要求不一致的，按照法律效力高的、最新的、最严格的管控要求执行。</w:t>
      </w:r>
    </w:p>
    <w:p>
      <w:pPr>
        <w:widowControl/>
        <w:spacing w:line="360" w:lineRule="auto"/>
        <w:ind w:firstLine="420" w:firstLineChars="200"/>
        <w:jc w:val="lef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 本市各环境管控单元应当同时执行全省生态环境总体管控要求、永州市生态环境管控基本要求、省级以上产业园区生态环境准入清单、其他环境管控单元生态环境准入清单的相关规定。根据环境管控单元所涉及的区域、流域的各环境、资源要素属性，自上而下依次查阅湖南省生态环境总体管控要求、市级管控基本要求和环境管控单元准入清单，分层级明确各环境管控单元应执行的管控要求。</w:t>
      </w:r>
    </w:p>
    <w:p>
      <w:pPr>
        <w:widowControl/>
        <w:spacing w:line="360" w:lineRule="auto"/>
        <w:ind w:firstLine="420" w:firstLineChars="200"/>
        <w:jc w:val="left"/>
        <w:rPr>
          <w:rFonts w:ascii="Times New Roman" w:hAnsi="Times New Roman" w:eastAsia="仿宋" w:cs="Times New Roman"/>
          <w:kern w:val="0"/>
          <w:szCs w:val="21"/>
        </w:rPr>
      </w:pPr>
      <w:r>
        <w:rPr>
          <w:rFonts w:ascii="Times New Roman" w:hAnsi="Times New Roman" w:eastAsia="仿宋" w:cs="Times New Roman"/>
          <w:color w:val="000000"/>
          <w:kern w:val="0"/>
          <w:szCs w:val="21"/>
        </w:rPr>
        <w:t xml:space="preserve">3.管控要求存在不一致时，按以下规则进行协调：优先执行编制依据的法律效力更高的；优先执行同一机关单位最新制定的；优先执行对环境保护更为有利的。管控对象发生变化后，按最新的管控对象进行管控；具体环境问题解决或特定产业、企业退出以后，经生态环境主管部门确认，相应管控要求原则上不再执行。 </w:t>
      </w:r>
    </w:p>
    <w:p>
      <w:pPr>
        <w:widowControl/>
        <w:spacing w:line="360" w:lineRule="auto"/>
        <w:ind w:firstLine="420" w:firstLineChars="200"/>
        <w:jc w:val="left"/>
        <w:rPr>
          <w:rFonts w:ascii="Times New Roman" w:hAnsi="Times New Roman" w:eastAsia="仿宋" w:cs="Times New Roman"/>
          <w:kern w:val="0"/>
          <w:szCs w:val="21"/>
        </w:rPr>
      </w:pPr>
      <w:r>
        <w:rPr>
          <w:rFonts w:ascii="Times New Roman" w:hAnsi="Times New Roman" w:eastAsia="仿宋" w:cs="Times New Roman"/>
          <w:color w:val="000000"/>
          <w:kern w:val="0"/>
          <w:szCs w:val="21"/>
        </w:rPr>
        <w:t xml:space="preserve">4. 清单既有时效性，又有延续性。如管控要求所依据的相关规章、政策文件、规划、计划、方案等（合称“编制依据”）发生更新，对同一事项的要求发生变化，则以新的要求为准；如编制依据已全部或部分废止，则相关条文不再执行；在编制依据既未废止亦未更新、与上位或同级新的规定也不相冲突的情况下，出自过期编制依据（如“十三五”期间的有关规划、2023 年及以前的污染防治攻坚战行动计划和方案等）的管控要求持续有效。对具体管控要求的效力有争议时，由市生态环境局负责解释。 </w:t>
      </w:r>
    </w:p>
    <w:p>
      <w:pPr>
        <w:widowControl/>
        <w:spacing w:line="360" w:lineRule="auto"/>
        <w:ind w:firstLine="420" w:firstLineChars="200"/>
        <w:jc w:val="left"/>
        <w:rPr>
          <w:rFonts w:ascii="Times New Roman" w:hAnsi="Times New Roman" w:eastAsia="仿宋" w:cs="Times New Roman"/>
          <w:kern w:val="0"/>
          <w:szCs w:val="21"/>
        </w:rPr>
      </w:pPr>
      <w:r>
        <w:rPr>
          <w:rFonts w:ascii="Times New Roman" w:hAnsi="Times New Roman" w:eastAsia="仿宋" w:cs="Times New Roman"/>
          <w:color w:val="000000"/>
          <w:kern w:val="0"/>
          <w:szCs w:val="21"/>
        </w:rPr>
        <w:t xml:space="preserve">三、相关要求 </w:t>
      </w:r>
    </w:p>
    <w:p>
      <w:pPr>
        <w:widowControl/>
        <w:spacing w:line="360" w:lineRule="auto"/>
        <w:ind w:firstLine="420" w:firstLineChars="200"/>
        <w:jc w:val="left"/>
        <w:rPr>
          <w:rFonts w:ascii="Times New Roman" w:hAnsi="Times New Roman" w:eastAsia="仿宋" w:cs="Times New Roman"/>
          <w:kern w:val="0"/>
          <w:szCs w:val="21"/>
        </w:rPr>
      </w:pPr>
      <w:r>
        <w:rPr>
          <w:rFonts w:ascii="Times New Roman" w:hAnsi="Times New Roman" w:eastAsia="仿宋" w:cs="Times New Roman"/>
          <w:color w:val="000000"/>
          <w:kern w:val="0"/>
          <w:szCs w:val="21"/>
        </w:rPr>
        <w:t xml:space="preserve">1. 永州市生态环境管控基本要求和其余74个环境管控单元生态环境准入清单的编制依据发生变化调整时，应按调整后的最新要求执行，同时对其中相关管控要求进行动态更新。 </w:t>
      </w:r>
    </w:p>
    <w:p>
      <w:pPr>
        <w:widowControl/>
        <w:spacing w:line="360" w:lineRule="auto"/>
        <w:ind w:firstLine="420" w:firstLineChars="200"/>
        <w:jc w:val="left"/>
        <w:rPr>
          <w:rFonts w:ascii="Times New Roman" w:hAnsi="Times New Roman" w:eastAsia="仿宋" w:cs="Times New Roman"/>
          <w:kern w:val="0"/>
          <w:szCs w:val="21"/>
        </w:rPr>
        <w:sectPr>
          <w:headerReference r:id="rId5" w:type="default"/>
          <w:footerReference r:id="rId6" w:type="default"/>
          <w:pgSz w:w="16838" w:h="11906" w:orient="landscape"/>
          <w:pgMar w:top="1134" w:right="1701" w:bottom="1134" w:left="1701" w:header="851" w:footer="992" w:gutter="0"/>
          <w:pgNumType w:fmt="upperRoman" w:start="1"/>
          <w:cols w:space="425" w:num="1"/>
          <w:docGrid w:type="lines" w:linePitch="312" w:charSpace="0"/>
        </w:sectPr>
      </w:pPr>
      <w:r>
        <w:rPr>
          <w:rFonts w:ascii="Times New Roman" w:hAnsi="Times New Roman" w:eastAsia="仿宋" w:cs="Times New Roman"/>
          <w:color w:val="000000"/>
          <w:kern w:val="0"/>
          <w:szCs w:val="21"/>
        </w:rPr>
        <w:t>2. 永州市生态环境局配合省生态环境厅每5年组织开展全市生态环境分区管控实施情况评估，充分听取县市区人民政府提出的更新调整意见，依据评估情况编制生态环境分区管控更新调整方案，按规定报批发布。5年内因国家与地方重大发展战略实施、生态保护红线、自然保护地和生态环境质量目标等调整，生态环境分区管控成果需要按程序开展动态更新，更新内容涉及省级方案调整的，由市人民政府向省生态环境厅提出申请。省生态环境厅对市人民政府上报的更新方案组织审定后，由市生态环境局根据审定意见组织进行调整更新。更新内容不涉及省级方案调整的，其更新调整程序由市级结合实际情况自行确定。更新调整情况由市生态环境局汇总后报省生态环境厅备案。</w:t>
      </w:r>
    </w:p>
    <w:tbl>
      <w:tblPr>
        <w:tblStyle w:val="21"/>
        <w:tblW w:w="14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92"/>
        <w:gridCol w:w="7738"/>
        <w:gridCol w:w="4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4" w:type="dxa"/>
            <w:vAlign w:val="center"/>
          </w:tcPr>
          <w:p>
            <w:pPr>
              <w:jc w:val="center"/>
              <w:rPr>
                <w:rFonts w:ascii="Times New Roman" w:hAnsi="Times New Roman" w:eastAsia="仿宋" w:cs="Times New Roman"/>
                <w:b/>
                <w:bCs/>
                <w:szCs w:val="21"/>
              </w:rPr>
            </w:pPr>
            <w:r>
              <w:rPr>
                <w:rFonts w:ascii="Times New Roman" w:hAnsi="Times New Roman" w:eastAsia="仿宋" w:cs="Times New Roman"/>
                <w:b/>
                <w:bCs/>
                <w:szCs w:val="21"/>
              </w:rPr>
              <w:t>管控内容</w:t>
            </w:r>
          </w:p>
        </w:tc>
        <w:tc>
          <w:tcPr>
            <w:tcW w:w="1192" w:type="dxa"/>
            <w:vAlign w:val="center"/>
          </w:tcPr>
          <w:p>
            <w:pPr>
              <w:jc w:val="center"/>
              <w:rPr>
                <w:rFonts w:ascii="Times New Roman" w:hAnsi="Times New Roman" w:eastAsia="仿宋" w:cs="Times New Roman"/>
                <w:b/>
                <w:bCs/>
                <w:szCs w:val="21"/>
              </w:rPr>
            </w:pPr>
            <w:r>
              <w:rPr>
                <w:rFonts w:ascii="Times New Roman" w:hAnsi="Times New Roman" w:eastAsia="仿宋" w:cs="Times New Roman"/>
                <w:b/>
                <w:bCs/>
                <w:szCs w:val="21"/>
              </w:rPr>
              <w:t>管控维度</w:t>
            </w:r>
          </w:p>
        </w:tc>
        <w:tc>
          <w:tcPr>
            <w:tcW w:w="7738" w:type="dxa"/>
            <w:vAlign w:val="center"/>
          </w:tcPr>
          <w:p>
            <w:pPr>
              <w:jc w:val="center"/>
              <w:rPr>
                <w:rFonts w:ascii="Times New Roman" w:hAnsi="Times New Roman" w:eastAsia="仿宋" w:cs="Times New Roman"/>
                <w:b/>
                <w:bCs/>
                <w:szCs w:val="21"/>
              </w:rPr>
            </w:pPr>
            <w:r>
              <w:rPr>
                <w:rFonts w:ascii="Times New Roman" w:hAnsi="Times New Roman" w:eastAsia="仿宋" w:cs="Times New Roman"/>
                <w:b/>
                <w:bCs/>
                <w:szCs w:val="21"/>
              </w:rPr>
              <w:t>管控要求</w:t>
            </w:r>
          </w:p>
        </w:tc>
        <w:tc>
          <w:tcPr>
            <w:tcW w:w="4863" w:type="dxa"/>
            <w:vAlign w:val="center"/>
          </w:tcPr>
          <w:p>
            <w:pPr>
              <w:jc w:val="center"/>
              <w:rPr>
                <w:rFonts w:ascii="Times New Roman" w:hAnsi="Times New Roman" w:eastAsia="仿宋" w:cs="Times New Roman"/>
                <w:b/>
                <w:bCs/>
                <w:szCs w:val="21"/>
              </w:rPr>
            </w:pPr>
            <w:r>
              <w:rPr>
                <w:rFonts w:ascii="Times New Roman" w:hAnsi="Times New Roman" w:eastAsia="仿宋" w:cs="Times New Roman"/>
                <w:b/>
                <w:bCs/>
                <w:szCs w:val="21"/>
              </w:rPr>
              <w:t>编制依据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通用</w:t>
            </w:r>
          </w:p>
        </w:tc>
        <w:tc>
          <w:tcPr>
            <w:tcW w:w="1192"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空间布局约束</w:t>
            </w:r>
          </w:p>
        </w:tc>
        <w:tc>
          <w:tcPr>
            <w:tcW w:w="7738" w:type="dxa"/>
            <w:vAlign w:val="center"/>
          </w:tcPr>
          <w:p>
            <w:pPr>
              <w:pStyle w:val="8"/>
              <w:ind w:firstLine="422" w:firstLineChars="200"/>
              <w:rPr>
                <w:rFonts w:eastAsia="仿宋"/>
                <w:b/>
                <w:bCs/>
                <w:kern w:val="2"/>
                <w:sz w:val="21"/>
                <w:szCs w:val="21"/>
              </w:rPr>
            </w:pPr>
            <w:r>
              <w:rPr>
                <w:rFonts w:eastAsia="仿宋"/>
                <w:b/>
                <w:bCs/>
                <w:kern w:val="2"/>
                <w:sz w:val="21"/>
                <w:szCs w:val="21"/>
              </w:rPr>
              <w:t>1、主体功能区定位</w:t>
            </w:r>
          </w:p>
        </w:tc>
        <w:tc>
          <w:tcPr>
            <w:tcW w:w="4863" w:type="dxa"/>
            <w:vAlign w:val="center"/>
          </w:tcPr>
          <w:p>
            <w:pP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健全主体功能分区分类引导机制。城市化地区应提升城市功能，带动全域经济社会发展，引导产业集群发展，优化布局交通、水利、能源、环境保护等重大基础设施，强化促进区域协调发展的支撑作用，重点增强经济和人口承载能力。</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农产品主产区应完善农业创新体系，着力改善农业生产条件，打造以精细农业为特色的优质农副产品供应基地，提升农产品供给保障能力，确保粮食安全。</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重点生态功能区应注重创新生态保护模式，维护生态系统服务功能、推进山水林田湖草沙系统治理，实施产业准入禁止限制目录制度，提高生态系统服务功能，确保区域生态安全。</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历史文化资源富集区依托人文和自然景观资源适度拓展文化旅游功能，适当放宽旅游用地指标。</w:t>
            </w:r>
          </w:p>
        </w:tc>
        <w:tc>
          <w:tcPr>
            <w:tcW w:w="4863" w:type="dxa"/>
            <w:vAlign w:val="center"/>
          </w:tcPr>
          <w:p>
            <w:pPr>
              <w:pStyle w:val="8"/>
              <w:rPr>
                <w:rFonts w:eastAsia="仿宋"/>
                <w:sz w:val="21"/>
                <w:szCs w:val="21"/>
              </w:rPr>
            </w:pPr>
            <w:r>
              <w:rPr>
                <w:rFonts w:eastAsia="仿宋"/>
                <w:sz w:val="21"/>
                <w:szCs w:val="21"/>
              </w:rPr>
              <w:t>《永州市国土空间总体规划（2021-2035年）》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市域共划分为生态保护区、生态控制区、农田保护区、城镇发展区、乡村发展区和矿产能源发展区6类一级规划分区，实行差异管理。</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生态保护区是具有特殊重要生态功能或生态敏感脆弱、必须强制性严格保护的陆地自然区域。生态保护区严格落实生态保护红线管控要求。</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生态控制区以生态保护与修复为主导用途，原则上应予以保留原貌、强化生态保育和生态建设、限制开发建设。在不降低生态功能、不破坏生态系统且符合空间准入、强度控制和风貌管控要求的前提下，可进行适度的开发利用和结构布局调整。</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农田保护区是为保障国家粮食安全，依法确定不得擅自占用或改变用途、实施特殊保护的永久基本农田集中区域。农田保护区重点用于粮食生产，原则上严禁开发建设活动，符合法定条件的重点项目难以避让永久基本农田的，必须进行严格论证并按照有关要求调整补划。</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城镇发展区主要用于城镇建设，是允许开展城镇开发建设行为的核心区域，应实现详细规划全覆盖，按照详细规划进行精细化管理。</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乡村发展区内应以促进农业和乡村特色产业发展、改善农民生产生活条件为导向，统筹协调村庄建设、农田和生态保护。鼓励开展农业特色产业配套设施建设和村庄建设整治。</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矿产能源发展区应严格执行国土空间用途管制制度，严格矿产资源开采规划准入管理，严禁在饮用水源保护区、自然保护地等环境敏感区、重要生态功能保护区内开发利用矿产资源。协调该区与城镇发展区的关系，避免城镇建设压覆或者尽量减少压覆重要矿产资源。</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《永州市国土空间总体规划（2021-2035年）》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按《永州市湘江源头区域国家生态文明先行示范区生态补偿管理暂行办法》实施生态补偿。生态补偿的行政区域范围为蓝山县、宁远县、江华瑶族自治县等湘江源头区域县生态环境功能区规划中确定的禁止开发区（禁止准入区）和限制开发区（限制准入区）。生态补偿的项目对象范围主要为生态公益林、重要湿地、集中式饮用水水源保护区、风景名胜区以及重点生态功能区确定要保护的其他区域。　</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《永州市人民政府办公室关于印发&lt;永州市湘江源头区域国家生态文明先行示范区生态补偿管理暂行办法&gt;的通知》（永政办发〔2016〕47号）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2" w:firstLineChars="200"/>
              <w:rPr>
                <w:rFonts w:ascii="Times New Roman" w:hAnsi="Times New Roman" w:eastAsia="仿宋" w:cs="Times New Roman"/>
                <w:b/>
                <w:bCs/>
                <w:szCs w:val="21"/>
              </w:rPr>
            </w:pPr>
            <w:r>
              <w:rPr>
                <w:rFonts w:ascii="Times New Roman" w:hAnsi="Times New Roman" w:eastAsia="仿宋" w:cs="Times New Roman"/>
                <w:b/>
                <w:bCs/>
                <w:szCs w:val="21"/>
              </w:rPr>
              <w:t>2、产业结构和布局调整</w:t>
            </w:r>
          </w:p>
        </w:tc>
        <w:tc>
          <w:tcPr>
            <w:tcW w:w="4863" w:type="dxa"/>
            <w:vAlign w:val="center"/>
          </w:tcPr>
          <w:p>
            <w:pP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着力转变经济发展方式，加快构建现代产业体系，继续推进传统产业转型升级，大力发展战略性新兴产业，积极探索绿色经济政策，争取国家低碳经济、绿色经济、循环经济有关项目落户永州市。</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《永州市固体废物污染防治规划（2019~2025年） 》（2019年4月）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完善城镇功能分区，加强城镇市政设施与产业园区基础设施对接共享，实现城镇发展与产业布局有效衔接。把各类产业园区纳入城镇统一规划，强化城镇对产业园区的支撑保障。</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《永州市国民经济和社会发展第十四个五年规划和二0三五年远景目标纲要》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加快推进承接产业转移示范区建设，实施先进制造业倍增、新兴产业培育、市场主体培优、产业链供应链提升、军民融合发展、品牌提升“六大工程”，打造先进装备制造、电子信息、新材料、农产品精深加工、生物医药、轻纺箱包制鞋六大制造产业集群。</w:t>
            </w:r>
          </w:p>
        </w:tc>
        <w:tc>
          <w:tcPr>
            <w:tcW w:w="4863" w:type="dxa"/>
            <w:vAlign w:val="center"/>
          </w:tcPr>
          <w:p>
            <w:pPr>
              <w:widowControl/>
              <w:jc w:val="left"/>
              <w:rPr>
                <w:rFonts w:ascii="Times New Roman" w:hAnsi="Times New Roman" w:eastAsia="仿宋" w:cs="Times New Roman"/>
                <w:szCs w:val="21"/>
              </w:rPr>
            </w:pPr>
            <w:r>
              <w:rPr>
                <w:rFonts w:ascii="Times New Roman" w:hAnsi="Times New Roman" w:eastAsia="仿宋" w:cs="Times New Roman"/>
                <w:szCs w:val="21"/>
              </w:rPr>
              <w:t>《永州市国民经济和社会发展第十四个五年规划和二0三五年远景目标纲要》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聚焦电子信息、生物医药、新材料等产业链关键环节，加大重要产品和重大技术装备科技攻关力度，推广先进适用技术，推动产业链整体升级。加强国际、国内产业合作，推动上下游供应链的多元化布局，完善重大项目、装备、零部件供应多元化采购制度。</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《永州市国民经济和社会发展第十四个五年规划和二0三五年远景目标纲要》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大力振兴先进装备制造业，积极承接电子信息等新一代信息技术产业，加快提升矿产开发和加工、生物医药业，加速壮大农林产品深加工业、轻纺制鞋产业，着力培育高技术产业，积极发展文化旅游业和现代物流，构建特色鲜明、具有较强竞争力的现代产业体系。</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充分发挥永州市优良生态环境、丰富生态资源的优势，积极打造资源节约型和环境友好型的产业结构和实施路径，积极发展生态旅游产业、康养产业、农产品加工产业等绿色产业，结合永州市乡村振兴农村人居环境改造、现代农业产业园、田园综合体、特色小镇等项目的实施，促进产业融合，延伸产业链，提高农业产品附加值。加大对产业融合发展、绿色生态农业的支持，促进农业资源可持续利用，增强农业产业的整体竞争力。</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《永州市承接产业转移示范区发展规划（2019-2025年）》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autoSpaceDE w:val="0"/>
              <w:autoSpaceDN w:val="0"/>
              <w:adjustRightInd w:val="0"/>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调整优化产业布局。积极引导城市建成区等环境敏感区域重污染企业逐步退出，持续开展专项执法行动，防止已取缔的“十小”企业反弹。</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w:t>
            </w:r>
            <w:bookmarkStart w:id="1" w:name="OLE_LINK2"/>
            <w:r>
              <w:rPr>
                <w:rFonts w:ascii="Times New Roman" w:hAnsi="Times New Roman" w:eastAsia="仿宋" w:cs="Times New Roman"/>
                <w:szCs w:val="21"/>
              </w:rPr>
              <w:t>“十四五”规划</w:t>
            </w:r>
            <w:bookmarkEnd w:id="1"/>
          </w:p>
          <w:p>
            <w:pPr>
              <w:rPr>
                <w:rFonts w:ascii="Times New Roman" w:hAnsi="Times New Roman" w:eastAsia="仿宋" w:cs="Times New Roman"/>
                <w:strike/>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autoSpaceDE w:val="0"/>
              <w:autoSpaceDN w:val="0"/>
              <w:adjustRightInd w:val="0"/>
              <w:ind w:firstLine="420" w:firstLineChars="200"/>
              <w:jc w:val="left"/>
              <w:rPr>
                <w:rFonts w:ascii="Times New Roman" w:hAnsi="Times New Roman" w:eastAsia="仿宋" w:cs="Times New Roman"/>
                <w:szCs w:val="21"/>
              </w:rPr>
            </w:pPr>
            <w:bookmarkStart w:id="2" w:name="_Toc42593069"/>
            <w:r>
              <w:rPr>
                <w:rFonts w:ascii="Times New Roman" w:hAnsi="Times New Roman" w:eastAsia="仿宋" w:cs="Times New Roman"/>
                <w:szCs w:val="21"/>
              </w:rPr>
              <w:t>推进重点防控行业合理布局</w:t>
            </w:r>
            <w:bookmarkEnd w:id="2"/>
            <w:r>
              <w:rPr>
                <w:rFonts w:ascii="Times New Roman" w:hAnsi="Times New Roman" w:eastAsia="仿宋" w:cs="Times New Roman"/>
                <w:szCs w:val="21"/>
              </w:rPr>
              <w:t>。危险化学品生产、使用、储存企业布局应纳入区域发展规划、国土空间规划中统筹安排，合理布局产业园区和建设项目。在环境敏感区域内划定特征污染物类重点防控化学品限排区域，一律不得新建、扩建危险化学品生产、使用、储存项目，逐步搬迁已有企业。</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积极化解水泥、砖瓦、锰矿、有色等过剩行业产能，依法依规淘汰落后产能，严禁未经批准新增煤炭、水泥、电解铝等行业产能。</w:t>
            </w:r>
          </w:p>
        </w:tc>
        <w:tc>
          <w:tcPr>
            <w:tcW w:w="4863" w:type="dxa"/>
            <w:vAlign w:val="center"/>
          </w:tcPr>
          <w:p>
            <w:pPr>
              <w:widowControl/>
              <w:jc w:val="left"/>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严控化工、建材、有色、电镀、印染等高污染项目的审批，禁止新建、扩建落后产能项目，严控高污染高能耗企业入园。</w:t>
            </w:r>
          </w:p>
        </w:tc>
        <w:tc>
          <w:tcPr>
            <w:tcW w:w="4863" w:type="dxa"/>
            <w:vAlign w:val="center"/>
          </w:tcPr>
          <w:p>
            <w:pPr>
              <w:widowControl/>
              <w:jc w:val="left"/>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2" w:firstLineChars="200"/>
              <w:rPr>
                <w:rFonts w:ascii="Times New Roman" w:hAnsi="Times New Roman" w:eastAsia="仿宋" w:cs="Times New Roman"/>
                <w:szCs w:val="21"/>
              </w:rPr>
            </w:pPr>
            <w:r>
              <w:rPr>
                <w:rFonts w:ascii="Times New Roman" w:hAnsi="Times New Roman" w:eastAsia="仿宋" w:cs="Times New Roman"/>
                <w:b/>
                <w:bCs/>
                <w:szCs w:val="21"/>
              </w:rPr>
              <w:t>3、禁捕规定</w:t>
            </w:r>
            <w:r>
              <w:rPr>
                <w:rFonts w:ascii="Times New Roman" w:hAnsi="Times New Roman" w:eastAsia="仿宋" w:cs="Times New Roman"/>
                <w:szCs w:val="21"/>
              </w:rPr>
              <w:t>：严格落实长江“十年禁渔”，保护生物多样性。严格落实长江十年禁渔。长江流域禁捕退捕工作涉及我市东安、双牌、冷水滩、零陵、祁阳、道县、江华和蓝山共8个县市区（江华和蓝山无退捕任务），其中东安和双牌2个国家级水产种质资源保护区从2020年1月1日0时起，其他县市区从2021年1月1日0时起，已全面永久性禁止天然渔业资源的生产性捕捞（暂定10年）。</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restart"/>
            <w:vAlign w:val="center"/>
          </w:tcPr>
          <w:p>
            <w:pPr>
              <w:ind w:left="-134" w:leftChars="-64" w:right="-160" w:rightChars="-76" w:firstLine="1"/>
              <w:jc w:val="center"/>
              <w:rPr>
                <w:rFonts w:ascii="Times New Roman" w:hAnsi="Times New Roman" w:eastAsia="仿宋" w:cs="Times New Roman"/>
                <w:szCs w:val="21"/>
              </w:rPr>
            </w:pPr>
            <w:r>
              <w:rPr>
                <w:rFonts w:ascii="Times New Roman" w:hAnsi="Times New Roman" w:eastAsia="仿宋" w:cs="Times New Roman"/>
                <w:szCs w:val="21"/>
              </w:rPr>
              <w:t>污染物排放管控</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实行排污总量管理,新建、改建、扩建项目以及其他需要新增排污权的，需在首次申领或申请换发排污许可证前获得排污权指标。</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《湖南省生态环境厅关于印发&lt;湖南省主要污染物排污权有偿使用和交易实施细则&gt;的通知》（湘环发〔2024〕3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建立重金属重点防控区域总量控制机制，完善涉重金属产业准入条件，严格控制重金属污染物排放项目的总体规模。</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建立入河排污口管理长效机制。建立市级和区县入河排污口排查、监测、溯源、整治等工作规范体系。</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推动高耗能燃煤锅炉全面淘汰退出；新建涉及VOCs排放的工业企业要入园区，实行区域内 VOCs 排放等量削减替代。</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对能耗和污染物排放量相对较大的企业安装空气在线自动监控系统，对治理设施进行有效监控。</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《永州市承接产业转移示范区发展规划（2019-2025年）》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trike/>
                <w:szCs w:val="21"/>
              </w:rPr>
            </w:pPr>
            <w:r>
              <w:rPr>
                <w:rFonts w:ascii="Times New Roman" w:hAnsi="Times New Roman" w:eastAsia="仿宋" w:cs="Times New Roman"/>
                <w:szCs w:val="21"/>
              </w:rPr>
              <w:t>全面开展水泥行业超低排放改造，深入开展锅炉窑炉深度治理和简易低效处理设施排查，对高排放重点行业开展专项整治，全面提升污染治理水平。</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《2024 年永州市深入打好污染防治攻坚战工作方案》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全面推行工业企业清洁生产和超低排放改造，深入推进能源、冶金、建材、有色、农副食品加工等行业强制性清洁生产审核。到 2025 年，全部落实强制性清洁生产审核方案要求，推动重点行业完成限制类产能装备的升级改造。</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推进电器电子、汽车等重点产品有毒有害物质限制使用。</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《永州市承接产业转移示范区发展规划（2019-2025年）》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推进工业集聚区水污染治理。开展湘江沿江化工污染整治，落实湘江干流（永州段）及主要支流岸线一公里范围内不准新建、扩建化工园区和化工项目要求，依法淘汰取缔违法违规工业园区。</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推进水环境综合整治。强化千吨万人饮用水源地水源保护区整治，对保护区内农村生活污水、生活垃圾进行综合治理。</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《永州市国民经济和社会发展第十四个五年规划和二0三五年远景目标纲要》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autoSpaceDE w:val="0"/>
              <w:autoSpaceDN w:val="0"/>
              <w:adjustRightInd w:val="0"/>
              <w:ind w:firstLine="420" w:firstLineChars="200"/>
              <w:rPr>
                <w:rFonts w:ascii="Times New Roman" w:hAnsi="Times New Roman" w:eastAsia="仿宋" w:cs="Times New Roman"/>
                <w:szCs w:val="21"/>
              </w:rPr>
            </w:pPr>
            <w:r>
              <w:rPr>
                <w:rFonts w:ascii="Times New Roman" w:hAnsi="Times New Roman" w:eastAsia="仿宋" w:cs="Times New Roman"/>
                <w:szCs w:val="21"/>
              </w:rPr>
              <w:t>认真落实《湖南省推进水污染重点行业实施清洁化改造方案》，推动企业按期完成改造任务。全面推进工业污染源达标计划，建立完善“散乱污”企业整治动态管理机制，加快处置“散乱污”企业。</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控制初期雨水污染，根据区域内水生态环境保护需求，因地制宜提出初期雨水截留纳管、初期雨水处理设施建设等任务。</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强化生活垃圾分类。建设分类投放、分类收集、分类运输、分类处置的生活垃圾分类处理系统，完善农村生活垃圾分类收集、转运和处置体系。到2025年全省地级城市基本建成生活垃圾分类处理系统。</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积极推进生活垃圾焚烧发电项目建设，强力提升生活垃圾焚烧发电厂产生的飞灰综合利用率，减少填埋量。到2025年市城市生活垃圾无害化处理率100%，设市城市生活垃圾焚烧处理能力占比</w:t>
            </w:r>
            <w:r>
              <w:rPr>
                <w:rFonts w:hint="eastAsia" w:ascii="宋体" w:hAnsi="宋体" w:eastAsia="宋体" w:cs="宋体"/>
                <w:szCs w:val="21"/>
              </w:rPr>
              <w:t>≧</w:t>
            </w:r>
            <w:r>
              <w:rPr>
                <w:rFonts w:ascii="Times New Roman" w:hAnsi="Times New Roman" w:eastAsia="仿宋" w:cs="Times New Roman"/>
                <w:szCs w:val="21"/>
              </w:rPr>
              <w:t>65%。</w:t>
            </w:r>
          </w:p>
        </w:tc>
        <w:tc>
          <w:tcPr>
            <w:tcW w:w="4863" w:type="dxa"/>
            <w:vAlign w:val="center"/>
          </w:tcPr>
          <w:p>
            <w:pPr>
              <w:rPr>
                <w:rFonts w:ascii="Times New Roman" w:hAnsi="Times New Roman" w:eastAsia="仿宋" w:cs="Times New Roman"/>
                <w:strike/>
                <w:szCs w:val="21"/>
              </w:rPr>
            </w:pPr>
            <w:r>
              <w:rPr>
                <w:rFonts w:ascii="Times New Roman" w:hAnsi="Times New Roman" w:eastAsia="仿宋" w:cs="Times New Roman"/>
                <w:szCs w:val="21"/>
              </w:rPr>
              <w:t>《湖南省“十四五”固体废物环境管理规划》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推进城乡垃圾分类收集工作，建设餐厨垃圾处理示范工程，完善垃圾无害化处理设施建设，确保中心城市、县城和建制镇生活垃圾得到妥善处置。鼓励垃圾焚烧和垃圾循环利用取代垃圾填埋，积极推进垃圾焚烧发电项目，在有条件的区县推广垃圾焚烧，偏远乡镇因地制宜采取分布式垃圾处理措施，禁止倾倒、简单填埋及焚烧。</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《永州市固体废物污染防治规划（2019~2025年）》（2019年4月）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充分利用工业窑炉、水泥窑等设施消纳尾矿、粉煤灰、煤矸石、炉渣、冶炼废渣、 脱硫石膏等一般工业固体废物，构建以水泥、建材、冶金等行业为核心的一般工业固体废物综合利用系统，提高一般工业固体废物综合利用率。</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《湖南省“十四五”固体废物环境管理规划》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环境风险防控</w:t>
            </w:r>
          </w:p>
        </w:tc>
        <w:tc>
          <w:tcPr>
            <w:tcW w:w="7738" w:type="dxa"/>
            <w:vAlign w:val="center"/>
          </w:tcPr>
          <w:p>
            <w:pPr>
              <w:ind w:firstLine="422" w:firstLineChars="200"/>
              <w:rPr>
                <w:rFonts w:ascii="Times New Roman" w:hAnsi="Times New Roman" w:eastAsia="仿宋" w:cs="Times New Roman"/>
                <w:b/>
                <w:bCs/>
                <w:szCs w:val="21"/>
              </w:rPr>
            </w:pPr>
            <w:r>
              <w:rPr>
                <w:rFonts w:ascii="Times New Roman" w:hAnsi="Times New Roman" w:eastAsia="仿宋" w:cs="Times New Roman"/>
                <w:b/>
                <w:bCs/>
                <w:szCs w:val="21"/>
              </w:rPr>
              <w:t>1、环境风险防控体系</w:t>
            </w:r>
          </w:p>
        </w:tc>
        <w:tc>
          <w:tcPr>
            <w:tcW w:w="4863" w:type="dxa"/>
            <w:vAlign w:val="center"/>
          </w:tcPr>
          <w:p>
            <w:pP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提升应急处置能力。制定切实可行的危险化学品和尾矿库环境风险防范措施和突发环境事件应急预案，加强各级应急预案建设和管理。建立区域尾矿库和危险化学品突发环境事件应急管理信息系统，将重大环境风险源、应急预案、物资储备、人员调度等信息纳入应急系统。</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widowControl/>
              <w:ind w:firstLine="420" w:firstLineChars="200"/>
              <w:jc w:val="left"/>
              <w:rPr>
                <w:rFonts w:ascii="Times New Roman" w:hAnsi="Times New Roman" w:eastAsia="仿宋" w:cs="Times New Roman"/>
                <w:strike/>
                <w:szCs w:val="21"/>
              </w:rPr>
            </w:pPr>
            <w:r>
              <w:rPr>
                <w:rFonts w:ascii="Times New Roman" w:hAnsi="Times New Roman" w:eastAsia="仿宋" w:cs="Times New Roman"/>
                <w:szCs w:val="21"/>
              </w:rPr>
              <w:t>定期排查影响水源安全的风险隐患，制定并及时更新水源突发环境事件应急预案。健全多层级、网络化环境应急物资储备体系，建设省级环境应急物资储备库，加强跨流域等区域物资储备，建立环境应急物资信息管理系统，建设省级环境应急实训基地。</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autoSpaceDE w:val="0"/>
              <w:autoSpaceDN w:val="0"/>
              <w:adjustRightInd w:val="0"/>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提升应急处置能力。制定切实可行的危险化学品和尾矿库环境风险防范措施和突发环境事件应急预案，加强各级应急预案建设和管理。企业应定期开展环境应急培训，加大应急预案演练频次和力度，提高预案的操作性和有效性。建设区域环境应急联防联控体系，建立紧密协同、快速反应的工作机制。建立区域尾矿库和危险化学品突发环境事件应急管理信息系统，将重大环境风险源、应急预案、物资储备、人员调度等信息纳入应急系统。加强危险化学品突发环境事件应急处置救援队伍建设，对重大环境风险源建立综合性防控工程设施。</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autoSpaceDE w:val="0"/>
              <w:autoSpaceDN w:val="0"/>
              <w:adjustRightInd w:val="0"/>
              <w:ind w:firstLine="422" w:firstLineChars="200"/>
              <w:jc w:val="left"/>
              <w:rPr>
                <w:rFonts w:ascii="Times New Roman" w:hAnsi="Times New Roman" w:eastAsia="仿宋" w:cs="Times New Roman"/>
                <w:b/>
                <w:bCs/>
                <w:szCs w:val="21"/>
              </w:rPr>
            </w:pPr>
            <w:r>
              <w:rPr>
                <w:rFonts w:ascii="Times New Roman" w:hAnsi="Times New Roman" w:eastAsia="仿宋" w:cs="Times New Roman"/>
                <w:b/>
                <w:bCs/>
                <w:szCs w:val="21"/>
              </w:rPr>
              <w:t>2、危险废物收集处置</w:t>
            </w:r>
          </w:p>
        </w:tc>
        <w:tc>
          <w:tcPr>
            <w:tcW w:w="4863" w:type="dxa"/>
            <w:vAlign w:val="center"/>
          </w:tcPr>
          <w:p>
            <w:pP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autoSpaceDE w:val="0"/>
              <w:autoSpaceDN w:val="0"/>
              <w:adjustRightInd w:val="0"/>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积极探索危险废物源头减量，选择重点行业开展危险废物减量化试点工作。落实产生者责任延伸制度，开展工业产品生态设计，减少有毒有害物质的使用量。重点在危险废物产生行业和企业中，推行强制性清洁生产审核。鼓励开发和应用有利于减少危险废物产生量和危险害性的废水、废气治理技术。</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《永州市固体废物污染防治规划（2019~2025年） 》（2019年4月）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autoSpaceDE w:val="0"/>
              <w:autoSpaceDN w:val="0"/>
              <w:adjustRightInd w:val="0"/>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加强主要危险废物利用与无害化处置。对不同类别、不同危害特性的危险废物实行分类管理，鼓励、扶持有条件的危险废物处置设施同时配备综合利用工艺装置，按综合利用、焚烧、安全填埋“三位一体”的模式设计、建设危险废物处置设施，做到可利用危废首先回收利用后再焚烧、填埋。因地制宜制定专项危险废物利用发展规划，推动分类收集与专业化、规模化和园区化利用。在危险废物产生量多的企业或园区，积极稳妥发展分类收集、分类贮存和预处理服务行业。优化固体废物处置、利用设施建设和布局。完善固体废物污染防治设施，原则上禁止超期贮存危险废物，对现有技术水平无法安全利用处置的危险废物做好风险防控。</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《永州市固体废物污染防治规划（2019~2025年） 》（2019年4月）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snapToGrid w:val="0"/>
              <w:ind w:firstLine="420" w:firstLineChars="200"/>
              <w:rPr>
                <w:rFonts w:ascii="Times New Roman" w:hAnsi="Times New Roman" w:eastAsia="仿宋" w:cs="Times New Roman"/>
                <w:szCs w:val="21"/>
              </w:rPr>
            </w:pPr>
            <w:r>
              <w:rPr>
                <w:rFonts w:ascii="Times New Roman" w:hAnsi="Times New Roman" w:eastAsia="仿宋" w:cs="Times New Roman"/>
                <w:szCs w:val="21"/>
              </w:rPr>
              <w:t>立足区域、统筹周边地市，优化危险固体废物处理设施布局。各区（县）应对危险废物收集网络布局进行科学规划，合理确定经营单位数，防止出现散而乱的局面。本市范围内无相应危险废物产生的，不规划新建收集、处理设施；我市产生量少的危险废物优先协调衡阳、郴州等周边地市处置；统筹考虑衡阳危险废物处置中心的集中处置需求，有序开展大中型新型干法水泥企业协同处理危险废物的工作，鼓励使用水泥回转窑等工业窑炉处置危险废物。对达不到年设计经营规模能力50%的和管理技术水平不能与国家政策发展要求相符的经营单位不再延续经营许可证。</w:t>
            </w:r>
          </w:p>
          <w:p>
            <w:pPr>
              <w:autoSpaceDE w:val="0"/>
              <w:autoSpaceDN w:val="0"/>
              <w:adjustRightInd w:val="0"/>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持有市级和区、县（市）环保部门发放危险废物收集、处置许可证的单位，经营活动范围限定在永州市，不得将外地市危险废物收集至永州市内贮存、处置。</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《永州市固体废物污染防治规划（2019~2025年） 》（2019年4月）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autoSpaceDE w:val="0"/>
              <w:autoSpaceDN w:val="0"/>
              <w:adjustRightInd w:val="0"/>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统筹规划、试点开展来源于第三产业及居民日常生产生活等社会源危险废物收集工作。加强非工业源源危险废物收集、暂存、转运网络建设。引导开展废弃荧光灯、实验室废物、4S店和汽车维修点废矿物油等社会源危险废物的收集、转运与处置工作。</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《永州市固体废物污染防治规划（2019~2025年） 》（2019年4月）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严格危险废物建设项目环境准入。新、改、扩建危险废物经营许可项目立项与审批时应符合现行法律法规和生态环境分区管控要求，进入相应规划工业园区，同时充分考虑省内危险废物产生情况、与已建项目形成资源耦合、与末端利用处置形成能力匹配，原则上不再新建有机类危险废物热（裂）解处理项目。</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《湖南省“十四五”固体废物环境管理规划》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autoSpaceDE w:val="0"/>
              <w:autoSpaceDN w:val="0"/>
              <w:adjustRightInd w:val="0"/>
              <w:ind w:firstLine="422" w:firstLineChars="200"/>
              <w:jc w:val="left"/>
              <w:rPr>
                <w:rFonts w:ascii="Times New Roman" w:hAnsi="Times New Roman" w:eastAsia="仿宋" w:cs="Times New Roman"/>
                <w:b/>
                <w:bCs/>
                <w:szCs w:val="21"/>
              </w:rPr>
            </w:pPr>
            <w:r>
              <w:rPr>
                <w:rFonts w:ascii="Times New Roman" w:hAnsi="Times New Roman" w:eastAsia="仿宋" w:cs="Times New Roman"/>
                <w:b/>
                <w:bCs/>
                <w:szCs w:val="21"/>
              </w:rPr>
              <w:t xml:space="preserve">3、医疗废物收集处置 </w:t>
            </w:r>
          </w:p>
        </w:tc>
        <w:tc>
          <w:tcPr>
            <w:tcW w:w="4863" w:type="dxa"/>
            <w:vAlign w:val="center"/>
          </w:tcPr>
          <w:p>
            <w:pP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4"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snapToGrid w:val="0"/>
              <w:ind w:firstLine="420" w:firstLineChars="200"/>
              <w:rPr>
                <w:rFonts w:ascii="Times New Roman" w:hAnsi="Times New Roman" w:eastAsia="仿宋" w:cs="Times New Roman"/>
                <w:szCs w:val="21"/>
              </w:rPr>
            </w:pPr>
            <w:r>
              <w:rPr>
                <w:rFonts w:ascii="Times New Roman" w:hAnsi="Times New Roman" w:eastAsia="仿宋" w:cs="Times New Roman"/>
                <w:szCs w:val="21"/>
              </w:rPr>
              <w:t>立足永州市医疗废物处置中心，完善危险废物及医疗废物收运及监管体系，完善市县二级危险废物管理动态数据库和重点危废企业视频监控系统，实现危险废物和医疗废物安全处置，集中处置设施正常运行。</w:t>
            </w:r>
          </w:p>
          <w:p>
            <w:pPr>
              <w:snapToGrid w:val="0"/>
              <w:ind w:firstLine="420" w:firstLineChars="200"/>
              <w:rPr>
                <w:rFonts w:ascii="Times New Roman" w:hAnsi="Times New Roman" w:eastAsia="仿宋" w:cs="Times New Roman"/>
                <w:szCs w:val="21"/>
              </w:rPr>
            </w:pPr>
            <w:r>
              <w:rPr>
                <w:rFonts w:ascii="Times New Roman" w:hAnsi="Times New Roman" w:eastAsia="仿宋" w:cs="Times New Roman"/>
                <w:szCs w:val="21"/>
              </w:rPr>
              <w:t>加强收集体系建设，实现辖区内所有县、区、管理区医疗废物统一收集、集中处置。鼓励采取高温蒸汽处理、化学消毒和微波消毒等非焚烧方式，建设县级医疗废物贮存设施。制定并动态调整疫情期间医疗废物应急处置预案，建立卫生、环保等多部门联动机制，提高疫情期间医疗废物应急处置能力。建立以处置方式为导向的医疗废物分类方法并开展试点示范。到2025年底，全市建立完善的医疗废物收运机制。</w:t>
            </w:r>
          </w:p>
          <w:p>
            <w:pPr>
              <w:autoSpaceDE w:val="0"/>
              <w:autoSpaceDN w:val="0"/>
              <w:adjustRightInd w:val="0"/>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加强医疗废物流向监控，逐步实施医疗废物运输车辆跟踪管理。推行医疗废物分类收集，对未被污染的输液瓶（袋）加强统一管理，严禁混入针头、一次性输液器、输液管等医疗废物。将乡镇卫生院和村卫生室医疗废物分类和贮存设备纳入农村基层医疗卫生机构能力建设范围。环保部门会同农业部门试点将宠物医院医疗废物的回收、转运和处理纳入集中处置范围。</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《永州市固体废物污染防治规划（2019~2025年） 》（2019年4月）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4"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autoSpaceDE w:val="0"/>
              <w:autoSpaceDN w:val="0"/>
              <w:adjustRightInd w:val="0"/>
              <w:ind w:firstLine="422" w:firstLineChars="200"/>
              <w:jc w:val="left"/>
              <w:rPr>
                <w:rFonts w:ascii="Times New Roman" w:hAnsi="Times New Roman" w:eastAsia="仿宋" w:cs="Times New Roman"/>
                <w:szCs w:val="21"/>
              </w:rPr>
            </w:pPr>
            <w:r>
              <w:rPr>
                <w:rFonts w:ascii="Times New Roman" w:hAnsi="Times New Roman" w:eastAsia="仿宋" w:cs="Times New Roman"/>
                <w:b/>
                <w:bCs/>
                <w:szCs w:val="21"/>
              </w:rPr>
              <w:t>4、电子废物回收利用</w:t>
            </w:r>
            <w:r>
              <w:rPr>
                <w:rFonts w:ascii="Times New Roman" w:hAnsi="Times New Roman" w:eastAsia="仿宋" w:cs="Times New Roman"/>
                <w:szCs w:val="21"/>
              </w:rPr>
              <w:t>：建立电子废物回收利用体系，加强电子废物污染防治的环境监管，明确电子电器生产者和经营者回收和处理废旧产品的责任。规划建设废弃电器电子产品拆解处理企业，完善回收体系。加快推动覆盖全市城乡的废弃电器电子产品、电子电气设备及其废弃零部件回收网络建设，规划期内建成覆盖全市电子废物回收利用场所，不断提高电子废物的回收率和处理能力，防止电子废物污染环境。加强对电子废物的拆解、利用和处置环节的监督管理，严格要求企业对拆解过程中产生的危险废物（如废旧显示器CRT玻璃、制冷剂CFC和PCBs物质）分类集中收集、建立台账，明确危险废物去向及处置情况，确保电子废物拆解处理产生的危险废物全部得到安全处置。</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《永州市固体废物污染防治规划（2019~2025年） 》（2019年4月）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5"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2" w:firstLineChars="200"/>
              <w:rPr>
                <w:rFonts w:ascii="Times New Roman" w:hAnsi="Times New Roman" w:eastAsia="仿宋" w:cs="Times New Roman"/>
                <w:szCs w:val="21"/>
              </w:rPr>
            </w:pPr>
            <w:r>
              <w:rPr>
                <w:rFonts w:ascii="Times New Roman" w:hAnsi="Times New Roman" w:eastAsia="仿宋" w:cs="Times New Roman"/>
                <w:b/>
                <w:bCs/>
                <w:szCs w:val="21"/>
              </w:rPr>
              <w:t>5、水源地安全保障</w:t>
            </w:r>
            <w:r>
              <w:rPr>
                <w:rFonts w:ascii="Times New Roman" w:hAnsi="Times New Roman" w:eastAsia="仿宋" w:cs="Times New Roman"/>
                <w:szCs w:val="21"/>
              </w:rPr>
              <w:t>：充分考虑市级和县级水源地应急供水需求，根据水源地安全保障规划，有序推进城市应急备用水源工程建设和配套管网等设施建设。定期排查影响水源安全的风险隐患，制定并及时更新水源突发环境事件应急预案，及时依法公布预警信息，积极开展应急演练，不断加强应急能力建设。公安、交通运输部门合理划定危险化学品运输禁行路段，加强道路交通安全管理，强化危险化学品运输管控。完善保护区风险源名录和风险防控方案，定期开展饮用水水源地周边环境安全隐患排查及饮用水水源地风险评估和应急演练，加强饮用水水源保护区应急物质储备，定期维护事故应急池和导流设施和防护工程设施，提升应急监测能力。</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2" w:firstLineChars="200"/>
              <w:rPr>
                <w:rFonts w:ascii="Times New Roman" w:hAnsi="Times New Roman" w:eastAsia="仿宋" w:cs="Times New Roman"/>
                <w:szCs w:val="21"/>
              </w:rPr>
            </w:pPr>
            <w:r>
              <w:rPr>
                <w:rFonts w:ascii="Times New Roman" w:hAnsi="Times New Roman" w:eastAsia="仿宋" w:cs="Times New Roman"/>
                <w:b/>
                <w:bCs/>
                <w:szCs w:val="21"/>
              </w:rPr>
              <w:t>6、地下水污染防治</w:t>
            </w:r>
            <w:r>
              <w:rPr>
                <w:rFonts w:ascii="Times New Roman" w:hAnsi="Times New Roman" w:eastAsia="仿宋" w:cs="Times New Roman"/>
                <w:szCs w:val="21"/>
              </w:rPr>
              <w:t>：开展“一企一库”“两场两区”（即化学品生产企业、尾矿库、危险废物处置场、垃圾填埋场、工业集聚区、矿山开采区）地下水环境状况调查评估，评估地下水环境风险。</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开发利用污染企业场地和其他可能污染地下水的场地，要明确修复及治理的责任主体和技术要求，按照“谁污染、谁治理”的原则，被污染的土壤或地下水，由造成污染的单位和个人负责修复和治理。污水灌溉的水质要达到灌溉用水水质标准。</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定期开展污灌区地下水监测，健全污水灌溉管理体系。</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2" w:firstLineChars="200"/>
              <w:rPr>
                <w:rFonts w:ascii="Times New Roman" w:hAnsi="Times New Roman" w:eastAsia="仿宋" w:cs="Times New Roman"/>
                <w:b/>
                <w:bCs/>
                <w:szCs w:val="21"/>
              </w:rPr>
            </w:pPr>
            <w:r>
              <w:rPr>
                <w:rFonts w:ascii="Times New Roman" w:hAnsi="Times New Roman" w:eastAsia="仿宋" w:cs="Times New Roman"/>
                <w:b/>
                <w:bCs/>
                <w:szCs w:val="21"/>
              </w:rPr>
              <w:t>7、土壤及重金属污染风险管控</w:t>
            </w:r>
          </w:p>
        </w:tc>
        <w:tc>
          <w:tcPr>
            <w:tcW w:w="4863" w:type="dxa"/>
            <w:vAlign w:val="center"/>
          </w:tcPr>
          <w:p>
            <w:pP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持续加强污染源头管理，提升土壤环境监测、监管能力，实现全市土壤环境监测点位所有县市区全覆盖。</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严格建设用地土壤污染风险管控。依法开展土壤污染状况调查和风险评估，严格污染地块再开发利用准入管理。</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pStyle w:val="8"/>
              <w:spacing w:after="0"/>
              <w:ind w:firstLine="420" w:firstLineChars="200"/>
              <w:rPr>
                <w:rFonts w:eastAsia="仿宋"/>
                <w:sz w:val="21"/>
                <w:szCs w:val="21"/>
              </w:rPr>
            </w:pPr>
            <w:r>
              <w:rPr>
                <w:rFonts w:eastAsia="仿宋"/>
                <w:kern w:val="2"/>
                <w:sz w:val="21"/>
                <w:szCs w:val="21"/>
              </w:rPr>
              <w:t>对拟开发利用为居住用地和商业、学校、医疗、养老机构等公共设施用地的污染地块，经风险评估确认不符合用地要求需要治理与修复的，按照“谁污染、谁治理”的原则开展治理修复，消除污染隐患，保障后续土地流转。</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《永州市“十四五”土壤污染防治专项规划》（2021年12月）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按照环境影响评价和环境风险评估的结果，对土地利用布局进行合理规划和调整，及时规避土地利用中可能出现的环境风险隐患。加强环境风险管控，建立事前风险防范、事中应急响应、事后损害评估与环境修复等各环节过程管理体系。</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《永州市“十四五”土壤污染防治专项规划》（2021年12月）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加强含重金属渣污染防治。加强重点行业管理，开展重点地区污染整治，推进污染场地治理与修复工作。加强推进历史遗留重金属渣污染治理，全面摸清遗留涉重金属固体废物堆存点、重金属污染场地、河道底泥重金属污染情况，统筹安排治理资金和项目，优先实施环境风险较大的污染场地、河道底泥污染治理。推动历史遗留危险废物利用处置以历史遗留含砷废渣以及位于环境敏感区域的其他历史遗留危险废物为重点，研究制定综合整治方案和开展工程示范。</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《永州市固体废物污染防治规划（2019~2025年） 》（2019年4月）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pStyle w:val="8"/>
              <w:keepNext w:val="0"/>
              <w:keepLines w:val="0"/>
              <w:pageBreakBefore w:val="0"/>
              <w:widowControl w:val="0"/>
              <w:kinsoku/>
              <w:wordWrap/>
              <w:overflowPunct/>
              <w:topLinePunct w:val="0"/>
              <w:autoSpaceDE/>
              <w:autoSpaceDN/>
              <w:bidi w:val="0"/>
              <w:adjustRightInd/>
              <w:snapToGrid/>
              <w:spacing w:after="0"/>
              <w:ind w:firstLine="420" w:firstLineChars="200"/>
              <w:textAlignment w:val="auto"/>
              <w:rPr>
                <w:rFonts w:eastAsia="仿宋"/>
                <w:kern w:val="2"/>
                <w:sz w:val="21"/>
                <w:szCs w:val="21"/>
              </w:rPr>
            </w:pPr>
            <w:r>
              <w:rPr>
                <w:rFonts w:eastAsia="仿宋"/>
                <w:kern w:val="2"/>
                <w:sz w:val="21"/>
                <w:szCs w:val="21"/>
              </w:rPr>
              <w:t>持续推进耕地周边涉镉等重金属行业企业和历史遗留矿区排查整治，动态更新污染源排查整治清单。根据排查结果及污染风险，对重金属行业企业制定监管方案，严格执行重金属污染物排放标准，落实总量控制指标。</w:t>
            </w:r>
          </w:p>
          <w:p>
            <w:pPr>
              <w:pStyle w:val="8"/>
              <w:keepNext w:val="0"/>
              <w:keepLines w:val="0"/>
              <w:pageBreakBefore w:val="0"/>
              <w:widowControl w:val="0"/>
              <w:kinsoku/>
              <w:wordWrap/>
              <w:overflowPunct/>
              <w:topLinePunct w:val="0"/>
              <w:autoSpaceDE/>
              <w:autoSpaceDN/>
              <w:bidi w:val="0"/>
              <w:adjustRightInd/>
              <w:snapToGrid/>
              <w:spacing w:after="0"/>
              <w:ind w:firstLine="420" w:firstLineChars="200"/>
              <w:textAlignment w:val="auto"/>
              <w:rPr>
                <w:rFonts w:eastAsia="仿宋"/>
                <w:sz w:val="21"/>
                <w:szCs w:val="21"/>
              </w:rPr>
            </w:pPr>
            <w:r>
              <w:rPr>
                <w:rFonts w:eastAsia="仿宋"/>
                <w:kern w:val="2"/>
                <w:sz w:val="21"/>
                <w:szCs w:val="21"/>
              </w:rPr>
              <w:t>加强重点行业重金属污染整治，推进涉重金属重点行业落后产能退出，禁止新建落后产能或产能严重过剩行业的建设项目，鼓励企业采用先进适用清洁生产工艺和技术。</w:t>
            </w:r>
            <w:r>
              <w:rPr>
                <w:rFonts w:eastAsia="仿宋"/>
                <w:sz w:val="21"/>
                <w:szCs w:val="21"/>
              </w:rPr>
              <w:t>推行涉重金属行业企业强制性清洁生产。</w:t>
            </w:r>
          </w:p>
        </w:tc>
        <w:tc>
          <w:tcPr>
            <w:tcW w:w="4863" w:type="dxa"/>
            <w:vAlign w:val="center"/>
          </w:tcPr>
          <w:p>
            <w:pPr>
              <w:pStyle w:val="8"/>
              <w:rPr>
                <w:rFonts w:eastAsia="仿宋"/>
                <w:szCs w:val="21"/>
              </w:rPr>
            </w:pPr>
            <w:r>
              <w:rPr>
                <w:rFonts w:eastAsia="仿宋"/>
                <w:sz w:val="21"/>
                <w:szCs w:val="21"/>
              </w:rPr>
              <w:t>《永州市“十四五”土壤污染防治专项规划》（2021年12月）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pStyle w:val="8"/>
              <w:keepNext w:val="0"/>
              <w:keepLines w:val="0"/>
              <w:pageBreakBefore w:val="0"/>
              <w:widowControl w:val="0"/>
              <w:kinsoku/>
              <w:wordWrap/>
              <w:overflowPunct/>
              <w:topLinePunct w:val="0"/>
              <w:autoSpaceDE/>
              <w:autoSpaceDN/>
              <w:bidi w:val="0"/>
              <w:adjustRightInd/>
              <w:snapToGrid/>
              <w:spacing w:after="0"/>
              <w:ind w:firstLine="420" w:firstLineChars="200"/>
              <w:textAlignment w:val="auto"/>
              <w:rPr>
                <w:rFonts w:eastAsia="仿宋"/>
                <w:sz w:val="21"/>
                <w:szCs w:val="21"/>
              </w:rPr>
            </w:pPr>
            <w:r>
              <w:rPr>
                <w:rFonts w:eastAsia="仿宋"/>
                <w:sz w:val="21"/>
                <w:szCs w:val="21"/>
              </w:rPr>
              <w:t>原辅材料使用铅、铊、锑、锰、砷、汞、镉等重金属的工业企业，每年自行开展重金属污染物排放情况自评估和信息公开，评估情况作为各地和企业重金属排放总量控制、重金属污染防治专项资金项目申报、企业技改资金项目申报的重要依据。</w:t>
            </w:r>
          </w:p>
          <w:p>
            <w:pPr>
              <w:pStyle w:val="8"/>
              <w:keepNext w:val="0"/>
              <w:keepLines w:val="0"/>
              <w:pageBreakBefore w:val="0"/>
              <w:widowControl w:val="0"/>
              <w:kinsoku/>
              <w:wordWrap/>
              <w:overflowPunct/>
              <w:topLinePunct w:val="0"/>
              <w:autoSpaceDE/>
              <w:autoSpaceDN/>
              <w:bidi w:val="0"/>
              <w:adjustRightInd/>
              <w:snapToGrid/>
              <w:spacing w:after="0"/>
              <w:ind w:firstLine="420" w:firstLineChars="200"/>
              <w:textAlignment w:val="auto"/>
              <w:rPr>
                <w:rFonts w:eastAsia="仿宋"/>
                <w:sz w:val="21"/>
                <w:szCs w:val="21"/>
              </w:rPr>
            </w:pPr>
            <w:r>
              <w:rPr>
                <w:rFonts w:eastAsia="仿宋"/>
                <w:sz w:val="21"/>
                <w:szCs w:val="21"/>
              </w:rPr>
              <w:t>全面排查涉镉等重金属排放企业（在产），列出整改清单和措施，严格重金属排放监管，排污单位按照自行监测技术指南开展自行监测。对于关停企业，重点排查是否存在遗留工业固体废物、无组织排放情况等。</w:t>
            </w:r>
          </w:p>
        </w:tc>
        <w:tc>
          <w:tcPr>
            <w:tcW w:w="4863" w:type="dxa"/>
            <w:vAlign w:val="center"/>
          </w:tcPr>
          <w:p>
            <w:pPr>
              <w:pStyle w:val="8"/>
              <w:rPr>
                <w:rFonts w:eastAsia="仿宋"/>
                <w:sz w:val="21"/>
                <w:szCs w:val="21"/>
              </w:rPr>
            </w:pPr>
            <w:r>
              <w:rPr>
                <w:rFonts w:eastAsia="仿宋"/>
                <w:sz w:val="21"/>
                <w:szCs w:val="21"/>
              </w:rPr>
              <w:t>《永州市“十四五”土壤污染防治专项规划》（2021年12月）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restart"/>
            <w:vAlign w:val="center"/>
          </w:tcPr>
          <w:p>
            <w:pPr>
              <w:ind w:left="-134" w:leftChars="-64" w:right="-160" w:rightChars="-76" w:firstLine="1"/>
              <w:jc w:val="center"/>
              <w:rPr>
                <w:rFonts w:ascii="Times New Roman" w:hAnsi="Times New Roman" w:eastAsia="仿宋" w:cs="Times New Roman"/>
                <w:szCs w:val="21"/>
              </w:rPr>
            </w:pPr>
            <w:r>
              <w:rPr>
                <w:rFonts w:ascii="Times New Roman" w:hAnsi="Times New Roman" w:eastAsia="仿宋" w:cs="Times New Roman"/>
                <w:szCs w:val="21"/>
              </w:rPr>
              <w:t>资源开发效率要求</w:t>
            </w:r>
          </w:p>
        </w:tc>
        <w:tc>
          <w:tcPr>
            <w:tcW w:w="7738" w:type="dxa"/>
            <w:vAlign w:val="center"/>
          </w:tcPr>
          <w:p>
            <w:pPr>
              <w:ind w:firstLine="422" w:firstLineChars="200"/>
              <w:rPr>
                <w:rFonts w:ascii="Times New Roman" w:hAnsi="Times New Roman" w:eastAsia="仿宋" w:cs="Times New Roman"/>
                <w:b/>
                <w:bCs/>
                <w:szCs w:val="21"/>
              </w:rPr>
            </w:pPr>
            <w:r>
              <w:rPr>
                <w:rFonts w:ascii="Times New Roman" w:hAnsi="Times New Roman" w:eastAsia="仿宋" w:cs="Times New Roman"/>
                <w:b/>
                <w:bCs/>
                <w:szCs w:val="21"/>
              </w:rPr>
              <w:t>1、能源：</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优先发展清洁能源，扩大风电、光伏发电装机规模，深度挖潜水电领域，积极发展生物发电、氢能等。</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《永州市国民经济和社会发展第十四个五年规划和二0三五年远景目标纲要》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pStyle w:val="8"/>
              <w:rPr>
                <w:rFonts w:eastAsia="仿宋"/>
                <w:kern w:val="2"/>
                <w:sz w:val="21"/>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到2025年，非化石能源消费比重达到22%左右,单位地区生产总值能源消耗和二氧化碳排放下降确保完成省下达目标，为实现碳达峰目标奠定坚实基础。到2030年，非化石能源消费比重达到25%左右，单位地区生产总值能源消耗和二氧化碳排放完成国家下达目标，顺利实现2030年前碳达峰目标。</w:t>
            </w:r>
          </w:p>
        </w:tc>
        <w:tc>
          <w:tcPr>
            <w:tcW w:w="4863" w:type="dxa"/>
            <w:vAlign w:val="center"/>
          </w:tcPr>
          <w:p>
            <w:pPr>
              <w:pStyle w:val="8"/>
              <w:rPr>
                <w:rFonts w:eastAsia="仿宋"/>
                <w:kern w:val="2"/>
                <w:sz w:val="21"/>
                <w:szCs w:val="21"/>
              </w:rPr>
            </w:pPr>
            <w:r>
              <w:rPr>
                <w:rFonts w:eastAsia="仿宋"/>
                <w:kern w:val="2"/>
                <w:sz w:val="21"/>
                <w:szCs w:val="21"/>
              </w:rPr>
              <w:t>《永州市人民政府关于印发&lt;永州市碳达峰实施方案&gt;的通知》（永政发5号）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704" w:type="dxa"/>
            <w:vMerge w:val="continue"/>
            <w:vAlign w:val="center"/>
          </w:tcPr>
          <w:p>
            <w:pPr>
              <w:pStyle w:val="8"/>
              <w:rPr>
                <w:rFonts w:eastAsia="仿宋"/>
                <w:kern w:val="2"/>
                <w:sz w:val="21"/>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2" w:firstLineChars="200"/>
              <w:rPr>
                <w:rFonts w:ascii="Times New Roman" w:hAnsi="Times New Roman" w:eastAsia="仿宋" w:cs="Times New Roman"/>
                <w:b/>
                <w:bCs/>
                <w:szCs w:val="21"/>
              </w:rPr>
            </w:pPr>
            <w:r>
              <w:rPr>
                <w:rFonts w:ascii="Times New Roman" w:hAnsi="Times New Roman" w:eastAsia="仿宋" w:cs="Times New Roman"/>
                <w:b/>
                <w:bCs/>
                <w:szCs w:val="21"/>
              </w:rPr>
              <w:t>2、水资源：</w:t>
            </w:r>
          </w:p>
          <w:p>
            <w:pPr>
              <w:autoSpaceDE w:val="0"/>
              <w:autoSpaceDN w:val="0"/>
              <w:adjustRightInd w:val="0"/>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实施最严格水资源管理。到2025年，永州市用水总量控制在271100万立方米以内，农业用水总量204608万立方米以内，万元地区生产总值用水量、万元工业增加值用水量分别比2020年降低18.06%、8.87%，农田灌溉水有效利用系数0.555。</w:t>
            </w:r>
          </w:p>
        </w:tc>
        <w:tc>
          <w:tcPr>
            <w:tcW w:w="4863" w:type="dxa"/>
            <w:vAlign w:val="center"/>
          </w:tcPr>
          <w:p>
            <w:pPr>
              <w:tabs>
                <w:tab w:val="left" w:pos="1021"/>
              </w:tabs>
              <w:rPr>
                <w:rFonts w:ascii="Times New Roman" w:hAnsi="Times New Roman" w:eastAsia="仿宋" w:cs="Times New Roman"/>
                <w:szCs w:val="21"/>
              </w:rPr>
            </w:pPr>
            <w:r>
              <w:rPr>
                <w:rFonts w:ascii="Times New Roman" w:hAnsi="Times New Roman" w:eastAsia="仿宋" w:cs="Times New Roman"/>
                <w:szCs w:val="21"/>
              </w:rPr>
              <w:t>《关于调整永州市“十四五”用水总量和强度双控目标的通知》（永水发〔2024〕1号）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pStyle w:val="8"/>
              <w:rPr>
                <w:rFonts w:eastAsia="仿宋"/>
                <w:kern w:val="2"/>
                <w:sz w:val="21"/>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autoSpaceDE w:val="0"/>
              <w:autoSpaceDN w:val="0"/>
              <w:adjustRightInd w:val="0"/>
              <w:ind w:firstLine="420" w:firstLineChars="200"/>
              <w:rPr>
                <w:rFonts w:ascii="Times New Roman" w:hAnsi="Times New Roman" w:eastAsia="仿宋" w:cs="Times New Roman"/>
                <w:szCs w:val="21"/>
              </w:rPr>
            </w:pPr>
            <w:r>
              <w:rPr>
                <w:rFonts w:ascii="Times New Roman" w:hAnsi="Times New Roman" w:eastAsia="仿宋" w:cs="Times New Roman"/>
                <w:szCs w:val="21"/>
              </w:rPr>
              <w:t>严格用水强度指标管理。建立重点用水单位监控名录，对纳入取水许可管理的单位和其他用水大户实行计划用水管理。</w:t>
            </w:r>
          </w:p>
          <w:p>
            <w:pPr>
              <w:autoSpaceDE w:val="0"/>
              <w:autoSpaceDN w:val="0"/>
              <w:adjustRightInd w:val="0"/>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加强工业节水。规范取水许可，加快推进节水技术改造，开展工业企业用水工艺流程节水改造升级、工业废水处理回用技术应用；对重点工业用水户开展水平衡测试，制定节水整改优化方案；加强对高耗水行业的定额管理。鼓励食品、饮料、冶炼等重点用水行业的工业企业利用现代信息技术提高节水管理水平，加快用水、节水管理信息系统建设，开展用水量在线监测。推进矿井水综合利用，鼓励钢铁、纺织印染、造纸、石化化工、制革等高耗水企业废水深度处理回用。</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促进再生水利用，构建再生水循环利用体系。提出人工湿地水质净化工程和再生水调蓄设施建设任务，明确污水处理厂优化布局要求，构建“截、蓄、导、用”并举的区域再生水循环利用体系。</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pStyle w:val="8"/>
              <w:rPr>
                <w:rFonts w:eastAsia="仿宋"/>
                <w:kern w:val="2"/>
                <w:sz w:val="21"/>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autoSpaceDE w:val="0"/>
              <w:autoSpaceDN w:val="0"/>
              <w:adjustRightInd w:val="0"/>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在农产品加工和食品制造等重点耗水行业，加大清洁生产技术推行方案实施力度，从源头减少水污染。</w:t>
            </w:r>
          </w:p>
        </w:tc>
        <w:tc>
          <w:tcPr>
            <w:tcW w:w="4863" w:type="dxa"/>
            <w:vAlign w:val="center"/>
          </w:tcPr>
          <w:p>
            <w:pPr>
              <w:pStyle w:val="8"/>
              <w:rPr>
                <w:rFonts w:eastAsia="仿宋"/>
                <w:kern w:val="2"/>
                <w:sz w:val="21"/>
                <w:szCs w:val="21"/>
              </w:rPr>
            </w:pPr>
            <w:r>
              <w:rPr>
                <w:rFonts w:eastAsia="仿宋"/>
                <w:kern w:val="2"/>
                <w:sz w:val="21"/>
                <w:szCs w:val="21"/>
              </w:rPr>
              <w:t>《永州市承接产业转移示范区发展规划（2019-2025年）》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pStyle w:val="8"/>
              <w:rPr>
                <w:rFonts w:eastAsia="仿宋"/>
                <w:kern w:val="2"/>
                <w:sz w:val="21"/>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推进循环发展，将再生水、雨水、矿井水等非常规水源纳入区域水资源统一配置。</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pStyle w:val="8"/>
              <w:rPr>
                <w:rFonts w:eastAsia="仿宋"/>
                <w:kern w:val="2"/>
                <w:sz w:val="21"/>
                <w:szCs w:val="21"/>
              </w:rPr>
            </w:pPr>
            <w:r>
              <w:rPr>
                <w:rFonts w:eastAsia="仿宋"/>
                <w:sz w:val="21"/>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pStyle w:val="8"/>
              <w:rPr>
                <w:rFonts w:eastAsia="仿宋"/>
                <w:kern w:val="2"/>
                <w:sz w:val="21"/>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严格地下水管理和保护。深层承压地下水原则上只能作为应急和战略储备水源。依法规范机井建设审批管理，限期关闭在城市公共供水管网覆盖范围内的自备水井。</w:t>
            </w:r>
          </w:p>
        </w:tc>
        <w:tc>
          <w:tcPr>
            <w:tcW w:w="4863" w:type="dxa"/>
            <w:vAlign w:val="center"/>
          </w:tcPr>
          <w:p>
            <w:pPr>
              <w:pStyle w:val="8"/>
              <w:rPr>
                <w:rFonts w:eastAsia="仿宋"/>
                <w:kern w:val="2"/>
                <w:sz w:val="21"/>
                <w:szCs w:val="21"/>
              </w:rPr>
            </w:pPr>
            <w:r>
              <w:rPr>
                <w:rFonts w:eastAsia="仿宋"/>
                <w:kern w:val="2"/>
                <w:sz w:val="21"/>
                <w:szCs w:val="21"/>
              </w:rPr>
              <w:t>《永州市最严格水资源管理制度实施办法》（永政发〔2014〕15号）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pStyle w:val="8"/>
              <w:rPr>
                <w:rFonts w:eastAsia="仿宋"/>
                <w:kern w:val="2"/>
                <w:sz w:val="21"/>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2" w:firstLineChars="200"/>
              <w:rPr>
                <w:rFonts w:ascii="Times New Roman" w:hAnsi="Times New Roman" w:eastAsia="仿宋" w:cs="Times New Roman"/>
                <w:szCs w:val="21"/>
              </w:rPr>
            </w:pPr>
            <w:r>
              <w:rPr>
                <w:rFonts w:ascii="Times New Roman" w:hAnsi="Times New Roman" w:eastAsia="仿宋" w:cs="Times New Roman"/>
                <w:b/>
                <w:bCs/>
                <w:szCs w:val="21"/>
              </w:rPr>
              <w:t>3、土地资源：</w:t>
            </w:r>
            <w:r>
              <w:rPr>
                <w:rFonts w:ascii="Times New Roman" w:hAnsi="Times New Roman" w:eastAsia="仿宋" w:cs="Times New Roman"/>
                <w:szCs w:val="21"/>
              </w:rPr>
              <w:t>至2035年，全市耕地保有量不低于497.83万亩，全市永久基本农田保护面积不低于449.19万亩，全市划定生态保护红线总面积为4347.86平方公里，全市划定城镇开发边界总面积为427.83平方公里。</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《永州市国土空间总体规划（2021-2035年）》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pStyle w:val="8"/>
              <w:rPr>
                <w:rFonts w:eastAsia="仿宋"/>
                <w:kern w:val="2"/>
                <w:sz w:val="21"/>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合理安排年度用地计划，用地计划指标要向产业转移项目重点倾斜。</w:t>
            </w:r>
          </w:p>
        </w:tc>
        <w:tc>
          <w:tcPr>
            <w:tcW w:w="4863" w:type="dxa"/>
            <w:vAlign w:val="center"/>
          </w:tcPr>
          <w:p>
            <w:pPr>
              <w:pStyle w:val="8"/>
              <w:keepNext w:val="0"/>
              <w:keepLines w:val="0"/>
              <w:pageBreakBefore w:val="0"/>
              <w:widowControl w:val="0"/>
              <w:kinsoku/>
              <w:wordWrap/>
              <w:overflowPunct/>
              <w:topLinePunct w:val="0"/>
              <w:autoSpaceDE/>
              <w:autoSpaceDN/>
              <w:bidi w:val="0"/>
              <w:adjustRightInd/>
              <w:snapToGrid/>
              <w:spacing w:after="0"/>
              <w:textAlignment w:val="auto"/>
              <w:rPr>
                <w:rFonts w:eastAsia="仿宋"/>
                <w:kern w:val="2"/>
                <w:sz w:val="21"/>
                <w:szCs w:val="21"/>
              </w:rPr>
            </w:pPr>
            <w:r>
              <w:rPr>
                <w:rFonts w:eastAsia="仿宋"/>
                <w:kern w:val="2"/>
                <w:sz w:val="21"/>
                <w:szCs w:val="21"/>
              </w:rPr>
              <w:t>《永州市承接产业转移示范区发展规划（2019-2025年）》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704"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城镇</w:t>
            </w:r>
          </w:p>
        </w:tc>
        <w:tc>
          <w:tcPr>
            <w:tcW w:w="1192"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空间布局约束</w:t>
            </w:r>
          </w:p>
        </w:tc>
        <w:tc>
          <w:tcPr>
            <w:tcW w:w="7738" w:type="dxa"/>
            <w:vAlign w:val="center"/>
          </w:tcPr>
          <w:p>
            <w:pPr>
              <w:pStyle w:val="8"/>
              <w:keepNext w:val="0"/>
              <w:keepLines w:val="0"/>
              <w:pageBreakBefore w:val="0"/>
              <w:widowControl w:val="0"/>
              <w:kinsoku/>
              <w:wordWrap/>
              <w:overflowPunct/>
              <w:topLinePunct w:val="0"/>
              <w:autoSpaceDE/>
              <w:autoSpaceDN/>
              <w:bidi w:val="0"/>
              <w:adjustRightInd/>
              <w:snapToGrid/>
              <w:spacing w:after="0"/>
              <w:ind w:firstLine="420" w:firstLineChars="200"/>
              <w:textAlignment w:val="auto"/>
              <w:rPr>
                <w:rFonts w:eastAsia="仿宋"/>
                <w:bCs/>
                <w:color w:val="000000" w:themeColor="text1"/>
                <w:sz w:val="21"/>
                <w:szCs w:val="21"/>
                <w14:textFill>
                  <w14:solidFill>
                    <w14:schemeClr w14:val="tx1"/>
                  </w14:solidFill>
                </w14:textFill>
              </w:rPr>
            </w:pPr>
            <w:r>
              <w:rPr>
                <w:rFonts w:eastAsia="仿宋"/>
                <w:kern w:val="2"/>
                <w:sz w:val="21"/>
                <w:szCs w:val="21"/>
              </w:rPr>
              <w:t>严格控制建设用地总量。严格按照城镇开发边界范围和建设用地指标开展集中建设。凡不符合国土空间规划、国家区域政策、产业政策和供地政策的建设项目，不得安排土地利用年度计划指标，通过建设用地总量控制提升建设用地利用强度。</w:t>
            </w:r>
          </w:p>
        </w:tc>
        <w:tc>
          <w:tcPr>
            <w:tcW w:w="4863" w:type="dxa"/>
            <w:vAlign w:val="center"/>
          </w:tcPr>
          <w:p>
            <w:pPr>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 w:cs="Times New Roman"/>
                <w:szCs w:val="21"/>
              </w:rPr>
            </w:pPr>
            <w:r>
              <w:rPr>
                <w:rFonts w:ascii="Times New Roman" w:hAnsi="Times New Roman" w:eastAsia="仿宋" w:cs="Times New Roman"/>
                <w:szCs w:val="21"/>
              </w:rPr>
              <w:t>《永州市国土空间总体规划（2021-2035年）》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对位于城市和人口密集地区、达不到安全防护距离要求或环境风险隐患突出的企业，应依法采取停产、停业、搬迁等措施，尽快消除环境隐患。</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6"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restart"/>
            <w:vAlign w:val="center"/>
          </w:tcPr>
          <w:p>
            <w:pPr>
              <w:ind w:left="-134" w:leftChars="-64" w:right="-160" w:rightChars="-76" w:firstLine="1"/>
              <w:jc w:val="center"/>
              <w:rPr>
                <w:rFonts w:ascii="Times New Roman" w:hAnsi="Times New Roman" w:eastAsia="仿宋" w:cs="Times New Roman"/>
                <w:szCs w:val="21"/>
              </w:rPr>
            </w:pPr>
            <w:r>
              <w:rPr>
                <w:rFonts w:ascii="Times New Roman" w:hAnsi="Times New Roman" w:eastAsia="仿宋" w:cs="Times New Roman"/>
                <w:szCs w:val="21"/>
              </w:rPr>
              <w:t>污染物排放管控</w:t>
            </w:r>
          </w:p>
        </w:tc>
        <w:tc>
          <w:tcPr>
            <w:tcW w:w="7738" w:type="dxa"/>
            <w:vAlign w:val="center"/>
          </w:tcPr>
          <w:p>
            <w:pPr>
              <w:ind w:firstLine="420" w:firstLineChars="200"/>
              <w:rPr>
                <w:rFonts w:ascii="Times New Roman" w:hAnsi="Times New Roman" w:eastAsia="仿宋" w:cs="Times New Roman"/>
                <w:strike/>
                <w:szCs w:val="21"/>
              </w:rPr>
            </w:pPr>
            <w:r>
              <w:rPr>
                <w:rFonts w:ascii="Times New Roman" w:hAnsi="Times New Roman" w:eastAsia="仿宋" w:cs="Times New Roman"/>
                <w:szCs w:val="21"/>
              </w:rPr>
              <w:t>加强秸秆综合利用和禁烧，因地制宜推进秸秆“五化”综合利用，科学划定禁烧区域，禁止秸秆露天焚烧。</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湖南省生态环境保护委员会办公室关于印发《2024年湖南省深人打好污染防治攻坚战“提效达标、保优争先”工作方案》等3个文件的通知（湘生环委办〔2024〕2 号）</w:t>
            </w:r>
          </w:p>
          <w:p>
            <w:pPr>
              <w:rPr>
                <w:rFonts w:ascii="Times New Roman" w:hAnsi="Times New Roman" w:eastAsia="仿宋" w:cs="Times New Roman"/>
                <w:szCs w:val="21"/>
              </w:rPr>
            </w:pPr>
            <w:r>
              <w:rPr>
                <w:rFonts w:ascii="Times New Roman" w:hAnsi="Times New Roman" w:eastAsia="仿宋" w:cs="Times New Roman"/>
                <w:szCs w:val="21"/>
              </w:rPr>
              <w:t>《永州市零陵区人民政府关于零陵区秸秆禁烧区划定及管控监管的通告》（零政函〔2024〕53号）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在本市中心城区（含冷水滩区、零陵区及永州经济技术开发区）建成区范围内，禁止任何单位和个人以节日庆典、开业庆典、婚丧嫁娶等理由燃放烟花爆竹。逢重大庆典，确需在禁止燃放烟花爆竹区域内举办焰火晚会以及其它大型焰火燃放活动的，由主办单位向市公安局、市城管执法局申请许可后，报市人民政府批准，方可燃放。</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《永州市中心城区全面禁止燃放烟花爆竹管理规定》（永政办发〔2016〕51号）、《永州市人民政府关于中心城区全面禁止燃放烟花爆竹的通告》（永政函〔2016〕282号）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全力抓好建筑、市政、交通、水利、拆迁施工及预拌混凝土搅拌等场所产生的扬尘污染，强化环保设施运行监管。实施餐饮业油烟精细化管理。严格控制烟花爆竹燃放。</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8"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autoSpaceDE w:val="0"/>
              <w:autoSpaceDN w:val="0"/>
              <w:adjustRightInd w:val="0"/>
              <w:ind w:firstLine="420" w:firstLineChars="200"/>
              <w:rPr>
                <w:rFonts w:ascii="Times New Roman" w:hAnsi="Times New Roman" w:eastAsia="仿宋" w:cs="Times New Roman"/>
                <w:szCs w:val="21"/>
              </w:rPr>
            </w:pPr>
            <w:r>
              <w:rPr>
                <w:rFonts w:ascii="Times New Roman" w:hAnsi="Times New Roman" w:eastAsia="仿宋" w:cs="Times New Roman"/>
                <w:szCs w:val="21"/>
              </w:rPr>
              <w:t>完善污水收集体系。对污水管网未全覆盖的区域，明确现状与需求差距，提出管网建设任务，明确管网建设长度。排入封闭式水域的污水处理厂必须选用具有强化除磷脱氮功能的处理工艺；鼓励采用资源化利用方式处理处置污泥，鼓励经处理处置后达标的污泥还田利用。</w:t>
            </w:r>
          </w:p>
          <w:p>
            <w:pPr>
              <w:pStyle w:val="8"/>
              <w:spacing w:after="0"/>
              <w:ind w:firstLine="420" w:firstLineChars="200"/>
              <w:rPr>
                <w:rFonts w:eastAsia="仿宋"/>
                <w:kern w:val="2"/>
                <w:sz w:val="21"/>
                <w:szCs w:val="21"/>
              </w:rPr>
            </w:pPr>
            <w:r>
              <w:rPr>
                <w:rFonts w:eastAsia="仿宋"/>
                <w:kern w:val="2"/>
                <w:sz w:val="21"/>
                <w:szCs w:val="21"/>
              </w:rPr>
              <w:t>全面加强配套管网建设。推进老旧污水管网改造和破损修复，新建管网实行雨污分流，现有合流制排水系统加快实施雨污分流改造。中心城区、县城建成区逐步实现基本无生活污水直排口，消除城中村、老旧城区和城乡结合部生活污水收集处理设施空白区。</w:t>
            </w:r>
          </w:p>
        </w:tc>
        <w:tc>
          <w:tcPr>
            <w:tcW w:w="4863" w:type="dxa"/>
            <w:vAlign w:val="center"/>
          </w:tcPr>
          <w:p>
            <w:pPr>
              <w:autoSpaceDE w:val="0"/>
              <w:autoSpaceDN w:val="0"/>
              <w:adjustRightInd w:val="0"/>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pStyle w:val="51"/>
              <w:ind w:firstLine="600"/>
              <w:rPr>
                <w:rFonts w:eastAsia="仿宋"/>
                <w:strike/>
                <w:szCs w:val="21"/>
              </w:rPr>
            </w:pPr>
            <w:r>
              <w:rPr>
                <w:rFonts w:eastAsia="仿宋"/>
                <w:szCs w:val="21"/>
              </w:rPr>
              <w:t>推进市辖区黑臭水体长制久清。严格落实河长制、湖长制，对已完成治理的黑臭水体要定期开展水质监测并向社会公布水质监测结果，防止返黑返臭，实现“长制久清”。</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trike/>
                <w:szCs w:val="21"/>
              </w:rPr>
            </w:pPr>
            <w:r>
              <w:rPr>
                <w:rFonts w:ascii="Times New Roman" w:hAnsi="Times New Roman" w:eastAsia="仿宋" w:cs="Times New Roman"/>
                <w:szCs w:val="21"/>
              </w:rPr>
              <w:t>大力推进县级城市黑臭水体治理。通过控源截污、内源治理、生态修复等工程措施，尽早消除水体黑臭现象。到2025年，县级城市建成区黑臭水体基本消除。</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jc w:val="center"/>
              <w:textAlignment w:val="auto"/>
              <w:rPr>
                <w:rFonts w:ascii="Times New Roman" w:hAnsi="Times New Roman" w:eastAsia="仿宋" w:cs="Times New Roman"/>
                <w:szCs w:val="21"/>
              </w:rPr>
            </w:pPr>
            <w:r>
              <w:rPr>
                <w:rFonts w:ascii="Times New Roman" w:hAnsi="Times New Roman" w:eastAsia="仿宋" w:cs="Times New Roman"/>
                <w:szCs w:val="21"/>
              </w:rPr>
              <w:t>环境风险防控</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按本附件相关条文执行。</w:t>
            </w:r>
          </w:p>
        </w:tc>
        <w:tc>
          <w:tcPr>
            <w:tcW w:w="4863" w:type="dxa"/>
            <w:vAlign w:val="center"/>
          </w:tcPr>
          <w:p>
            <w:pP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restart"/>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jc w:val="center"/>
              <w:textAlignment w:val="auto"/>
              <w:rPr>
                <w:rFonts w:ascii="Times New Roman" w:hAnsi="Times New Roman" w:eastAsia="仿宋" w:cs="Times New Roman"/>
                <w:szCs w:val="21"/>
              </w:rPr>
            </w:pPr>
            <w:r>
              <w:rPr>
                <w:rFonts w:ascii="Times New Roman" w:hAnsi="Times New Roman" w:eastAsia="仿宋" w:cs="Times New Roman"/>
                <w:szCs w:val="21"/>
              </w:rPr>
              <w:t>资源开发效率要求</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我市现阶段高污染燃料包括以下燃料和物质：（一）煤炭及其制品；（二）石油焦、油页岩、原油、重油、渣油、煤焦、油；（三）非专用锅炉或未配置高效除尘设施的专用锅炉燃用的生物质成型燃料。</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生物质锅炉应采用生物质成型燃料（包括颗粒状、棒状、块状）为燃料，其生产原料主要为农林废弃物（</w:t>
            </w:r>
            <w:r>
              <w:rPr>
                <w:rFonts w:hint="eastAsia" w:ascii="Times New Roman" w:hAnsi="Times New Roman" w:eastAsia="仿宋" w:cs="Times New Roman"/>
                <w:szCs w:val="21"/>
                <w:lang w:val="en-US" w:eastAsia="zh-CN"/>
              </w:rPr>
              <w:t>秸秆</w:t>
            </w:r>
            <w:r>
              <w:rPr>
                <w:rFonts w:ascii="Times New Roman" w:hAnsi="Times New Roman" w:eastAsia="仿宋" w:cs="Times New Roman"/>
                <w:szCs w:val="21"/>
              </w:rPr>
              <w:t>、稻壳、木屑、树枝等）。生物质锅炉应配置高效除尘设施，大气污染物排放浓度应达到国家排放标准。在禁燃区内，除集中供热项目以外，禁止销售、燃用高污染燃料；禁止新建、扩建燃用高污染燃料的设施，已建成的，应当在2020年年底前改用天然气、页岩气、液化石油气、电或者其他清洁能源。</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《永州市人民政府关于调整高污染燃料禁燃区的通告》（永政函〔2020〕30号）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市中心城区范围区内工业项目申请用地计划，应当符合下列条件：（1）固定资产投资强度原则上不低于150万元/亩；（2）预期年税收原则上不低于10万元/亩；（3）工业项目所需行政办公及生活服务等配套设施用地比例不超过总用地面积的7%；（4）厂房按照多层建设。因生产工艺特殊要求需要建设单层厂房的，报市人民政府审定；（5）绿地率小于10%。因项目特殊要求需要大于10%的，应当予以说明。投资总额低于一亿元的工业项目，原则上不单独安排用地，推荐使用标准厂房。</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《永州市国土资源管理规定（试行）》（永州市人民政府令〔2014〕第3号）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中心城区建设用地范围内所有新建、改建、扩建的经营性用地及单位建设项目应按《永州市中心城区建设项目绿地率管理办法》规定标准同步配套绿化建设。该《办法》与《永州市国土资源管理规定（试行）》不一致的，按《永州市国土资源管理规定（试行）》执行。</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《永州市中心城区建设项目绿地率管理办法》（永政办发〔2013〕51号）、《永州市国土资源管理规定（试行）》（永州市人民政府令〔2014〕第3号）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农村地区</w:t>
            </w:r>
          </w:p>
        </w:tc>
        <w:tc>
          <w:tcPr>
            <w:tcW w:w="1192"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空间布局约束</w:t>
            </w:r>
          </w:p>
        </w:tc>
        <w:tc>
          <w:tcPr>
            <w:tcW w:w="773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城郊融合类村庄。以城乡融合为重点，突出村庄区位优势，推进产业发展、公共服务设施提升、人居环境整治。</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集聚提升类村庄。以引导村庄内部集聚与服务周边村庄为重点，鼓励发挥现有产业优势，补齐村庄基础设施和公共服务设施短板，充分发挥村庄的辐射带动作用。</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 xml:space="preserve">特色保护类村庄。以历史文化保护与特色资源利用为重点，整合村庄特色旅游资源，倡导发展特色文化旅游，突出村庄文化与特色。 </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 xml:space="preserve">农业发展类村庄。以耕地保护与农业发展为重点，积极引导高标准农田建设，明确产业发展及村庄负面建设清单，打造现代农业领航区。 </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生态保护类村庄。以生态保护为重点，突出村庄自然生态特征，加强生态建设与环境保护，严格落实产业准入条件，明确村庄建设及产业发展负面清单，体现生态涵养修复等方面的作用。</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《永州市国土空间总体规划（2021-2035年）》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发展优势特色产业。实施现代农业发展工程，培育粮食、畜禽、蔬菜、油料、水果、中药材六大“百亿产业”和竹木、烤烟等重点产业，加快建设新田硒锶、江永“五香”等特色农产品优势区、农业现代化示范区。</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《永州市国民经济和社会发展第十四个五年规划和二0三五年远景目标纲要》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优化农业生产结构，推广生态绿色循环养殖模式，调整优化养殖业区域布局，推进标准化规模养殖，鼓励发展农牧、林牧结合养殖模式。做大做强草食畜牧、特色畜禽和现代渔业，加快推进畜牧业转型升级，建设一批现代草食畜牧业生产示范基地，培育一批特色畜禽、渔业经济强县。以农产品精深加工专用原料为导向，打造一批特色经济作物生产基地。</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《永州市国民经济和社会发展第十四个五年规划和二0三五年远景目标纲要》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严格禁养区管理，依法处理违规畜禽养殖行为。</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pStyle w:val="8"/>
              <w:keepNext w:val="0"/>
              <w:keepLines w:val="0"/>
              <w:pageBreakBefore w:val="0"/>
              <w:widowControl w:val="0"/>
              <w:kinsoku/>
              <w:wordWrap/>
              <w:overflowPunct/>
              <w:topLinePunct w:val="0"/>
              <w:autoSpaceDE/>
              <w:autoSpaceDN/>
              <w:bidi w:val="0"/>
              <w:adjustRightInd/>
              <w:snapToGrid/>
              <w:spacing w:after="0"/>
              <w:ind w:firstLine="420" w:firstLineChars="200"/>
              <w:textAlignment w:val="auto"/>
              <w:rPr>
                <w:rFonts w:eastAsia="仿宋"/>
                <w:sz w:val="21"/>
                <w:szCs w:val="21"/>
              </w:rPr>
            </w:pPr>
            <w:r>
              <w:rPr>
                <w:rFonts w:eastAsia="仿宋"/>
                <w:kern w:val="2"/>
                <w:sz w:val="21"/>
                <w:szCs w:val="21"/>
              </w:rPr>
              <w:t>推进低效建设用地整治。有序开展废弃农村宅基地、工矿废弃地、零星散乱的农村建设用地等低效闲置建设用地整理复垦，优化农村建设用地结构与布局，腾退的建设用地优先保障农民建房、产业发展、公共服务、基础设施、人居环境等设施用地。</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《永州市国土空间总体规划（2021-2035年）》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restart"/>
            <w:vAlign w:val="center"/>
          </w:tcPr>
          <w:p>
            <w:pPr>
              <w:ind w:left="-134" w:leftChars="-64" w:right="-160" w:rightChars="-76" w:firstLine="1"/>
              <w:jc w:val="center"/>
              <w:rPr>
                <w:rFonts w:ascii="Times New Roman" w:hAnsi="Times New Roman" w:eastAsia="仿宋" w:cs="Times New Roman"/>
                <w:szCs w:val="21"/>
              </w:rPr>
            </w:pPr>
            <w:r>
              <w:rPr>
                <w:rFonts w:ascii="Times New Roman" w:hAnsi="Times New Roman" w:eastAsia="仿宋" w:cs="Times New Roman"/>
                <w:szCs w:val="21"/>
              </w:rPr>
              <w:t>污染物排放管控</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加快农村环境综合整治。推进农村饮用水水源地保护、生活污水处理、生活垃圾无害化处置和畜禽粪便综合利用，提高农村生态文明建设水平。</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ind w:left="-134" w:leftChars="-64" w:right="-160" w:rightChars="-76" w:firstLine="1"/>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鼓励农林废弃物以及建筑垃圾、餐厨垃圾资源化利用，鼓励农用薄膜回收利用、畜禽粪污治理利用与治理。鼓励收集单位试点设立县级农业废包装收集回收点，加强农药包装废弃物等农业源危险废物的回收处理。</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《永州市固体废物污染防治规划（2019~2025年） 》（2019年4月）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ind w:left="-134" w:leftChars="-64" w:right="-160" w:rightChars="-76" w:firstLine="1"/>
              <w:jc w:val="center"/>
              <w:rPr>
                <w:rFonts w:ascii="Times New Roman" w:hAnsi="Times New Roman" w:eastAsia="仿宋" w:cs="Times New Roman"/>
                <w:szCs w:val="21"/>
              </w:rPr>
            </w:pPr>
          </w:p>
        </w:tc>
        <w:tc>
          <w:tcPr>
            <w:tcW w:w="7738" w:type="dxa"/>
            <w:vAlign w:val="center"/>
          </w:tcPr>
          <w:p>
            <w:pPr>
              <w:ind w:firstLine="422" w:firstLineChars="200"/>
              <w:rPr>
                <w:rFonts w:ascii="Times New Roman" w:hAnsi="Times New Roman" w:eastAsia="仿宋" w:cs="Times New Roman"/>
                <w:b/>
                <w:bCs/>
                <w:szCs w:val="21"/>
              </w:rPr>
            </w:pPr>
            <w:r>
              <w:rPr>
                <w:rFonts w:ascii="Times New Roman" w:hAnsi="Times New Roman" w:eastAsia="仿宋" w:cs="Times New Roman"/>
                <w:b/>
                <w:bCs/>
                <w:szCs w:val="21"/>
              </w:rPr>
              <w:t>1、生活污水收集处理</w:t>
            </w:r>
          </w:p>
        </w:tc>
        <w:tc>
          <w:tcPr>
            <w:tcW w:w="4863" w:type="dxa"/>
            <w:vAlign w:val="center"/>
          </w:tcPr>
          <w:p>
            <w:pP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完善农村污水治理。加快城镇污水管网和处理能力向周边延伸覆盖，力争实现全市农村生活污水治理全域覆盖。至2025年，农村生活污水治理设施（包括资源化利用）覆盖的农村不低于80%；污水处理设施排水达标率不低于75%；全市农村生活污水治理率达到 40%以上。</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建立水库周边农村生活垃圾、污水和农业面源污染管控机制。</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《永州市水库污染治理实施方案（试行）》（永政办函〔2014〕122号）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2" w:firstLineChars="200"/>
              <w:rPr>
                <w:rFonts w:ascii="Times New Roman" w:hAnsi="Times New Roman" w:eastAsia="仿宋" w:cs="Times New Roman"/>
                <w:b/>
                <w:bCs/>
                <w:szCs w:val="21"/>
              </w:rPr>
            </w:pPr>
            <w:r>
              <w:rPr>
                <w:rFonts w:ascii="Times New Roman" w:hAnsi="Times New Roman" w:eastAsia="仿宋" w:cs="Times New Roman"/>
                <w:b/>
                <w:bCs/>
                <w:szCs w:val="21"/>
              </w:rPr>
              <w:t>2、农业污染防治</w:t>
            </w:r>
          </w:p>
        </w:tc>
        <w:tc>
          <w:tcPr>
            <w:tcW w:w="4863" w:type="dxa"/>
            <w:vAlign w:val="center"/>
          </w:tcPr>
          <w:p>
            <w:pP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trike/>
                <w:szCs w:val="21"/>
              </w:rPr>
            </w:pPr>
            <w:r>
              <w:rPr>
                <w:rFonts w:ascii="Times New Roman" w:hAnsi="Times New Roman" w:eastAsia="仿宋" w:cs="Times New Roman"/>
                <w:szCs w:val="21"/>
              </w:rPr>
              <w:t xml:space="preserve">严控农村种植污染。全面禁止使用剧毒、高残留性农药，大力提倡使用绿肥、有机肥代替化肥，提倡科学施肥、科学用药，推广采用生物农药和生物防治技术。鼓励乡镇建设废旧农膜、农作物秸秆、农药包装等废旧农资回收利用体系。积极探索高效节能且易推广的生态化、资源化的处理技术和模式。 </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trike/>
                <w:szCs w:val="21"/>
              </w:rPr>
            </w:pPr>
            <w:r>
              <w:rPr>
                <w:rFonts w:ascii="Times New Roman" w:hAnsi="Times New Roman" w:eastAsia="仿宋" w:cs="Times New Roman"/>
                <w:szCs w:val="21"/>
              </w:rPr>
              <w:t>加强秸秆综合利用和禁烧，因地制宜推进秸秆“五化”综合利用，科学划定禁烧区域，禁止秸秆露天焚烧。</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湖南省生态环境保护委员会办公室关于印发《2024年湖南省深人打好污染防治攻坚战“提效达标、保优争先”工作方案》等3个文件的通知（湘生环委办〔2024〕2 号）</w:t>
            </w:r>
          </w:p>
          <w:p>
            <w:pPr>
              <w:rPr>
                <w:rFonts w:ascii="Times New Roman" w:hAnsi="Times New Roman" w:eastAsia="仿宋" w:cs="Times New Roman"/>
                <w:strike/>
                <w:szCs w:val="21"/>
              </w:rPr>
            </w:pPr>
            <w:r>
              <w:rPr>
                <w:rFonts w:ascii="Times New Roman" w:hAnsi="Times New Roman" w:eastAsia="仿宋" w:cs="Times New Roman"/>
                <w:szCs w:val="21"/>
              </w:rPr>
              <w:t>《永州市零陵区人民政府关于零陵区秸秆禁烧区划定及管控监管的通告》（零政函〔2024〕53号）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对饮用水源地区域内畜禽养殖企业进行全面整治，严控流域农药、化肥等农业面源污染饮用水水源。</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《永州市国民经济和社会发展第十四个五年规划和二0三五年远景目标纲要》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Align w:val="center"/>
          </w:tcPr>
          <w:p>
            <w:pPr>
              <w:jc w:val="center"/>
              <w:rPr>
                <w:rFonts w:ascii="Times New Roman" w:hAnsi="Times New Roman" w:eastAsia="仿宋" w:cs="Times New Roman"/>
                <w:szCs w:val="21"/>
              </w:rPr>
            </w:pPr>
            <w:r>
              <w:rPr>
                <w:rFonts w:ascii="Times New Roman" w:hAnsi="Times New Roman" w:eastAsia="仿宋" w:cs="Times New Roman"/>
                <w:szCs w:val="21"/>
              </w:rPr>
              <w:t>环境风险防控</w:t>
            </w:r>
          </w:p>
        </w:tc>
        <w:tc>
          <w:tcPr>
            <w:tcW w:w="7738" w:type="dxa"/>
            <w:vAlign w:val="center"/>
          </w:tcPr>
          <w:p>
            <w:pPr>
              <w:pStyle w:val="8"/>
              <w:keepNext w:val="0"/>
              <w:keepLines w:val="0"/>
              <w:pageBreakBefore w:val="0"/>
              <w:widowControl w:val="0"/>
              <w:kinsoku/>
              <w:wordWrap/>
              <w:overflowPunct/>
              <w:topLinePunct w:val="0"/>
              <w:autoSpaceDE/>
              <w:autoSpaceDN/>
              <w:bidi w:val="0"/>
              <w:adjustRightInd/>
              <w:snapToGrid/>
              <w:spacing w:after="0"/>
              <w:ind w:firstLine="420" w:firstLineChars="200"/>
              <w:textAlignment w:val="auto"/>
              <w:rPr>
                <w:rFonts w:eastAsia="仿宋"/>
                <w:kern w:val="2"/>
                <w:sz w:val="21"/>
                <w:szCs w:val="21"/>
              </w:rPr>
            </w:pPr>
            <w:r>
              <w:rPr>
                <w:rFonts w:eastAsia="仿宋"/>
                <w:kern w:val="2"/>
                <w:sz w:val="21"/>
                <w:szCs w:val="21"/>
              </w:rPr>
              <w:t>对基本农田、规模化农产品生产基地等敏感区域的农用地环境质量形成常规性监测制度，根据需求设置此类区域土壤环境质量监测点，并确定监测频次、指标。</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优先保护类耕地集中区域现有可能造成土壤污染的相关行业企业应当按照有关规定采取措施，防止对耕地造成污染。</w:t>
            </w:r>
          </w:p>
          <w:p>
            <w:pPr>
              <w:pStyle w:val="8"/>
              <w:keepNext w:val="0"/>
              <w:keepLines w:val="0"/>
              <w:pageBreakBefore w:val="0"/>
              <w:widowControl w:val="0"/>
              <w:kinsoku/>
              <w:wordWrap/>
              <w:overflowPunct/>
              <w:topLinePunct w:val="0"/>
              <w:autoSpaceDE/>
              <w:autoSpaceDN/>
              <w:bidi w:val="0"/>
              <w:adjustRightInd/>
              <w:snapToGrid/>
              <w:spacing w:after="0"/>
              <w:ind w:firstLine="420" w:firstLineChars="200"/>
              <w:textAlignment w:val="auto"/>
              <w:rPr>
                <w:rFonts w:eastAsia="仿宋"/>
                <w:kern w:val="2"/>
                <w:sz w:val="21"/>
                <w:szCs w:val="21"/>
              </w:rPr>
            </w:pPr>
            <w:r>
              <w:rPr>
                <w:rFonts w:eastAsia="仿宋"/>
                <w:kern w:val="2"/>
                <w:sz w:val="21"/>
                <w:szCs w:val="21"/>
              </w:rPr>
              <w:t>将重度污染耕地纳入严格管控类耕地范围。加强对严格管控类耕地的用途管理，依法划定特定农产品禁止生产区域，引导农业生产经营主体合理选择和调整种植结构，有序开展退耕还湿、还林、还草。</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推进耕地土壤污染修复试点，以镉污染耕地为重点，因地制宜选择典型受污染耕地，在切断重金属等污染源头的前提下，推进以降低土壤中污染物总量为目的的修复试点工作。</w:t>
            </w:r>
          </w:p>
        </w:tc>
        <w:tc>
          <w:tcPr>
            <w:tcW w:w="4863" w:type="dxa"/>
            <w:vAlign w:val="center"/>
          </w:tcPr>
          <w:p>
            <w:pPr>
              <w:pStyle w:val="8"/>
              <w:rPr>
                <w:rFonts w:eastAsia="仿宋"/>
                <w:sz w:val="21"/>
                <w:szCs w:val="21"/>
              </w:rPr>
            </w:pPr>
            <w:r>
              <w:rPr>
                <w:rFonts w:eastAsia="仿宋"/>
                <w:sz w:val="21"/>
                <w:szCs w:val="21"/>
              </w:rPr>
              <w:t>《永州市“十四五”土壤污染防治专项规划》（2021年12月）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restart"/>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1"/>
              <w:jc w:val="center"/>
              <w:textAlignment w:val="auto"/>
              <w:rPr>
                <w:rFonts w:ascii="Times New Roman" w:hAnsi="Times New Roman" w:eastAsia="仿宋" w:cs="Times New Roman"/>
                <w:szCs w:val="21"/>
              </w:rPr>
            </w:pPr>
            <w:r>
              <w:rPr>
                <w:rFonts w:ascii="Times New Roman" w:hAnsi="Times New Roman" w:eastAsia="仿宋" w:cs="Times New Roman"/>
                <w:szCs w:val="21"/>
              </w:rPr>
              <w:t>资源开发效率要求</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加强农业节水。积极推进农业节水，完成高效节水灌溉年度目标任务。以节水增产为目标对灌区进行技术改造。加强用水定额管理，推广节水灌溉制度。</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ascii="Times New Roman" w:hAnsi="Times New Roman" w:eastAsia="仿宋" w:cs="Times New Roman"/>
                <w:szCs w:val="21"/>
              </w:rPr>
            </w:pPr>
          </w:p>
        </w:tc>
        <w:tc>
          <w:tcPr>
            <w:tcW w:w="773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以水质水量安全保障程度更高的城乡统筹区域供水水源地逐步替代农村饮用水水源地，加快建设布局合理、配置均衡、覆盖城乡的供水基础设施体系。</w:t>
            </w:r>
          </w:p>
        </w:tc>
        <w:tc>
          <w:tcPr>
            <w:tcW w:w="4863"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ascii="Times New Roman" w:hAnsi="Times New Roman" w:eastAsia="仿宋" w:cs="Times New Roman"/>
                <w:szCs w:val="21"/>
              </w:rPr>
            </w:pPr>
          </w:p>
        </w:tc>
        <w:tc>
          <w:tcPr>
            <w:tcW w:w="773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规划布局建设用地应当优先安排在重点发展区域，不占或者少占耕地，特别是基本农田。城乡规划建设用地应当避让基本农田。下列项目禁止占用耕地：机动车交易市场、家具城、建材城等大型商业设施项目；大型游乐设施、主题公园（影视城）、仿古城项目；低密度或者大套型住宅项目（指住宅小区建筑容积率低于1.0或者平均住房建筑面积超过144平方米的住宅项目）；赛车场项目；公墓项目；机动车训练场项目。</w:t>
            </w:r>
          </w:p>
        </w:tc>
        <w:tc>
          <w:tcPr>
            <w:tcW w:w="4863"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《永州市国土资源管理规定（试行）》（永州市人民政府令〔2014〕第3号）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ascii="Times New Roman" w:hAnsi="Times New Roman" w:eastAsia="仿宋" w:cs="Times New Roman"/>
                <w:szCs w:val="21"/>
              </w:rPr>
            </w:pPr>
          </w:p>
        </w:tc>
        <w:tc>
          <w:tcPr>
            <w:tcW w:w="773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各产烟县人民政府要将基本烟田纳入高标准农田建设总体规划。建立基本烟田保护制度，加大保护利用力度。经规划确定的基本烟田原则上不能随意变动，保护区范围的种烟村，应在《村规民约》或《村民自治章程》中体现基本烟田保护的有关规定及具体措施。</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《永州市人民政府办公室关于进一步加强基本烟田建设与保护工作的通知》（永政办发〔2014〕19号）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ascii="Times New Roman" w:hAnsi="Times New Roman" w:eastAsia="仿宋" w:cs="Times New Roman"/>
                <w:szCs w:val="21"/>
              </w:rPr>
            </w:pPr>
          </w:p>
        </w:tc>
        <w:tc>
          <w:tcPr>
            <w:tcW w:w="773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加强基本烟田建设，到2025年全市建成67万亩设施完善、产业配套、产出高效的高标准基本烟田。对纳入基本烟田范围的耕地，严禁种植马铃薯等茄科、十字花科作物。开展高标准基本烟田建设，完善基础设施配套建设。</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《永州市人民政府办公室关于推动全市烟叶产业高质量发展的意见》（永政办发〔2020〕4号）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704"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工业园区</w:t>
            </w:r>
          </w:p>
        </w:tc>
        <w:tc>
          <w:tcPr>
            <w:tcW w:w="1192" w:type="dxa"/>
            <w:vMerge w:val="restart"/>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ascii="Times New Roman" w:hAnsi="Times New Roman" w:eastAsia="仿宋" w:cs="Times New Roman"/>
                <w:szCs w:val="21"/>
              </w:rPr>
            </w:pPr>
            <w:r>
              <w:rPr>
                <w:rFonts w:ascii="Times New Roman" w:hAnsi="Times New Roman" w:eastAsia="仿宋" w:cs="Times New Roman"/>
                <w:szCs w:val="21"/>
              </w:rPr>
              <w:t>空间布局约束</w:t>
            </w:r>
          </w:p>
        </w:tc>
        <w:tc>
          <w:tcPr>
            <w:tcW w:w="773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408" w:firstLineChars="200"/>
              <w:textAlignment w:val="auto"/>
              <w:rPr>
                <w:rFonts w:ascii="Times New Roman" w:hAnsi="Times New Roman" w:eastAsia="仿宋" w:cs="Times New Roman"/>
                <w:szCs w:val="21"/>
              </w:rPr>
            </w:pPr>
            <w:r>
              <w:rPr>
                <w:rFonts w:ascii="Times New Roman" w:hAnsi="Times New Roman" w:eastAsia="仿宋" w:cs="Times New Roman"/>
                <w:bCs/>
                <w:color w:val="000000" w:themeColor="text1"/>
                <w:spacing w:val="-3"/>
                <w:szCs w:val="21"/>
                <w14:textFill>
                  <w14:solidFill>
                    <w14:schemeClr w14:val="tx1"/>
                  </w14:solidFill>
                </w14:textFill>
              </w:rPr>
              <w:t>引导工业项目向产业园区集聚，从严控制独立选址工业项目的数量和用地规模，严禁为不符合要求的“两高”项目、产能过剩项目安排新增建设用地，推广应用节地技术和节地模式，鼓励土地混合开发和空间复合利用。</w:t>
            </w:r>
          </w:p>
        </w:tc>
        <w:tc>
          <w:tcPr>
            <w:tcW w:w="4863"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《永州市国土空间总体规划（2021-2035年）》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新建涉及工业炉窑的建设项目，原则上要入园区，配套建设高效环保治理设施。</w:t>
            </w:r>
          </w:p>
        </w:tc>
        <w:tc>
          <w:tcPr>
            <w:tcW w:w="4863"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bookmarkStart w:id="3" w:name="_Hlk58460604"/>
            <w:r>
              <w:rPr>
                <w:rFonts w:ascii="Times New Roman" w:hAnsi="Times New Roman" w:eastAsia="仿宋" w:cs="Times New Roman"/>
                <w:szCs w:val="21"/>
              </w:rPr>
              <w:t>《关于印发&lt;湖南省工业炉窑大气污染综合治理实施方案&gt;的通知》</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依法依规淘汰落后产能，严禁未经批准新增煤炭、水泥、电解铝等行业产能。坚决遏制“两高”项目盲目发展，科学有序推进拟建项目，严格落实污染物排放区域削减要求。</w:t>
            </w:r>
          </w:p>
        </w:tc>
        <w:tc>
          <w:tcPr>
            <w:tcW w:w="4863"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加快推进全市各产业园区调区扩区，争取符合条件的产业园区申报升格为国家级开发区。</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《永州市承接产业转移示范区发展规划（2019-2025年）》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严控化工、建材、有色、电镀、印染等高污染项目的审批，禁止新建、扩建落后产能项目。严控高污染高能耗企业入园。加强高能耗高排放项目准入管理，必须符合产业政策、行业发展规划和市场准入要求。</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禁止批复产生甲基汞、多氯联笨等我省暂无处置能力的危险废物生产企业。</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《永州市固体废物污染防治规划（2019~2025年） 》（2019年4月）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落实湘江干流（永州段）及主要支流岸线1公里范围内不准新建、扩建化工园区和化工项目要求，依法淘汰取缔违法违规工业园区。</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在划定的工业园区（或集中区）环境和安全防护距离内，禁止规划建设集中的居民生活区、医院、文教区等，已有居住区的，应控制居住人口数量，逐步有计划搬离。</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bookmarkStart w:id="4" w:name="_Hlk6601117"/>
            <w:r>
              <w:rPr>
                <w:rFonts w:ascii="Times New Roman" w:hAnsi="Times New Roman" w:eastAsia="仿宋" w:cs="Times New Roman"/>
                <w:szCs w:val="21"/>
              </w:rPr>
              <w:t>推进永州市静脉产业园规划、建设，促进循环经济发展。</w:t>
            </w:r>
            <w:bookmarkEnd w:id="4"/>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《永州市固体废物污染防治规划（2019~2025年） 》（2019年4月）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restart"/>
            <w:vAlign w:val="center"/>
          </w:tcPr>
          <w:p>
            <w:pPr>
              <w:ind w:left="-134" w:leftChars="-64" w:right="-160" w:rightChars="-76" w:firstLine="1"/>
              <w:jc w:val="center"/>
              <w:rPr>
                <w:rFonts w:ascii="Times New Roman" w:hAnsi="Times New Roman" w:eastAsia="仿宋" w:cs="Times New Roman"/>
                <w:szCs w:val="21"/>
              </w:rPr>
            </w:pPr>
            <w:r>
              <w:rPr>
                <w:rFonts w:ascii="Times New Roman" w:hAnsi="Times New Roman" w:eastAsia="仿宋" w:cs="Times New Roman"/>
                <w:szCs w:val="21"/>
              </w:rPr>
              <w:t>污染物排放管控</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实行排污总量管理,新建、改建、扩建项目以及其他需要新增排污权的，需在首次申领或申请换发排污许可证前获得排污权指标。</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湖南省生态环境厅关于印发《湖南省主要污染物排污权有偿使用和交易实施细则》的通知（湘环发〔2024〕3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持续开展省级及以上工业集聚区专项整治行动，重点排查整治管网不配套、雨污不分流、污水集中处理设施及自动监控运行不正常等问题，实现工业园区污水管网全覆盖，工业污水集中收集处理、达标排放，在线监控稳定运行。评估依托城镇生活污水处理设施处理园区工业废水对出水的影响，对导致出水不能稳定达标的，限期退出城镇污水处理设施，并采取其他措施加以整治。推动加强省级及以上工业园区环境管理水平，建立完善水环境管理档案，实现“一园一档”。</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加强工业废气污染防治，推进大气污染重点行业重点企业清洁生产审核。加强挥发性有机物污染防控智慧管控体系的建设、运行和维护等综合治理。</w:t>
            </w:r>
          </w:p>
        </w:tc>
        <w:tc>
          <w:tcPr>
            <w:tcW w:w="4863" w:type="dxa"/>
            <w:vAlign w:val="center"/>
          </w:tcPr>
          <w:p>
            <w:pPr>
              <w:widowControl/>
              <w:jc w:val="left"/>
              <w:rPr>
                <w:rFonts w:ascii="Times New Roman" w:hAnsi="Times New Roman" w:eastAsia="仿宋" w:cs="Times New Roman"/>
                <w:szCs w:val="21"/>
              </w:rPr>
            </w:pPr>
            <w:r>
              <w:rPr>
                <w:rFonts w:ascii="Times New Roman" w:hAnsi="Times New Roman" w:eastAsia="仿宋" w:cs="Times New Roman"/>
                <w:szCs w:val="21"/>
              </w:rPr>
              <w:t>《永州市国民经济和社会发展第十四个五年规划和二0三五年远景目标纲要》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新、改、扩建涉及 VOCs 排放项目，从原辅材料和工艺过程大力推广使用低（无）VOCs 含量的涂料、有机溶剂、胶黏剂、油墨等原辅材料，配套改进生产工艺。</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《永州市国民经济和社会发展第十四个五年规划和二0三五年远景目标纲要》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加强一般工业固体废物利用与处置。按照“合理规划、安全处置”原则，各区县统筹规划建设一般工业固体废物集中处置设施。以水泥建材、冶金和环保产业为核心构建工业固体废物综合利用系统，拓展资源化利用途径，充分利用水泥、建材和冶炼企业消纳粉煤灰、炉渣、脱硫石膏等工业固体废物，加大对尾矿的综合利用。推进工业固废综合利用产业化，提高工业固废综合利用率。</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《永州市固体废物污染防治规划（2019~2025年） 》（2019年4月）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环境风险防控</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鼓励大型企业自行建设危险废物处理设施，鼓励省级工业园区单独或联合配套建设危险废物集中处理设施。新建收集、利用危险废物的经营项目，必须进入省级以上可以从事危险废物处理的工业园区，不在可以从事危险废物处理的工业园区的已建危险废物经营单位由县级以上人民政府制定和实施转产、搬迁、关闭计划。鼓励危险废物经营单位入驻永州市静脉产业园。</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《永州市固体废物污染防治规划（2019~2025年） 》（2019年4月）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提高化工园区建设标准，加强园区环境风险预警、防控、应急体系建设。</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Align w:val="center"/>
          </w:tcPr>
          <w:p>
            <w:pPr>
              <w:ind w:left="-134" w:leftChars="-64" w:right="-160" w:rightChars="-76" w:firstLine="1"/>
              <w:jc w:val="center"/>
              <w:rPr>
                <w:rFonts w:ascii="Times New Roman" w:hAnsi="Times New Roman" w:eastAsia="仿宋" w:cs="Times New Roman"/>
                <w:szCs w:val="21"/>
              </w:rPr>
            </w:pPr>
            <w:r>
              <w:rPr>
                <w:rFonts w:ascii="Times New Roman" w:hAnsi="Times New Roman" w:eastAsia="仿宋" w:cs="Times New Roman"/>
                <w:szCs w:val="21"/>
              </w:rPr>
              <w:t>资源开发效率要求</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鼓励支持园区开展绿色低碳试点。优先支持示范区企业、园区开展循环经济试点、低碳经济园区试点。鼓励现有矿产加工、机械制造、建材（筑）等高能耗重点行业改造生产流程，优化生产工艺，延长产业链，提高能源资源综合利用水平。合理规划园区企业结构和布局，促进企业、园区、行业间链接共生、原料互供、资源共享等途径发展循环经济；统筹整合新能源利用、工业再生水使用、废弃物和废水回收等领域的先进做法，示范建设一批“绿色工厂”；全面推广循环经济典型模式，推进节能、节水、资源综合利用等工程建设。实施工业园区节能改造工程，加强园区能源梯级利用，推进集中供热制冷；大力提升园区绿色建筑比重，实施“阳光屋顶”光伏建筑一体化示范工程。</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优先确保符合国家产业政策的重点工业项目用地，对技术领先、竞争力强的工业项目用地做到应保尽保，年度新增用地计划重点支持工业项目建设。集中清理闲置土地，努力盘活存量土地、优化增量，提高土地利用率。按照政策对多层标准厂房给予补贴，促进产业集聚、企业集群和土地资源的集约利用，提高土地利用率。</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《永州市承接产业转移示范区发展规划（2019-2025年）》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江河水库</w:t>
            </w:r>
          </w:p>
        </w:tc>
        <w:tc>
          <w:tcPr>
            <w:tcW w:w="1192"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空间布局约束</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禁止在我市湘江干流及一、二级支流水域、饮用水源保护区（含与饮用水源保护区直接相连水体）、自然保护区、风景名胜区、湿地公园、内湖水域（包括水库）等水域经营水上餐饮。</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《永州市人民政府关于禁止非法经营水上餐饮的通告》（永政函〔2016〕32号）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禁止侵占自然湿地等水源涵养空间，已侵占的限期予以恢复。按照《湖南省河道采砂管理条例》等文件要求，严格落实禁采区、可采区、保留区和禁采期管理措施，组织跨部门联合监督检查和执法专项行动，严厉打击非法采砂行为。</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禁止围湖造地，禁止围垦河道，城市建设不得擅自填堵原有河道沟叉、贮水湖塘洼淀和废除原有防洪围堤，不得占用河道滩地。岸线保护区、保留区以保护为主，严格落实相关法规政策及专项规划提出保护和项目准入要求，相关事项应遵守《中华人民共和国防洪法》《中华人民共和国河道管理条例》。控制利用区、开发利用区坚持适度开发，严格管控开发利用强度和方式，强化岸线保护和节约集约利用。</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《永州市国土空间总体规划（2021-2035年）》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在确保常规监测断面年均水质类别能够达到水环境质量底线目标的前提下，按水（环境）功能区划对新、改、扩建排污口进行准入管理。</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为合理衔接水（环境）功能区划，避免制约底线目标高的河段内必要排污口的设置，制定本条管控要求。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restart"/>
            <w:vAlign w:val="center"/>
          </w:tcPr>
          <w:p>
            <w:pPr>
              <w:ind w:left="-134" w:leftChars="-64" w:right="-160" w:rightChars="-76" w:firstLine="1"/>
              <w:jc w:val="center"/>
              <w:rPr>
                <w:rFonts w:ascii="Times New Roman" w:hAnsi="Times New Roman" w:eastAsia="仿宋" w:cs="Times New Roman"/>
                <w:szCs w:val="21"/>
              </w:rPr>
            </w:pPr>
            <w:r>
              <w:rPr>
                <w:rFonts w:ascii="Times New Roman" w:hAnsi="Times New Roman" w:eastAsia="仿宋" w:cs="Times New Roman"/>
                <w:szCs w:val="21"/>
              </w:rPr>
              <w:t>污染物排放管控</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严格执行《永州市江河水库水资源保护办法》（永政发〔2013〕25号），禁止实施各类污染水体的行为。不得擅自向河道、水库、渠道排污。岩溶地区的水库内禁止使用粪便、化肥等污染物养鱼。</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《永州市江河水库水资源保护办法》（永政发〔2013〕25号）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强化水库周边采矿等工业污染源治理。</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《永州市水库污染治理实施方案（试行）》（永政办函〔2014〕122号）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widowControl/>
              <w:jc w:val="left"/>
              <w:rPr>
                <w:rFonts w:ascii="Times New Roman" w:hAnsi="Times New Roman" w:eastAsia="仿宋" w:cs="Times New Roman"/>
                <w:strike/>
                <w:szCs w:val="21"/>
              </w:rPr>
            </w:pPr>
            <w:r>
              <w:rPr>
                <w:rFonts w:ascii="Times New Roman" w:hAnsi="Times New Roman" w:eastAsia="仿宋" w:cs="Times New Roman"/>
                <w:szCs w:val="21"/>
              </w:rPr>
              <w:t>加强水生态保护修复，对受污染河道的综合整治和生态恢复，结合河道清障、截污、治污、清淤、堤防建设、生态护岸等，逐步提高流域水质。彻底清理河道两岸50米范围内堆放的有毒有害物质和生活垃圾，清除影响防洪航运安全的河道遗留采砂尾堆、水体障碍物及沉淀垃圾，拆除影响水环境质量的违章建筑。</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对入河排污口进行整治，重点整治对饮用水水源构成直接或潜在威胁的排污口，继续加大湘江流域点源污染、重金属污染治理力度，加强污染物治理。</w:t>
            </w:r>
          </w:p>
        </w:tc>
        <w:tc>
          <w:tcPr>
            <w:tcW w:w="4863" w:type="dxa"/>
            <w:vAlign w:val="center"/>
          </w:tcPr>
          <w:p>
            <w:pPr>
              <w:widowControl/>
              <w:jc w:val="left"/>
              <w:rPr>
                <w:rFonts w:ascii="Times New Roman" w:hAnsi="Times New Roman" w:eastAsia="仿宋" w:cs="Times New Roman"/>
                <w:szCs w:val="21"/>
              </w:rPr>
            </w:pPr>
            <w:r>
              <w:rPr>
                <w:rFonts w:ascii="Times New Roman" w:hAnsi="Times New Roman" w:eastAsia="仿宋" w:cs="Times New Roman"/>
                <w:szCs w:val="21"/>
              </w:rPr>
              <w:t>《永州市国土空间总体规划（2021-2035年）》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进一步整改落实东安县“两流域三断面”锑超标问题，努力实现断面水环境质量持续改善。</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《永州市人民政府办公室印发&lt;关于东安县防控区监测三断面锑超标问题整治工作方案&gt;的通知》（永政办函〔2019〕26号）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针对区域地表水、地下水、矿洞涌水、土壤等进行系统详细的锑污染监测和风险评估，了解各区域废渣及矿洞涌水等污染源分布情况和特征，综合评估区域锑浓度贡献率，分步开展历史遗留废渣综合治理工程、河道沉渣综合治理工程、矿洞涌水综合治理工程和矿区生态恢复工程，提升水质安全保障水平。</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3"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强化船舶污染防治。严格执行《船舶水污染物排放控制标准》，依法淘汰不符合标准要求的高污染、高能耗、老旧落后船舶，推进现有不达标船舶升级改造。完成现有船舶改造，经改造仍不能达到标准要求的，加快淘汰。严禁新建不达标船舶进入运输市场；禁止生活污水排放达不到要求的内河运输船舶以及单壳化学品船、600载重吨以上的单壳油船进入湘江水域航行，停止此类船舶的检验和营运手续。加强化学品洗舱水达标处理，强化水上危险化学品运输环境风险防范，严厉打击危险化学品非法水上运输及油污水、化学品洗舱水等非法转运处置行为。</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强化港口码头污染防治。优化沿江码头布局，加快港口码头岸电设施建设。推进生活污水、垃圾、含油污水、化学品洗舱水接收设施建设，提高接收处置能力及污染事故应急能力。完成辖区港口和船舶污染物接收、转运及处置方案建设内容。加强已建港口和船舶污染物接收、转运、处置设施的监管，做好与城市公共转运、处置设施的衔接，保障其良好运转。</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9"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对宁远九嶷河国家湿地公园、零陵潇水国家湿地公园等进行淡水湿地和水生态系统的修复和重建；在堆子头村、两河口村、五一村、白马渡村、葫芦岩村、唐家山村等建设与污水处理厂结合的净化型湿地，有效拦截农业面源，治理、修复湿地生态。</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加强滨河（湖）带生态建设，强化水源涵养林建设与保护，巩固退耕还林还草还湿成果，极推进天然林资源保护、河湖与湿地保护恢复、矿山生态修复、水土流失和石漠化综合治理等生态保护修复工程，在九嶷河、潇水、贤水、蚣坝河、永明河、洑水河等河道两侧建设植被缓冲带和隔离带。</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加强水生态保护修复，对受污染河道的综合整治和生态恢复，结合河道清障、截污、治污、清淤、堤防建设、生态护岸等，逐步提高流域水质。对部分小流域河道淤泥与垃圾进行清理，疏通河道。对部分岸线进行生态改造，通过堤防改造、植物配置，提高水陆交换能力，促进河流生态环境保护。彻底清理河道两岸50米范围内堆放的有毒有害物质和生活垃圾，清除影响防洪航运安全的河道遗留采砂尾堆、水体障碍物及沉淀垃圾，拆除影响水环境质量的违章建筑；完成湘江源头老城区河道清淤。以双牌水库、涔天河水库灌区沟渠塘坝等为重点，加快推进清淤疏浚，建立长效运行和管护体制机制，构建健康水循环体系，提升水体自净能力。加强底泥疏浚、运输、处置全过程管理，防止底泥“二次污染”。</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进行生物多样保护和恢复工程建设，采取禁渔期、禁渔区、增殖放流及人工鱼巢等多种技术措施增殖天然水域水产种质资源。在道县、江华瑶族自治县、江永县、蓝山县、宁远县、双牌县等湘江源区开展水系江河两岸100 米范围生态拦截带建设，恢复流域特别是干流水域鱼类产卵洄游通道，对经评估保留的水电站补充设置过鱼通道，并保持受精鱼卵孵化所需的流速和流程，使流域鱼类资源生境明显改善。建立渔业生态监测体系，常年监测流域渔业生态环境。</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试点引进入侵物种天敌，加大化学防治力度，防治福寿螺、空心莲子草等外来入侵物种危害。</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完成水库周边生活污水处理、畜禽养殖和农业面源污染治理，完善截污沟及人工湿地建设，加强水源地周边的生态修复综合治理。</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《永州市国民经济和社会发展第十四个五年规划和二0三五年远景目标纲要》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Align w:val="center"/>
          </w:tcPr>
          <w:p>
            <w:pPr>
              <w:ind w:left="-134" w:leftChars="-64" w:right="-160" w:rightChars="-76" w:firstLine="1"/>
              <w:jc w:val="center"/>
              <w:rPr>
                <w:rFonts w:ascii="Times New Roman" w:hAnsi="Times New Roman" w:eastAsia="仿宋" w:cs="Times New Roman"/>
                <w:szCs w:val="21"/>
              </w:rPr>
            </w:pPr>
            <w:r>
              <w:rPr>
                <w:rFonts w:ascii="Times New Roman" w:hAnsi="Times New Roman" w:eastAsia="仿宋" w:cs="Times New Roman"/>
                <w:szCs w:val="21"/>
              </w:rPr>
              <w:t>环境风险防控</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开展河流底泥重金属污染及潜在风险评价。对治理风险较小确需治理的河段底泥，明确疏挖范围、疏挖深度、尾水处理方法和底泥安全处理处置方案，开展工程示范，实现污染底泥的无害化、减量化，逐步消除底泥安全隐患。对治理风险较大的河段特别是干流底泥，暂缓实施工程治理，重点加强环境风险监控，开展底泥治理研究攻关。</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w:t>
            </w:r>
          </w:p>
          <w:p>
            <w:pPr>
              <w:rPr>
                <w:rFonts w:ascii="Times New Roman" w:hAnsi="Times New Roman" w:eastAsia="仿宋" w:cs="Times New Roman"/>
                <w:szCs w:val="21"/>
              </w:rPr>
            </w:pPr>
            <w:r>
              <w:rPr>
                <w:rFonts w:ascii="Times New Roman" w:hAnsi="Times New Roman" w:eastAsia="仿宋" w:cs="Times New Roman"/>
                <w:szCs w:val="21"/>
              </w:rPr>
              <w:t>（2021-2025年）》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restart"/>
            <w:vAlign w:val="center"/>
          </w:tcPr>
          <w:p>
            <w:pPr>
              <w:ind w:left="-134" w:leftChars="-64" w:right="-160" w:rightChars="-76" w:firstLine="1"/>
              <w:jc w:val="center"/>
              <w:rPr>
                <w:rFonts w:ascii="Times New Roman" w:hAnsi="Times New Roman" w:eastAsia="仿宋" w:cs="Times New Roman"/>
                <w:szCs w:val="21"/>
              </w:rPr>
            </w:pPr>
            <w:r>
              <w:rPr>
                <w:rFonts w:ascii="Times New Roman" w:hAnsi="Times New Roman" w:eastAsia="仿宋" w:cs="Times New Roman"/>
                <w:szCs w:val="21"/>
              </w:rPr>
              <w:t>资源开发效率要求</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严禁非法侵占河库水域，开发利用水资源应维持河流合理流量和水位，保持地下水合理水位，促进生态系统健康发展。</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《永州市最严格水资源管理制度实施办法》（永政发〔2014〕15号）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ind w:left="-134" w:leftChars="-64" w:right="-160" w:rightChars="-76" w:firstLine="1"/>
              <w:jc w:val="center"/>
              <w:rPr>
                <w:rFonts w:ascii="Times New Roman" w:hAnsi="Times New Roman" w:eastAsia="仿宋" w:cs="Times New Roman"/>
                <w:szCs w:val="21"/>
              </w:rPr>
            </w:pPr>
          </w:p>
        </w:tc>
        <w:tc>
          <w:tcPr>
            <w:tcW w:w="7738" w:type="dxa"/>
            <w:vAlign w:val="center"/>
          </w:tcPr>
          <w:p>
            <w:pPr>
              <w:rPr>
                <w:rFonts w:ascii="Times New Roman" w:hAnsi="Times New Roman" w:eastAsia="仿宋" w:cs="Times New Roman"/>
                <w:strike/>
                <w:szCs w:val="21"/>
              </w:rPr>
            </w:pPr>
            <w:r>
              <w:rPr>
                <w:rFonts w:ascii="Times New Roman" w:hAnsi="Times New Roman" w:eastAsia="仿宋" w:cs="Times New Roman"/>
                <w:szCs w:val="21"/>
              </w:rPr>
              <w:t>加强生态流量保障。</w:t>
            </w:r>
            <w:r>
              <w:rPr>
                <w:rFonts w:ascii="Times New Roman" w:hAnsi="Times New Roman" w:eastAsia="仿宋" w:cs="Times New Roman"/>
                <w:szCs w:val="21"/>
                <w:lang w:val="zh-CN"/>
              </w:rPr>
              <w:t>落实最严格水资源管理制度，加强流域水资源统一管理和调度。</w:t>
            </w:r>
            <w:r>
              <w:rPr>
                <w:rFonts w:ascii="Times New Roman" w:hAnsi="Times New Roman" w:eastAsia="仿宋" w:cs="Times New Roman"/>
                <w:szCs w:val="21"/>
              </w:rPr>
              <w:t xml:space="preserve">控制潇水、湘江生态流量， </w:t>
            </w:r>
            <w:r>
              <w:rPr>
                <w:rFonts w:ascii="Times New Roman" w:hAnsi="Times New Roman" w:eastAsia="仿宋" w:cs="Times New Roman"/>
                <w:szCs w:val="21"/>
                <w:lang w:val="zh-CN"/>
              </w:rPr>
              <w:t>“十四五”期间通过明确闸坝、水库生态调度任务和推进农村水电站生态流量监管，对水资源进行优化调度，保障河流生态流量和最小水位要求。</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《永州市重点流域水生态环境保护“十四五”规划（2021-2025年）》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ind w:left="-134" w:leftChars="-64" w:right="-160" w:rightChars="-76" w:firstLine="1"/>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位于禁止开发区内的电站按要求退出，恢复河流原貌。与农村生产生活用水有矛盾的水电站，要与当地乡村签订保证农村生产生活用水承诺书，否则一律关停。</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实施水电站生态改造，保护生态环境，引水式和混合式电站必须设置专门的生态流量下泄设施，坝后式（河床式）电站要制定保证下游生态需要的方案和措施，与主管部门签订生态流量下泄承诺书。位于水源保护区范围内的水电站应按照水源保护区的要求，制定禁止污水、废油随意排放和垃圾乱倒制度和措施。</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《永州市人民政府办公室关于印发&lt;永州市小水电站突出问题专项整治方案&gt;的通知》（永政办函〔2018〕70号）、永州市小水电清理整改工作方案（永水发〔2019〕6号）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704"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生态空间</w:t>
            </w:r>
          </w:p>
        </w:tc>
        <w:tc>
          <w:tcPr>
            <w:tcW w:w="1192"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空间布局约束</w:t>
            </w:r>
          </w:p>
        </w:tc>
        <w:tc>
          <w:tcPr>
            <w:tcW w:w="7738" w:type="dxa"/>
            <w:vAlign w:val="center"/>
          </w:tcPr>
          <w:p>
            <w:pPr>
              <w:ind w:firstLine="422" w:firstLineChars="200"/>
              <w:rPr>
                <w:rFonts w:ascii="Times New Roman" w:hAnsi="Times New Roman" w:eastAsia="仿宋" w:cs="Times New Roman"/>
                <w:szCs w:val="21"/>
              </w:rPr>
            </w:pPr>
            <w:r>
              <w:rPr>
                <w:rFonts w:ascii="Times New Roman" w:hAnsi="Times New Roman" w:eastAsia="仿宋" w:cs="Times New Roman"/>
                <w:b/>
                <w:bCs/>
                <w:szCs w:val="21"/>
              </w:rPr>
              <w:t>公园</w:t>
            </w:r>
            <w:r>
              <w:rPr>
                <w:rFonts w:ascii="Times New Roman" w:hAnsi="Times New Roman" w:eastAsia="仿宋" w:cs="Times New Roman"/>
                <w:szCs w:val="21"/>
              </w:rPr>
              <w:t>：现有公园的绿化用地比例未达到国家规定的，不得新建、扩建各类建筑物、构筑物或其他设施，并逐步调整达到国家规定。严格控制公园周边影响公园景观的建设项目。</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《永州市公园管理办法》（永政办发〔2014〕62号）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建立健全自然保护地体系。构建由自然保护区和各类自然公园组成的自然保护地体系。实施自然保护地统一设置、分级管理、分区保护。</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《永州市国土空间总体规划（2021-2035年）》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b/>
                <w:bCs/>
                <w:szCs w:val="21"/>
              </w:rPr>
            </w:pPr>
            <w:r>
              <w:rPr>
                <w:rFonts w:ascii="Times New Roman" w:hAnsi="Times New Roman" w:eastAsia="仿宋" w:cs="Times New Roman"/>
                <w:szCs w:val="21"/>
              </w:rPr>
              <w:t>分级分类管控自然保护地。严格落实《关于建立以国家公园为主体的自然保护地体系的指导意见》。原则上自然保护地核心保护区内禁止人为活动。生态保护红线内自 然保护地核心区外其他区域严格禁止开发性、生产性建设活动，在符合现行法律法规前提下，除重大战略项目外，仅允许对生态功能不造成破坏的有限人为活动。自然保护区、风景名胜区管控规则依据相关法律法规和部门规章要求执行。</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《永州市国土空间总体规划（2021-2035年）》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2" w:firstLineChars="200"/>
              <w:rPr>
                <w:rFonts w:ascii="Times New Roman" w:hAnsi="Times New Roman" w:eastAsia="仿宋" w:cs="Times New Roman"/>
                <w:b/>
                <w:bCs/>
                <w:szCs w:val="21"/>
              </w:rPr>
            </w:pPr>
            <w:r>
              <w:rPr>
                <w:rFonts w:ascii="Times New Roman" w:hAnsi="Times New Roman" w:eastAsia="仿宋" w:cs="Times New Roman"/>
                <w:b/>
                <w:bCs/>
                <w:szCs w:val="21"/>
              </w:rPr>
              <w:t>饮用水水源保护区：</w:t>
            </w:r>
          </w:p>
        </w:tc>
        <w:tc>
          <w:tcPr>
            <w:tcW w:w="4863" w:type="dxa"/>
            <w:vAlign w:val="center"/>
          </w:tcPr>
          <w:p>
            <w:pP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饮用水水源保护区及准保护区应严格执行《永州市江河水库水资源保护办法》（永政发〔2013〕25号）的有关规定。</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《永州市江河水库水资源保护办法》（永政发〔2013〕25号）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08" w:firstLineChars="200"/>
              <w:rPr>
                <w:rFonts w:ascii="Times New Roman" w:hAnsi="Times New Roman" w:eastAsia="仿宋" w:cs="Times New Roman"/>
                <w:szCs w:val="21"/>
              </w:rPr>
            </w:pPr>
            <w:r>
              <w:rPr>
                <w:rFonts w:ascii="Times New Roman" w:hAnsi="Times New Roman" w:eastAsia="仿宋" w:cs="Times New Roman"/>
                <w:color w:val="000000" w:themeColor="text1"/>
                <w:spacing w:val="-3"/>
                <w:szCs w:val="21"/>
                <w14:textFill>
                  <w14:solidFill>
                    <w14:schemeClr w14:val="tx1"/>
                  </w14:solidFill>
                </w14:textFill>
              </w:rPr>
              <w:t>科学划定集中式饮用水水源保护区，推进集中式饮用水水源保护区标志设置、隔离防护设施建设，维护好水利设施。严格污染控制，依法清理保护区内违法建筑、排污企业和各类养殖户等。</w:t>
            </w:r>
          </w:p>
        </w:tc>
        <w:tc>
          <w:tcPr>
            <w:tcW w:w="4863" w:type="dxa"/>
            <w:vAlign w:val="center"/>
          </w:tcPr>
          <w:p>
            <w:pPr>
              <w:rPr>
                <w:rFonts w:ascii="Times New Roman" w:hAnsi="Times New Roman" w:eastAsia="仿宋" w:cs="Times New Roman"/>
                <w:strike/>
                <w:szCs w:val="21"/>
              </w:rPr>
            </w:pPr>
            <w:r>
              <w:rPr>
                <w:rFonts w:ascii="Times New Roman" w:hAnsi="Times New Roman" w:eastAsia="仿宋" w:cs="Times New Roman"/>
                <w:szCs w:val="21"/>
              </w:rPr>
              <w:t>《永州市国土空间总体规划（2021-2035年）》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加强饮用水水源水库的保护。在全面普查饮用水水源水库状况的基础上，制定重点饮用水水源水库保护规划，在水库上游山区构筑“生态修复、生态治理、生态保护”三道防线，划定饮用水源一、二级保护区。划定为饮用水源一、二级保护区的水库禁止开展养殖活动，实行水库水源区养殖、污水、垃圾、厕所、环境五项同步治理，开发整理土地，修复废弃矿山生态，实施绿化造林、封山育林，建设生态清洁小流域。</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《永州市水库污染治理实施方案（试行）》（永政办函〔2014〕122号）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矿业</w:t>
            </w:r>
          </w:p>
        </w:tc>
        <w:tc>
          <w:tcPr>
            <w:tcW w:w="1192" w:type="dxa"/>
            <w:vAlign w:val="center"/>
          </w:tcPr>
          <w:p>
            <w:pPr>
              <w:jc w:val="center"/>
              <w:rPr>
                <w:rFonts w:ascii="Times New Roman" w:hAnsi="Times New Roman" w:eastAsia="仿宋" w:cs="Times New Roman"/>
                <w:szCs w:val="21"/>
              </w:rPr>
            </w:pPr>
            <w:r>
              <w:rPr>
                <w:rFonts w:ascii="Times New Roman" w:hAnsi="Times New Roman" w:eastAsia="仿宋" w:cs="Times New Roman"/>
                <w:szCs w:val="21"/>
              </w:rPr>
              <w:t>空间布局约束</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按本附件相关条文执行。</w:t>
            </w:r>
          </w:p>
        </w:tc>
        <w:tc>
          <w:tcPr>
            <w:tcW w:w="4863" w:type="dxa"/>
            <w:vAlign w:val="center"/>
          </w:tcPr>
          <w:p>
            <w:pP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restart"/>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1"/>
              <w:jc w:val="center"/>
              <w:textAlignment w:val="auto"/>
              <w:rPr>
                <w:rFonts w:ascii="Times New Roman" w:hAnsi="Times New Roman" w:eastAsia="仿宋" w:cs="Times New Roman"/>
                <w:szCs w:val="21"/>
              </w:rPr>
            </w:pPr>
            <w:r>
              <w:rPr>
                <w:rFonts w:ascii="Times New Roman" w:hAnsi="Times New Roman" w:eastAsia="仿宋" w:cs="Times New Roman"/>
                <w:szCs w:val="21"/>
              </w:rPr>
              <w:t>污染物排放管控</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矿产资源开发必须符合国家和省、市相关规划要求，合理布局，合理开发，优质优用，最大程度地提高矿产资源的利用水平和经济效益，保护生态环境，必须按照“谁开发、谁保护，谁破坏、谁治理，谁受益、谁补偿”的原则，将环境治理、土地复垦及植被恢复、地质环境保护与综合治理列入企业生产经营主要环节。</w:t>
            </w:r>
          </w:p>
          <w:p>
            <w:pPr>
              <w:ind w:firstLine="420" w:firstLineChars="200"/>
              <w:rPr>
                <w:rFonts w:ascii="Times New Roman" w:hAnsi="Times New Roman" w:eastAsia="仿宋" w:cs="Times New Roman"/>
                <w:szCs w:val="21"/>
              </w:rPr>
            </w:pPr>
            <w:r>
              <w:rPr>
                <w:rFonts w:ascii="Times New Roman" w:hAnsi="Times New Roman" w:eastAsia="仿宋" w:cs="Times New Roman"/>
                <w:szCs w:val="21"/>
              </w:rPr>
              <w:t>矿山企业必须有与生产规模和生产工艺相适应的污染物处理能力，设立固定的废石（土）堆放场所，不准违规占用耕地。</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《永州市人民政府办公室关于严格新建矿山开采企业准入的通知》（永政办发〔2015〕22号）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ascii="Times New Roman" w:hAnsi="Times New Roman" w:eastAsia="仿宋" w:cs="Times New Roman"/>
                <w:szCs w:val="21"/>
              </w:rPr>
            </w:pPr>
          </w:p>
        </w:tc>
        <w:tc>
          <w:tcPr>
            <w:tcW w:w="7738" w:type="dxa"/>
            <w:vAlign w:val="center"/>
          </w:tcPr>
          <w:p>
            <w:pPr>
              <w:widowControl/>
              <w:ind w:firstLine="210" w:firstLineChars="100"/>
              <w:jc w:val="left"/>
              <w:rPr>
                <w:rFonts w:ascii="Times New Roman" w:hAnsi="Times New Roman" w:eastAsia="仿宋" w:cs="Times New Roman"/>
                <w:szCs w:val="21"/>
              </w:rPr>
            </w:pPr>
            <w:r>
              <w:rPr>
                <w:rFonts w:ascii="Times New Roman" w:hAnsi="Times New Roman" w:eastAsia="仿宋" w:cs="Times New Roman"/>
                <w:color w:val="000000"/>
                <w:kern w:val="0"/>
                <w:szCs w:val="21"/>
                <w:lang w:bidi="ar"/>
              </w:rPr>
              <w:t>大力推动矿业转型绿色发展，加快推进锰矿独立工矿区改造搬迁和转型发展。</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加强对现有锰、钨锡稀土、铁铜铅锌钨高岭土、饰面用花岗岩等重点矿区的环境管理和监督，防止土壤、水体的再次污染。</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《永州市承接产业转移示范区发展规划（2019-2025年）》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凡在本市行政区域从事河道采砂（包括利用河道砂石资源进行机械制砂，简称制砂）和管理活动的，按照《永州市河道采砂管理暂行办法》执行。</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《永州市河道采砂管理暂行办法》（永政发〔2019〕8号）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地热（温泉）资源属于国家所有，未经批准，任何单位和个人不得擅自勘查和开发利用。开采利用地热（温泉）的单位和个人应当依法履行下列义务：按照国土资源管理部门核定的生产规模进行开采，严禁超采；建立地热（温泉）资源开采动态监测系统，对开采井（泉）进行严格计量，对开采引起的水位（水头）、水温、水质动态变化实施全程监测，并建立监测档案；集约、节约利用地热（温泉）资源，提高综合利用、梯级利用和循环利用水平；严格执行环境保护要求，对利用后的地热（温泉）尾（弃）水，应当严格处理，不得对周边环境、水体造成污染。</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《永州市国土资源管理规定（试行）》（永州市人民政府令〔2014〕第3号）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jc w:val="center"/>
              <w:textAlignment w:val="auto"/>
              <w:rPr>
                <w:rFonts w:ascii="Times New Roman" w:hAnsi="Times New Roman" w:eastAsia="仿宋" w:cs="Times New Roman"/>
                <w:szCs w:val="21"/>
              </w:rPr>
            </w:pPr>
            <w:r>
              <w:rPr>
                <w:rFonts w:ascii="Times New Roman" w:hAnsi="Times New Roman" w:eastAsia="仿宋" w:cs="Times New Roman"/>
                <w:szCs w:val="21"/>
              </w:rPr>
              <w:t>环境风险防控</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按本附件相关条文执行。</w:t>
            </w:r>
          </w:p>
        </w:tc>
        <w:tc>
          <w:tcPr>
            <w:tcW w:w="4863" w:type="dxa"/>
            <w:vAlign w:val="center"/>
          </w:tcPr>
          <w:p>
            <w:pP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vAlign w:val="center"/>
          </w:tcPr>
          <w:p>
            <w:pPr>
              <w:jc w:val="center"/>
              <w:rPr>
                <w:rFonts w:ascii="Times New Roman" w:hAnsi="Times New Roman" w:eastAsia="仿宋" w:cs="Times New Roman"/>
                <w:szCs w:val="21"/>
              </w:rPr>
            </w:pPr>
          </w:p>
        </w:tc>
        <w:tc>
          <w:tcPr>
            <w:tcW w:w="1192" w:type="dxa"/>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jc w:val="center"/>
              <w:textAlignment w:val="auto"/>
              <w:rPr>
                <w:rFonts w:ascii="Times New Roman" w:hAnsi="Times New Roman" w:eastAsia="仿宋" w:cs="Times New Roman"/>
                <w:szCs w:val="21"/>
              </w:rPr>
            </w:pPr>
            <w:r>
              <w:rPr>
                <w:rFonts w:ascii="Times New Roman" w:hAnsi="Times New Roman" w:eastAsia="仿宋" w:cs="Times New Roman"/>
                <w:szCs w:val="21"/>
              </w:rPr>
              <w:t>资源开发效率要求</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按本附件相关条文执行。</w:t>
            </w:r>
          </w:p>
        </w:tc>
        <w:tc>
          <w:tcPr>
            <w:tcW w:w="4863" w:type="dxa"/>
            <w:vAlign w:val="center"/>
          </w:tcPr>
          <w:p>
            <w:pP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restart"/>
            <w:vAlign w:val="center"/>
          </w:tcPr>
          <w:p>
            <w:pPr>
              <w:jc w:val="center"/>
              <w:rPr>
                <w:rFonts w:ascii="Times New Roman" w:hAnsi="Times New Roman" w:eastAsia="仿宋" w:cs="Times New Roman"/>
                <w:szCs w:val="21"/>
              </w:rPr>
            </w:pPr>
            <w:r>
              <w:rPr>
                <w:rFonts w:ascii="Times New Roman" w:hAnsi="Times New Roman" w:eastAsia="仿宋" w:cs="Times New Roman"/>
                <w:szCs w:val="21"/>
              </w:rPr>
              <w:t>养殖业</w:t>
            </w:r>
          </w:p>
        </w:tc>
        <w:tc>
          <w:tcPr>
            <w:tcW w:w="1192" w:type="dxa"/>
            <w:vMerge w:val="restart"/>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jc w:val="center"/>
              <w:textAlignment w:val="auto"/>
              <w:rPr>
                <w:rFonts w:ascii="Times New Roman" w:hAnsi="Times New Roman" w:eastAsia="仿宋" w:cs="Times New Roman"/>
                <w:szCs w:val="21"/>
              </w:rPr>
            </w:pPr>
            <w:r>
              <w:rPr>
                <w:rFonts w:ascii="Times New Roman" w:hAnsi="Times New Roman" w:eastAsia="仿宋" w:cs="Times New Roman"/>
                <w:szCs w:val="21"/>
              </w:rPr>
              <w:t>空间布局约束</w:t>
            </w: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严格执行畜禽养殖分区管理制度。</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color w:val="000000"/>
                <w:kern w:val="0"/>
                <w:szCs w:val="21"/>
                <w:lang w:bidi="ar"/>
              </w:rPr>
              <w:t>14 个县市区发布的新的畜禽养殖禁养区划定方案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ind w:left="-134" w:leftChars="-64" w:right="-160" w:rightChars="-76" w:firstLine="1"/>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color w:val="000000"/>
                <w:kern w:val="0"/>
                <w:szCs w:val="21"/>
                <w:lang w:bidi="ar"/>
              </w:rPr>
            </w:pPr>
            <w:r>
              <w:rPr>
                <w:rFonts w:ascii="Times New Roman" w:hAnsi="Times New Roman" w:eastAsia="仿宋" w:cs="Times New Roman"/>
                <w:color w:val="000000"/>
                <w:kern w:val="0"/>
                <w:szCs w:val="21"/>
                <w:lang w:bidi="ar"/>
              </w:rPr>
              <w:t>禁养区内不得新建、扩建和改建各类规模化畜禽养殖场及养殖专业户。</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各县区畜禽养殖污染防治规划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ind w:left="-134" w:leftChars="-64" w:right="-160" w:rightChars="-76" w:firstLine="1"/>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各县区（管理区、经开区）要根据城乡发展现状及现有“禁养区、限养区、适养区”划定成果，对不合理区域进行重新规划，并向市农业农村局备案。</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《永州市加快推进畜禽养殖废弃物资源化利用实施方案》（永政办函〔2018〕33号）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ind w:left="-134" w:leftChars="-64" w:right="-160" w:rightChars="-76" w:firstLine="1"/>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贯彻实施《永州市养殖水域滩涂规划（2018－2030年）》，在禁止养殖区施行全面禁捕，禁止投肥投料等各类人工养殖行为；限制养殖区内禁止投肥，上游限养水库流水进入下游禁止养殖区，应符合其禁养区的水质要求，不符合禁养区水质要求的应建设必要的水处理设施，确保其水质符合禁养区的要求；限制养殖区禁止设置网箱围栏。</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《关于印发〈永州市养殖水域滩涂规划（2018－2030年）〉的通知》（永政办函〔2018〕64号）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restart"/>
            <w:vAlign w:val="center"/>
          </w:tcPr>
          <w:p>
            <w:pPr>
              <w:ind w:left="-134" w:leftChars="-64" w:right="-160" w:rightChars="-76" w:firstLine="1"/>
              <w:jc w:val="center"/>
              <w:rPr>
                <w:rFonts w:ascii="Times New Roman" w:hAnsi="Times New Roman" w:eastAsia="仿宋" w:cs="Times New Roman"/>
                <w:szCs w:val="21"/>
              </w:rPr>
            </w:pPr>
            <w:r>
              <w:rPr>
                <w:rFonts w:ascii="Times New Roman" w:hAnsi="Times New Roman" w:eastAsia="仿宋" w:cs="Times New Roman"/>
                <w:szCs w:val="21"/>
              </w:rPr>
              <w:t>污染物排放管控</w:t>
            </w:r>
          </w:p>
        </w:tc>
        <w:tc>
          <w:tcPr>
            <w:tcW w:w="7738" w:type="dxa"/>
            <w:vAlign w:val="center"/>
          </w:tcPr>
          <w:p>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加大对畜禽养殖场粪污资源化利用扶持力度，加强畜禽养殖处理设施建设。新建一批规模化畜禽养殖场粪污治理示范工程和以畜禽粪便为原料的商品肥料生产企业。对全市限养区、适养区内传统畜禽养殖场全面进行提质改造，配套建设畜禽废弃物无害化处理和资源化利用设施设备，使畜禽养殖污水稳定达标排放。</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《永州市“十四五”生态环境保护规划》（2021年12月）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jc w:val="center"/>
              <w:rPr>
                <w:rFonts w:ascii="Times New Roman" w:hAnsi="Times New Roman" w:eastAsia="仿宋" w:cs="Times New Roman"/>
                <w:szCs w:val="21"/>
              </w:rPr>
            </w:pPr>
          </w:p>
        </w:tc>
        <w:tc>
          <w:tcPr>
            <w:tcW w:w="1192" w:type="dxa"/>
            <w:vMerge w:val="continue"/>
            <w:vAlign w:val="center"/>
          </w:tcPr>
          <w:p>
            <w:pPr>
              <w:ind w:left="-134" w:leftChars="-64" w:right="-160" w:rightChars="-76" w:firstLine="1"/>
              <w:jc w:val="center"/>
              <w:rPr>
                <w:rFonts w:ascii="Times New Roman" w:hAnsi="Times New Roman" w:eastAsia="仿宋" w:cs="Times New Roman"/>
                <w:szCs w:val="21"/>
              </w:rPr>
            </w:pPr>
          </w:p>
        </w:tc>
        <w:tc>
          <w:tcPr>
            <w:tcW w:w="7738" w:type="dxa"/>
            <w:vAlign w:val="center"/>
          </w:tcPr>
          <w:p>
            <w:pPr>
              <w:ind w:firstLine="420" w:firstLineChars="200"/>
              <w:rPr>
                <w:rFonts w:ascii="Times New Roman" w:hAnsi="Times New Roman" w:eastAsia="仿宋" w:cs="Times New Roman"/>
                <w:szCs w:val="21"/>
              </w:rPr>
            </w:pPr>
            <w:r>
              <w:rPr>
                <w:rFonts w:ascii="Times New Roman" w:hAnsi="Times New Roman" w:eastAsia="仿宋" w:cs="Times New Roman"/>
                <w:szCs w:val="21"/>
              </w:rPr>
              <w:t>加强养殖水域污染防治。全面实施水域滩涂养殖证制度，合理规划水产养殖布局和规模，规范河流、水库等天然水域水产养殖行为。大力发展绿色水产养殖，严格执行《湖南省水产养殖尾水污染物排放标准》，到2025年，规模以上水产养殖场尾水实现循环利用或达标排放。</w:t>
            </w:r>
          </w:p>
        </w:tc>
        <w:tc>
          <w:tcPr>
            <w:tcW w:w="4863" w:type="dxa"/>
            <w:vAlign w:val="center"/>
          </w:tcPr>
          <w:p>
            <w:pPr>
              <w:rPr>
                <w:rFonts w:ascii="Times New Roman" w:hAnsi="Times New Roman" w:eastAsia="仿宋" w:cs="Times New Roman"/>
                <w:szCs w:val="21"/>
              </w:rPr>
            </w:pPr>
            <w:r>
              <w:rPr>
                <w:rFonts w:ascii="Times New Roman" w:hAnsi="Times New Roman" w:eastAsia="仿宋" w:cs="Times New Roman"/>
                <w:szCs w:val="21"/>
              </w:rPr>
              <w:t>《永州市重点流域水生态环境保护“十四五”规划（2021-2025年）》</w:t>
            </w:r>
          </w:p>
        </w:tc>
      </w:tr>
    </w:tbl>
    <w:p>
      <w:pPr>
        <w:rPr>
          <w:rFonts w:ascii="Times New Roman" w:hAnsi="Times New Roman" w:eastAsia="仿宋" w:cs="Times New Roman"/>
          <w:bCs/>
          <w:color w:val="000000" w:themeColor="text1"/>
          <w:szCs w:val="21"/>
          <w14:textFill>
            <w14:solidFill>
              <w14:schemeClr w14:val="tx1"/>
            </w14:solidFill>
          </w14:textFill>
        </w:rPr>
      </w:pPr>
    </w:p>
    <w:p>
      <w:pPr>
        <w:widowControl/>
        <w:jc w:val="left"/>
        <w:rPr>
          <w:rFonts w:ascii="Times New Roman" w:hAnsi="Times New Roman" w:eastAsia="仿宋" w:cs="Times New Roman"/>
          <w:color w:val="000000" w:themeColor="text1"/>
          <w:sz w:val="24"/>
          <w:szCs w:val="32"/>
          <w14:textFill>
            <w14:solidFill>
              <w14:schemeClr w14:val="tx1"/>
            </w14:solidFill>
          </w14:textFill>
        </w:rPr>
      </w:pPr>
    </w:p>
    <w:sectPr>
      <w:headerReference r:id="rId7" w:type="default"/>
      <w:footerReference r:id="rId8" w:type="default"/>
      <w:pgSz w:w="16838" w:h="11906" w:orient="landscape"/>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6207269"/>
      <w:docPartObj>
        <w:docPartGallery w:val="autotext"/>
      </w:docPartObj>
    </w:sdtPr>
    <w:sdtEndPr>
      <w:rPr>
        <w:sz w:val="21"/>
      </w:rPr>
    </w:sdtEndPr>
    <w:sdtContent>
      <w:p>
        <w:pPr>
          <w:pStyle w:val="12"/>
          <w:jc w:val="center"/>
          <w:rPr>
            <w:sz w:val="21"/>
          </w:rPr>
        </w:pPr>
        <w:r>
          <w:rPr>
            <w:sz w:val="21"/>
          </w:rPr>
          <w:fldChar w:fldCharType="begin"/>
        </w:r>
        <w:r>
          <w:rPr>
            <w:sz w:val="21"/>
          </w:rPr>
          <w:instrText xml:space="preserve">PAGE   \* MERGEFORMAT</w:instrText>
        </w:r>
        <w:r>
          <w:rPr>
            <w:sz w:val="21"/>
          </w:rPr>
          <w:fldChar w:fldCharType="separate"/>
        </w:r>
        <w:r>
          <w:rPr>
            <w:sz w:val="21"/>
            <w:lang w:val="zh-CN"/>
          </w:rPr>
          <w:t>II</w:t>
        </w:r>
        <w:r>
          <w:rPr>
            <w:sz w:val="21"/>
          </w:rPr>
          <w:fldChar w:fldCharType="end"/>
        </w:r>
      </w:p>
    </w:sdtContent>
  </w:sdt>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lang w:val="zh-CN"/>
      </w:rPr>
      <w:t>99</w:t>
    </w:r>
    <w:r>
      <w:rPr>
        <w:rFonts w:ascii="Times New Roman" w:hAnsi="Times New Roman"/>
        <w:sz w:val="21"/>
        <w:szCs w:val="21"/>
        <w:lang w:val="zh-CN"/>
      </w:rP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RmYjI0NmJjYzhiNmRiM2M2NjAzMTUyYWZhMTliNWIifQ=="/>
    <w:docVar w:name="KSO_WPS_MARK_KEY" w:val="3e846860-c0f2-415b-919a-6b335cd69201"/>
  </w:docVars>
  <w:rsids>
    <w:rsidRoot w:val="00D0314A"/>
    <w:rsid w:val="00001023"/>
    <w:rsid w:val="00016E9E"/>
    <w:rsid w:val="000203F2"/>
    <w:rsid w:val="00020849"/>
    <w:rsid w:val="000334CB"/>
    <w:rsid w:val="00037328"/>
    <w:rsid w:val="000431C8"/>
    <w:rsid w:val="00051275"/>
    <w:rsid w:val="00051CA9"/>
    <w:rsid w:val="00052855"/>
    <w:rsid w:val="00055841"/>
    <w:rsid w:val="0006389D"/>
    <w:rsid w:val="0006585A"/>
    <w:rsid w:val="00072794"/>
    <w:rsid w:val="000928FA"/>
    <w:rsid w:val="00093EAA"/>
    <w:rsid w:val="00094501"/>
    <w:rsid w:val="000A33FD"/>
    <w:rsid w:val="000A6281"/>
    <w:rsid w:val="000B1123"/>
    <w:rsid w:val="000B2757"/>
    <w:rsid w:val="000B3C35"/>
    <w:rsid w:val="000B7B8D"/>
    <w:rsid w:val="000C04B7"/>
    <w:rsid w:val="000C0CDA"/>
    <w:rsid w:val="000C6552"/>
    <w:rsid w:val="000D293F"/>
    <w:rsid w:val="000E6B72"/>
    <w:rsid w:val="000F3838"/>
    <w:rsid w:val="000F4AD9"/>
    <w:rsid w:val="000F5F85"/>
    <w:rsid w:val="000F7DB0"/>
    <w:rsid w:val="001043C1"/>
    <w:rsid w:val="00105E00"/>
    <w:rsid w:val="0011620A"/>
    <w:rsid w:val="00117378"/>
    <w:rsid w:val="00121A3F"/>
    <w:rsid w:val="00121DB4"/>
    <w:rsid w:val="001254BF"/>
    <w:rsid w:val="00125948"/>
    <w:rsid w:val="0013099F"/>
    <w:rsid w:val="001317DA"/>
    <w:rsid w:val="00132163"/>
    <w:rsid w:val="00146998"/>
    <w:rsid w:val="00152335"/>
    <w:rsid w:val="0015768E"/>
    <w:rsid w:val="00163449"/>
    <w:rsid w:val="00164707"/>
    <w:rsid w:val="00170900"/>
    <w:rsid w:val="00172C90"/>
    <w:rsid w:val="0017389B"/>
    <w:rsid w:val="00173A1B"/>
    <w:rsid w:val="00174FFD"/>
    <w:rsid w:val="00175CD5"/>
    <w:rsid w:val="00176D6A"/>
    <w:rsid w:val="001772B5"/>
    <w:rsid w:val="00177D3A"/>
    <w:rsid w:val="00184DB9"/>
    <w:rsid w:val="00185E24"/>
    <w:rsid w:val="00191EF8"/>
    <w:rsid w:val="00193C08"/>
    <w:rsid w:val="00195293"/>
    <w:rsid w:val="00197D99"/>
    <w:rsid w:val="001A210B"/>
    <w:rsid w:val="001A3F08"/>
    <w:rsid w:val="001A7CA4"/>
    <w:rsid w:val="001C5C52"/>
    <w:rsid w:val="001D14F7"/>
    <w:rsid w:val="001D1D48"/>
    <w:rsid w:val="001D3BD4"/>
    <w:rsid w:val="001D521F"/>
    <w:rsid w:val="001D79D3"/>
    <w:rsid w:val="001E29C3"/>
    <w:rsid w:val="001E3029"/>
    <w:rsid w:val="001E42A2"/>
    <w:rsid w:val="001F3F72"/>
    <w:rsid w:val="00202C04"/>
    <w:rsid w:val="00203199"/>
    <w:rsid w:val="0021056B"/>
    <w:rsid w:val="0021196B"/>
    <w:rsid w:val="00212207"/>
    <w:rsid w:val="00213A90"/>
    <w:rsid w:val="00215B77"/>
    <w:rsid w:val="00217D1B"/>
    <w:rsid w:val="00223ED9"/>
    <w:rsid w:val="00225AE6"/>
    <w:rsid w:val="0023518A"/>
    <w:rsid w:val="002370FB"/>
    <w:rsid w:val="00237165"/>
    <w:rsid w:val="00237B5A"/>
    <w:rsid w:val="00240B3E"/>
    <w:rsid w:val="002412E5"/>
    <w:rsid w:val="00241C48"/>
    <w:rsid w:val="0026067A"/>
    <w:rsid w:val="002708E4"/>
    <w:rsid w:val="002725AA"/>
    <w:rsid w:val="00274CE0"/>
    <w:rsid w:val="0027527E"/>
    <w:rsid w:val="00276CBA"/>
    <w:rsid w:val="00282B80"/>
    <w:rsid w:val="00282FD1"/>
    <w:rsid w:val="00286A25"/>
    <w:rsid w:val="00287516"/>
    <w:rsid w:val="00290769"/>
    <w:rsid w:val="002A0991"/>
    <w:rsid w:val="002A1FA2"/>
    <w:rsid w:val="002B2099"/>
    <w:rsid w:val="002B3209"/>
    <w:rsid w:val="002B4392"/>
    <w:rsid w:val="002B6E2E"/>
    <w:rsid w:val="002C1A5E"/>
    <w:rsid w:val="002D1747"/>
    <w:rsid w:val="002D4DCC"/>
    <w:rsid w:val="002E282F"/>
    <w:rsid w:val="002E421B"/>
    <w:rsid w:val="002F0FCD"/>
    <w:rsid w:val="002F5E6E"/>
    <w:rsid w:val="0030404C"/>
    <w:rsid w:val="00304597"/>
    <w:rsid w:val="00305B26"/>
    <w:rsid w:val="0031138A"/>
    <w:rsid w:val="00311716"/>
    <w:rsid w:val="00317FD1"/>
    <w:rsid w:val="00320109"/>
    <w:rsid w:val="00325A5A"/>
    <w:rsid w:val="003337B0"/>
    <w:rsid w:val="0033631A"/>
    <w:rsid w:val="00344659"/>
    <w:rsid w:val="003454C1"/>
    <w:rsid w:val="0034621E"/>
    <w:rsid w:val="0035490C"/>
    <w:rsid w:val="00365AC5"/>
    <w:rsid w:val="00370CAD"/>
    <w:rsid w:val="00372639"/>
    <w:rsid w:val="00375BBE"/>
    <w:rsid w:val="003766D0"/>
    <w:rsid w:val="0038091C"/>
    <w:rsid w:val="00386F46"/>
    <w:rsid w:val="00387841"/>
    <w:rsid w:val="00387E53"/>
    <w:rsid w:val="003916B1"/>
    <w:rsid w:val="00392CED"/>
    <w:rsid w:val="003947C3"/>
    <w:rsid w:val="00395430"/>
    <w:rsid w:val="00396553"/>
    <w:rsid w:val="003A559D"/>
    <w:rsid w:val="003A56B7"/>
    <w:rsid w:val="003A632B"/>
    <w:rsid w:val="003B1FAA"/>
    <w:rsid w:val="003B2A5E"/>
    <w:rsid w:val="003B3394"/>
    <w:rsid w:val="003B622A"/>
    <w:rsid w:val="003B7201"/>
    <w:rsid w:val="003C2586"/>
    <w:rsid w:val="003C5059"/>
    <w:rsid w:val="003C6641"/>
    <w:rsid w:val="003D1D2D"/>
    <w:rsid w:val="003D50F2"/>
    <w:rsid w:val="003E476B"/>
    <w:rsid w:val="003E47EB"/>
    <w:rsid w:val="003F66A3"/>
    <w:rsid w:val="004124AD"/>
    <w:rsid w:val="00415667"/>
    <w:rsid w:val="00416730"/>
    <w:rsid w:val="00416CF9"/>
    <w:rsid w:val="00420B2D"/>
    <w:rsid w:val="00440166"/>
    <w:rsid w:val="00441FBD"/>
    <w:rsid w:val="00446193"/>
    <w:rsid w:val="00447047"/>
    <w:rsid w:val="004475BA"/>
    <w:rsid w:val="00447B7A"/>
    <w:rsid w:val="004516E6"/>
    <w:rsid w:val="00460177"/>
    <w:rsid w:val="004615F7"/>
    <w:rsid w:val="00464728"/>
    <w:rsid w:val="00464BD8"/>
    <w:rsid w:val="00466CB1"/>
    <w:rsid w:val="00476196"/>
    <w:rsid w:val="00477D77"/>
    <w:rsid w:val="00481DB2"/>
    <w:rsid w:val="00487022"/>
    <w:rsid w:val="00490CC6"/>
    <w:rsid w:val="00491FDE"/>
    <w:rsid w:val="00492713"/>
    <w:rsid w:val="00497DA8"/>
    <w:rsid w:val="004A62CD"/>
    <w:rsid w:val="004B454C"/>
    <w:rsid w:val="004B4BA8"/>
    <w:rsid w:val="004B6030"/>
    <w:rsid w:val="004B712F"/>
    <w:rsid w:val="004C6878"/>
    <w:rsid w:val="004D5501"/>
    <w:rsid w:val="004E2145"/>
    <w:rsid w:val="004E5D3A"/>
    <w:rsid w:val="004F2A79"/>
    <w:rsid w:val="004F55D1"/>
    <w:rsid w:val="004F6A7A"/>
    <w:rsid w:val="004F7668"/>
    <w:rsid w:val="00507B0D"/>
    <w:rsid w:val="0051061C"/>
    <w:rsid w:val="005106F6"/>
    <w:rsid w:val="00514173"/>
    <w:rsid w:val="005246A6"/>
    <w:rsid w:val="00532B10"/>
    <w:rsid w:val="00540FBF"/>
    <w:rsid w:val="00541D20"/>
    <w:rsid w:val="00541DCB"/>
    <w:rsid w:val="005446BA"/>
    <w:rsid w:val="00552082"/>
    <w:rsid w:val="00560D3A"/>
    <w:rsid w:val="00562BAF"/>
    <w:rsid w:val="005638A2"/>
    <w:rsid w:val="00565A11"/>
    <w:rsid w:val="00567CBE"/>
    <w:rsid w:val="00573955"/>
    <w:rsid w:val="00576BC7"/>
    <w:rsid w:val="00587D95"/>
    <w:rsid w:val="00590855"/>
    <w:rsid w:val="00596D86"/>
    <w:rsid w:val="005B1898"/>
    <w:rsid w:val="005B2497"/>
    <w:rsid w:val="005B2711"/>
    <w:rsid w:val="005C4C4E"/>
    <w:rsid w:val="005C5A81"/>
    <w:rsid w:val="005C7F1B"/>
    <w:rsid w:val="005D132F"/>
    <w:rsid w:val="005D2D77"/>
    <w:rsid w:val="005E563D"/>
    <w:rsid w:val="005E5D07"/>
    <w:rsid w:val="005E67C1"/>
    <w:rsid w:val="005E6B7F"/>
    <w:rsid w:val="005F14E7"/>
    <w:rsid w:val="005F3D48"/>
    <w:rsid w:val="005F3E31"/>
    <w:rsid w:val="005F3F79"/>
    <w:rsid w:val="005F7827"/>
    <w:rsid w:val="00610232"/>
    <w:rsid w:val="0061154F"/>
    <w:rsid w:val="00627393"/>
    <w:rsid w:val="00641F08"/>
    <w:rsid w:val="00642D99"/>
    <w:rsid w:val="00646FDB"/>
    <w:rsid w:val="0065015B"/>
    <w:rsid w:val="0065174B"/>
    <w:rsid w:val="00652995"/>
    <w:rsid w:val="00652FAC"/>
    <w:rsid w:val="00670DD6"/>
    <w:rsid w:val="00672DB8"/>
    <w:rsid w:val="00681339"/>
    <w:rsid w:val="0068552A"/>
    <w:rsid w:val="006920AB"/>
    <w:rsid w:val="0069400C"/>
    <w:rsid w:val="00697C08"/>
    <w:rsid w:val="006A01CB"/>
    <w:rsid w:val="006A0A22"/>
    <w:rsid w:val="006A4FCF"/>
    <w:rsid w:val="006A5278"/>
    <w:rsid w:val="006B02F3"/>
    <w:rsid w:val="006B2A2A"/>
    <w:rsid w:val="006B5357"/>
    <w:rsid w:val="006B6FB8"/>
    <w:rsid w:val="006B7B20"/>
    <w:rsid w:val="006C48AA"/>
    <w:rsid w:val="006D08FF"/>
    <w:rsid w:val="006D2955"/>
    <w:rsid w:val="006D35B1"/>
    <w:rsid w:val="006D3B14"/>
    <w:rsid w:val="006D5983"/>
    <w:rsid w:val="006E2430"/>
    <w:rsid w:val="006E37FE"/>
    <w:rsid w:val="00701423"/>
    <w:rsid w:val="00703579"/>
    <w:rsid w:val="00714D2A"/>
    <w:rsid w:val="007150D7"/>
    <w:rsid w:val="00715201"/>
    <w:rsid w:val="00717E9F"/>
    <w:rsid w:val="007252E1"/>
    <w:rsid w:val="00730680"/>
    <w:rsid w:val="007311D2"/>
    <w:rsid w:val="00733757"/>
    <w:rsid w:val="007347EB"/>
    <w:rsid w:val="00743865"/>
    <w:rsid w:val="00743E0C"/>
    <w:rsid w:val="00761E8D"/>
    <w:rsid w:val="0076445A"/>
    <w:rsid w:val="0077748F"/>
    <w:rsid w:val="007804B7"/>
    <w:rsid w:val="007A0050"/>
    <w:rsid w:val="007A368A"/>
    <w:rsid w:val="007B4D71"/>
    <w:rsid w:val="007C137F"/>
    <w:rsid w:val="007C1971"/>
    <w:rsid w:val="007C56BF"/>
    <w:rsid w:val="007E2A94"/>
    <w:rsid w:val="007F1D67"/>
    <w:rsid w:val="007F7F26"/>
    <w:rsid w:val="008024F4"/>
    <w:rsid w:val="00802DE5"/>
    <w:rsid w:val="008100C5"/>
    <w:rsid w:val="00810AB6"/>
    <w:rsid w:val="00814509"/>
    <w:rsid w:val="0082198A"/>
    <w:rsid w:val="008232EA"/>
    <w:rsid w:val="0083111B"/>
    <w:rsid w:val="008401BA"/>
    <w:rsid w:val="00840DCF"/>
    <w:rsid w:val="00846FBC"/>
    <w:rsid w:val="0084708B"/>
    <w:rsid w:val="0085158F"/>
    <w:rsid w:val="00853A2A"/>
    <w:rsid w:val="008658D3"/>
    <w:rsid w:val="00872AF3"/>
    <w:rsid w:val="00880669"/>
    <w:rsid w:val="00883242"/>
    <w:rsid w:val="00891D1D"/>
    <w:rsid w:val="008964CF"/>
    <w:rsid w:val="008973A0"/>
    <w:rsid w:val="008A1225"/>
    <w:rsid w:val="008A3940"/>
    <w:rsid w:val="008A4AA0"/>
    <w:rsid w:val="008B6F9B"/>
    <w:rsid w:val="008B78D4"/>
    <w:rsid w:val="008D29DD"/>
    <w:rsid w:val="008D2E44"/>
    <w:rsid w:val="008E06C8"/>
    <w:rsid w:val="008F3FBA"/>
    <w:rsid w:val="008F512A"/>
    <w:rsid w:val="008F62FF"/>
    <w:rsid w:val="00911853"/>
    <w:rsid w:val="00913872"/>
    <w:rsid w:val="0092177C"/>
    <w:rsid w:val="0092299D"/>
    <w:rsid w:val="0092384E"/>
    <w:rsid w:val="00924D50"/>
    <w:rsid w:val="009342E5"/>
    <w:rsid w:val="0093459E"/>
    <w:rsid w:val="009368B2"/>
    <w:rsid w:val="00936ADD"/>
    <w:rsid w:val="0093746D"/>
    <w:rsid w:val="00944275"/>
    <w:rsid w:val="00950F67"/>
    <w:rsid w:val="00955FBA"/>
    <w:rsid w:val="00957A94"/>
    <w:rsid w:val="00971C9B"/>
    <w:rsid w:val="00977769"/>
    <w:rsid w:val="00977868"/>
    <w:rsid w:val="00981F36"/>
    <w:rsid w:val="0098645A"/>
    <w:rsid w:val="00986CAE"/>
    <w:rsid w:val="00992B26"/>
    <w:rsid w:val="00997F8D"/>
    <w:rsid w:val="009A3E74"/>
    <w:rsid w:val="009A40D0"/>
    <w:rsid w:val="009A51B0"/>
    <w:rsid w:val="009D18BB"/>
    <w:rsid w:val="009D6128"/>
    <w:rsid w:val="009E2AE2"/>
    <w:rsid w:val="009E35C6"/>
    <w:rsid w:val="009F2502"/>
    <w:rsid w:val="009F676B"/>
    <w:rsid w:val="00A00D68"/>
    <w:rsid w:val="00A05C3C"/>
    <w:rsid w:val="00A14332"/>
    <w:rsid w:val="00A15034"/>
    <w:rsid w:val="00A17FCD"/>
    <w:rsid w:val="00A22A42"/>
    <w:rsid w:val="00A24B78"/>
    <w:rsid w:val="00A27013"/>
    <w:rsid w:val="00A3535F"/>
    <w:rsid w:val="00A379AF"/>
    <w:rsid w:val="00A46149"/>
    <w:rsid w:val="00A51226"/>
    <w:rsid w:val="00A51A32"/>
    <w:rsid w:val="00A53C66"/>
    <w:rsid w:val="00A64CBC"/>
    <w:rsid w:val="00A668EB"/>
    <w:rsid w:val="00A66CEE"/>
    <w:rsid w:val="00A66E4C"/>
    <w:rsid w:val="00A6781F"/>
    <w:rsid w:val="00A72844"/>
    <w:rsid w:val="00A747A1"/>
    <w:rsid w:val="00A749F1"/>
    <w:rsid w:val="00A85B49"/>
    <w:rsid w:val="00A94B07"/>
    <w:rsid w:val="00A95B66"/>
    <w:rsid w:val="00AB1B2F"/>
    <w:rsid w:val="00AC0495"/>
    <w:rsid w:val="00AC77AF"/>
    <w:rsid w:val="00AD3380"/>
    <w:rsid w:val="00AD4220"/>
    <w:rsid w:val="00AE0EDB"/>
    <w:rsid w:val="00AE0F1E"/>
    <w:rsid w:val="00AE227B"/>
    <w:rsid w:val="00AE31B2"/>
    <w:rsid w:val="00AF50CA"/>
    <w:rsid w:val="00AF5F9D"/>
    <w:rsid w:val="00AF7E86"/>
    <w:rsid w:val="00B0066C"/>
    <w:rsid w:val="00B03759"/>
    <w:rsid w:val="00B075F6"/>
    <w:rsid w:val="00B125DA"/>
    <w:rsid w:val="00B13F60"/>
    <w:rsid w:val="00B14E3F"/>
    <w:rsid w:val="00B17E45"/>
    <w:rsid w:val="00B250A5"/>
    <w:rsid w:val="00B2779A"/>
    <w:rsid w:val="00B32BAF"/>
    <w:rsid w:val="00B42A8C"/>
    <w:rsid w:val="00B45069"/>
    <w:rsid w:val="00B50F65"/>
    <w:rsid w:val="00B553A6"/>
    <w:rsid w:val="00B639CD"/>
    <w:rsid w:val="00B64578"/>
    <w:rsid w:val="00B65ACC"/>
    <w:rsid w:val="00B72225"/>
    <w:rsid w:val="00B72813"/>
    <w:rsid w:val="00B73E6E"/>
    <w:rsid w:val="00B75B13"/>
    <w:rsid w:val="00B77AAF"/>
    <w:rsid w:val="00B946BE"/>
    <w:rsid w:val="00B96D92"/>
    <w:rsid w:val="00BA0EC4"/>
    <w:rsid w:val="00BA3782"/>
    <w:rsid w:val="00BA68A5"/>
    <w:rsid w:val="00BB0D41"/>
    <w:rsid w:val="00BB3D41"/>
    <w:rsid w:val="00BC67CD"/>
    <w:rsid w:val="00BD25E3"/>
    <w:rsid w:val="00BD358E"/>
    <w:rsid w:val="00BD430B"/>
    <w:rsid w:val="00BE2711"/>
    <w:rsid w:val="00BE2B23"/>
    <w:rsid w:val="00BE3882"/>
    <w:rsid w:val="00BE75DA"/>
    <w:rsid w:val="00BE78EF"/>
    <w:rsid w:val="00BF4BB4"/>
    <w:rsid w:val="00BF74DC"/>
    <w:rsid w:val="00C01CB5"/>
    <w:rsid w:val="00C04DFB"/>
    <w:rsid w:val="00C06D6A"/>
    <w:rsid w:val="00C14AD1"/>
    <w:rsid w:val="00C15D0B"/>
    <w:rsid w:val="00C261B4"/>
    <w:rsid w:val="00C34310"/>
    <w:rsid w:val="00C420A0"/>
    <w:rsid w:val="00C45B56"/>
    <w:rsid w:val="00C46648"/>
    <w:rsid w:val="00C47082"/>
    <w:rsid w:val="00C474F5"/>
    <w:rsid w:val="00C50529"/>
    <w:rsid w:val="00C56821"/>
    <w:rsid w:val="00C66B62"/>
    <w:rsid w:val="00C70ED2"/>
    <w:rsid w:val="00C73337"/>
    <w:rsid w:val="00C7742F"/>
    <w:rsid w:val="00C77D60"/>
    <w:rsid w:val="00C84AD2"/>
    <w:rsid w:val="00C855C9"/>
    <w:rsid w:val="00C86C71"/>
    <w:rsid w:val="00CA233A"/>
    <w:rsid w:val="00CA257F"/>
    <w:rsid w:val="00CA46EA"/>
    <w:rsid w:val="00CA7A6E"/>
    <w:rsid w:val="00CB1316"/>
    <w:rsid w:val="00CB2512"/>
    <w:rsid w:val="00CB7B27"/>
    <w:rsid w:val="00CC1535"/>
    <w:rsid w:val="00CD05FA"/>
    <w:rsid w:val="00CD20FA"/>
    <w:rsid w:val="00CE7018"/>
    <w:rsid w:val="00CF223A"/>
    <w:rsid w:val="00D02FB5"/>
    <w:rsid w:val="00D0314A"/>
    <w:rsid w:val="00D03F83"/>
    <w:rsid w:val="00D04390"/>
    <w:rsid w:val="00D11A63"/>
    <w:rsid w:val="00D224B1"/>
    <w:rsid w:val="00D25066"/>
    <w:rsid w:val="00D406A2"/>
    <w:rsid w:val="00D43212"/>
    <w:rsid w:val="00D579D5"/>
    <w:rsid w:val="00D6538C"/>
    <w:rsid w:val="00D72D06"/>
    <w:rsid w:val="00D72E9A"/>
    <w:rsid w:val="00D74860"/>
    <w:rsid w:val="00D7741A"/>
    <w:rsid w:val="00D91C66"/>
    <w:rsid w:val="00D9270C"/>
    <w:rsid w:val="00D927CF"/>
    <w:rsid w:val="00D93279"/>
    <w:rsid w:val="00D95CBC"/>
    <w:rsid w:val="00D968CB"/>
    <w:rsid w:val="00DB0758"/>
    <w:rsid w:val="00DB1D90"/>
    <w:rsid w:val="00DB2AB0"/>
    <w:rsid w:val="00DB6AF5"/>
    <w:rsid w:val="00DC5330"/>
    <w:rsid w:val="00DD2C78"/>
    <w:rsid w:val="00DD2CF7"/>
    <w:rsid w:val="00DD3640"/>
    <w:rsid w:val="00DD5C02"/>
    <w:rsid w:val="00DD6746"/>
    <w:rsid w:val="00DE005D"/>
    <w:rsid w:val="00DE2EED"/>
    <w:rsid w:val="00DE3ADA"/>
    <w:rsid w:val="00DF478D"/>
    <w:rsid w:val="00E0031D"/>
    <w:rsid w:val="00E02CE2"/>
    <w:rsid w:val="00E02DAB"/>
    <w:rsid w:val="00E03349"/>
    <w:rsid w:val="00E04E19"/>
    <w:rsid w:val="00E066C6"/>
    <w:rsid w:val="00E06B17"/>
    <w:rsid w:val="00E12809"/>
    <w:rsid w:val="00E16459"/>
    <w:rsid w:val="00E21A81"/>
    <w:rsid w:val="00E26D12"/>
    <w:rsid w:val="00E34BBB"/>
    <w:rsid w:val="00E4302B"/>
    <w:rsid w:val="00E535BE"/>
    <w:rsid w:val="00E5443B"/>
    <w:rsid w:val="00E575E1"/>
    <w:rsid w:val="00E578E2"/>
    <w:rsid w:val="00E61684"/>
    <w:rsid w:val="00E65504"/>
    <w:rsid w:val="00E670F9"/>
    <w:rsid w:val="00E726DC"/>
    <w:rsid w:val="00E727A0"/>
    <w:rsid w:val="00E77103"/>
    <w:rsid w:val="00E8294D"/>
    <w:rsid w:val="00E833BB"/>
    <w:rsid w:val="00E86A9B"/>
    <w:rsid w:val="00E91232"/>
    <w:rsid w:val="00E91FA8"/>
    <w:rsid w:val="00EB187B"/>
    <w:rsid w:val="00EC252C"/>
    <w:rsid w:val="00EC26B1"/>
    <w:rsid w:val="00EC51A7"/>
    <w:rsid w:val="00EE13E6"/>
    <w:rsid w:val="00EE301F"/>
    <w:rsid w:val="00EE37E7"/>
    <w:rsid w:val="00EE5151"/>
    <w:rsid w:val="00EF7EC5"/>
    <w:rsid w:val="00F01E6F"/>
    <w:rsid w:val="00F11162"/>
    <w:rsid w:val="00F14161"/>
    <w:rsid w:val="00F16D67"/>
    <w:rsid w:val="00F223D7"/>
    <w:rsid w:val="00F22A42"/>
    <w:rsid w:val="00F24A0F"/>
    <w:rsid w:val="00F307C6"/>
    <w:rsid w:val="00F3511D"/>
    <w:rsid w:val="00F3741D"/>
    <w:rsid w:val="00F37A4E"/>
    <w:rsid w:val="00F546B6"/>
    <w:rsid w:val="00F652DC"/>
    <w:rsid w:val="00F6548A"/>
    <w:rsid w:val="00F66468"/>
    <w:rsid w:val="00F71A9C"/>
    <w:rsid w:val="00F810CD"/>
    <w:rsid w:val="00F841CD"/>
    <w:rsid w:val="00F84251"/>
    <w:rsid w:val="00F842E3"/>
    <w:rsid w:val="00F843F8"/>
    <w:rsid w:val="00F84CD4"/>
    <w:rsid w:val="00F87EF2"/>
    <w:rsid w:val="00F906F2"/>
    <w:rsid w:val="00F90E22"/>
    <w:rsid w:val="00F925EB"/>
    <w:rsid w:val="00F9325C"/>
    <w:rsid w:val="00F951CC"/>
    <w:rsid w:val="00F954AA"/>
    <w:rsid w:val="00F97677"/>
    <w:rsid w:val="00FA2BD4"/>
    <w:rsid w:val="00FA4A21"/>
    <w:rsid w:val="00FB2DD4"/>
    <w:rsid w:val="00FB2FED"/>
    <w:rsid w:val="00FB7C44"/>
    <w:rsid w:val="00FC47FB"/>
    <w:rsid w:val="00FC76AE"/>
    <w:rsid w:val="00FD13A1"/>
    <w:rsid w:val="00FE22FD"/>
    <w:rsid w:val="00FE2457"/>
    <w:rsid w:val="00FE4AEF"/>
    <w:rsid w:val="00FE5184"/>
    <w:rsid w:val="00FE5B69"/>
    <w:rsid w:val="00FF3BE0"/>
    <w:rsid w:val="00FF64EB"/>
    <w:rsid w:val="00FF757C"/>
    <w:rsid w:val="039876E7"/>
    <w:rsid w:val="05F23A3F"/>
    <w:rsid w:val="05FE4192"/>
    <w:rsid w:val="088D6641"/>
    <w:rsid w:val="099B1877"/>
    <w:rsid w:val="0A326874"/>
    <w:rsid w:val="0AE47584"/>
    <w:rsid w:val="0C626909"/>
    <w:rsid w:val="0C970E9C"/>
    <w:rsid w:val="0F877DB1"/>
    <w:rsid w:val="0FD059DB"/>
    <w:rsid w:val="12802304"/>
    <w:rsid w:val="15BF57B9"/>
    <w:rsid w:val="165336CC"/>
    <w:rsid w:val="18133117"/>
    <w:rsid w:val="18422604"/>
    <w:rsid w:val="18471150"/>
    <w:rsid w:val="184E511A"/>
    <w:rsid w:val="19496B8C"/>
    <w:rsid w:val="1A0F50FD"/>
    <w:rsid w:val="1BCC2910"/>
    <w:rsid w:val="1E4F7829"/>
    <w:rsid w:val="21055A6C"/>
    <w:rsid w:val="212A0751"/>
    <w:rsid w:val="226C31AF"/>
    <w:rsid w:val="24827CC0"/>
    <w:rsid w:val="25B63800"/>
    <w:rsid w:val="25CF540E"/>
    <w:rsid w:val="2799138D"/>
    <w:rsid w:val="28F162CA"/>
    <w:rsid w:val="2A9036A3"/>
    <w:rsid w:val="2AC33130"/>
    <w:rsid w:val="2E37109D"/>
    <w:rsid w:val="2EA35CAE"/>
    <w:rsid w:val="2FD048E2"/>
    <w:rsid w:val="33D174C0"/>
    <w:rsid w:val="344123CD"/>
    <w:rsid w:val="34531D58"/>
    <w:rsid w:val="3519272F"/>
    <w:rsid w:val="353B4F84"/>
    <w:rsid w:val="377A6199"/>
    <w:rsid w:val="3805122C"/>
    <w:rsid w:val="39100077"/>
    <w:rsid w:val="398429E9"/>
    <w:rsid w:val="3B191B5E"/>
    <w:rsid w:val="3B781A42"/>
    <w:rsid w:val="3DAF38DC"/>
    <w:rsid w:val="43B337C7"/>
    <w:rsid w:val="47067FE2"/>
    <w:rsid w:val="47390B6A"/>
    <w:rsid w:val="48F94F7F"/>
    <w:rsid w:val="4B410232"/>
    <w:rsid w:val="4E361CE8"/>
    <w:rsid w:val="4F3B5FE1"/>
    <w:rsid w:val="4F4E6B57"/>
    <w:rsid w:val="5014267E"/>
    <w:rsid w:val="514A1822"/>
    <w:rsid w:val="53BD07B5"/>
    <w:rsid w:val="55CA46A6"/>
    <w:rsid w:val="59BA3327"/>
    <w:rsid w:val="5BDF5BF2"/>
    <w:rsid w:val="5FB52C88"/>
    <w:rsid w:val="61121439"/>
    <w:rsid w:val="61956D2D"/>
    <w:rsid w:val="61B40E62"/>
    <w:rsid w:val="61B7501C"/>
    <w:rsid w:val="62CC3BF2"/>
    <w:rsid w:val="64942585"/>
    <w:rsid w:val="653772A5"/>
    <w:rsid w:val="654E2081"/>
    <w:rsid w:val="66930B9C"/>
    <w:rsid w:val="678E1465"/>
    <w:rsid w:val="67DA6592"/>
    <w:rsid w:val="69FE2B78"/>
    <w:rsid w:val="6AB3599A"/>
    <w:rsid w:val="6B843E9C"/>
    <w:rsid w:val="702951B3"/>
    <w:rsid w:val="71EB5AB4"/>
    <w:rsid w:val="730D5299"/>
    <w:rsid w:val="740611E4"/>
    <w:rsid w:val="7471264A"/>
    <w:rsid w:val="75D46A7B"/>
    <w:rsid w:val="76531A31"/>
    <w:rsid w:val="76C02D71"/>
    <w:rsid w:val="7760065F"/>
    <w:rsid w:val="783C29EB"/>
    <w:rsid w:val="7A582337"/>
    <w:rsid w:val="7B8857FB"/>
    <w:rsid w:val="7C3464C3"/>
    <w:rsid w:val="7F2C6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0"/>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32"/>
    <w:semiHidden/>
    <w:unhideWhenUsed/>
    <w:qFormat/>
    <w:uiPriority w:val="9"/>
    <w:pPr>
      <w:keepNext/>
      <w:keepLines/>
      <w:spacing w:before="260" w:after="260" w:line="416" w:lineRule="auto"/>
      <w:outlineLvl w:val="2"/>
    </w:pPr>
    <w:rPr>
      <w:rFonts w:ascii="Times New Roman" w:hAnsi="Times New Roman" w:eastAsia="宋体" w:cs="Times New Roman"/>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ascii="Cambria" w:hAnsi="Cambria" w:eastAsia="黑体" w:cs="Times New Roman"/>
      <w:sz w:val="20"/>
      <w:szCs w:val="20"/>
    </w:rPr>
  </w:style>
  <w:style w:type="paragraph" w:styleId="6">
    <w:name w:val="Document Map"/>
    <w:basedOn w:val="1"/>
    <w:link w:val="33"/>
    <w:semiHidden/>
    <w:qFormat/>
    <w:uiPriority w:val="99"/>
    <w:rPr>
      <w:rFonts w:ascii="宋体" w:hAnsi="Times New Roman" w:eastAsia="宋体" w:cs="Times New Roman"/>
      <w:sz w:val="18"/>
      <w:szCs w:val="18"/>
    </w:rPr>
  </w:style>
  <w:style w:type="paragraph" w:styleId="7">
    <w:name w:val="annotation text"/>
    <w:basedOn w:val="1"/>
    <w:link w:val="34"/>
    <w:qFormat/>
    <w:uiPriority w:val="0"/>
    <w:pPr>
      <w:jc w:val="left"/>
    </w:pPr>
    <w:rPr>
      <w:rFonts w:ascii="Times New Roman" w:hAnsi="Times New Roman" w:eastAsia="宋体" w:cs="Times New Roman"/>
      <w:kern w:val="0"/>
      <w:sz w:val="20"/>
      <w:szCs w:val="20"/>
    </w:rPr>
  </w:style>
  <w:style w:type="paragraph" w:styleId="8">
    <w:name w:val="Body Text"/>
    <w:basedOn w:val="1"/>
    <w:next w:val="1"/>
    <w:link w:val="35"/>
    <w:qFormat/>
    <w:uiPriority w:val="99"/>
    <w:pPr>
      <w:spacing w:after="120"/>
    </w:pPr>
    <w:rPr>
      <w:rFonts w:ascii="Times New Roman" w:hAnsi="Times New Roman" w:eastAsia="宋体" w:cs="Times New Roman"/>
      <w:kern w:val="0"/>
      <w:sz w:val="20"/>
      <w:szCs w:val="20"/>
    </w:rPr>
  </w:style>
  <w:style w:type="paragraph" w:styleId="9">
    <w:name w:val="Body Text Indent"/>
    <w:basedOn w:val="1"/>
    <w:link w:val="53"/>
    <w:unhideWhenUsed/>
    <w:qFormat/>
    <w:uiPriority w:val="0"/>
    <w:pPr>
      <w:spacing w:after="120"/>
      <w:ind w:left="420" w:leftChars="200"/>
    </w:pPr>
  </w:style>
  <w:style w:type="paragraph" w:styleId="10">
    <w:name w:val="toc 3"/>
    <w:basedOn w:val="1"/>
    <w:next w:val="1"/>
    <w:unhideWhenUsed/>
    <w:qFormat/>
    <w:uiPriority w:val="39"/>
    <w:pPr>
      <w:ind w:left="840" w:leftChars="400"/>
    </w:pPr>
    <w:rPr>
      <w:rFonts w:ascii="Times New Roman" w:hAnsi="Times New Roman" w:eastAsia="宋体" w:cs="Times New Roman"/>
    </w:rPr>
  </w:style>
  <w:style w:type="paragraph" w:styleId="11">
    <w:name w:val="Balloon Text"/>
    <w:basedOn w:val="1"/>
    <w:link w:val="25"/>
    <w:unhideWhenUsed/>
    <w:qFormat/>
    <w:uiPriority w:val="99"/>
    <w:rPr>
      <w:sz w:val="18"/>
      <w:szCs w:val="18"/>
    </w:rPr>
  </w:style>
  <w:style w:type="paragraph" w:styleId="12">
    <w:name w:val="footer"/>
    <w:basedOn w:val="1"/>
    <w:link w:val="28"/>
    <w:unhideWhenUsed/>
    <w:qFormat/>
    <w:uiPriority w:val="99"/>
    <w:pPr>
      <w:tabs>
        <w:tab w:val="center" w:pos="4153"/>
        <w:tab w:val="right" w:pos="8306"/>
      </w:tabs>
      <w:snapToGrid w:val="0"/>
      <w:jc w:val="left"/>
    </w:pPr>
    <w:rPr>
      <w:sz w:val="18"/>
      <w:szCs w:val="18"/>
    </w:rPr>
  </w:style>
  <w:style w:type="paragraph" w:styleId="13">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tabs>
        <w:tab w:val="right" w:leader="dot" w:pos="13948"/>
      </w:tabs>
      <w:spacing w:line="360" w:lineRule="auto"/>
    </w:pPr>
    <w:rPr>
      <w:rFonts w:ascii="Times New Roman" w:hAnsi="Times New Roman" w:eastAsia="宋体" w:cs="Times New Roman"/>
      <w:b/>
      <w:sz w:val="28"/>
    </w:rPr>
  </w:style>
  <w:style w:type="paragraph" w:styleId="15">
    <w:name w:val="toc 2"/>
    <w:basedOn w:val="1"/>
    <w:next w:val="1"/>
    <w:unhideWhenUsed/>
    <w:qFormat/>
    <w:uiPriority w:val="39"/>
    <w:pPr>
      <w:spacing w:line="360" w:lineRule="auto"/>
      <w:ind w:left="420" w:leftChars="200"/>
    </w:pPr>
    <w:rPr>
      <w:rFonts w:ascii="Times New Roman" w:hAnsi="Times New Roman" w:eastAsia="宋体" w:cs="Times New Roman"/>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7">
    <w:name w:val="annotation subject"/>
    <w:basedOn w:val="7"/>
    <w:next w:val="7"/>
    <w:link w:val="36"/>
    <w:semiHidden/>
    <w:qFormat/>
    <w:uiPriority w:val="99"/>
    <w:rPr>
      <w:b/>
      <w:bCs/>
    </w:rPr>
  </w:style>
  <w:style w:type="paragraph" w:styleId="18">
    <w:name w:val="Body Text First Indent"/>
    <w:basedOn w:val="8"/>
    <w:link w:val="37"/>
    <w:qFormat/>
    <w:uiPriority w:val="99"/>
    <w:pPr>
      <w:widowControl/>
      <w:adjustRightInd w:val="0"/>
      <w:snapToGrid w:val="0"/>
      <w:spacing w:after="0" w:line="360" w:lineRule="auto"/>
      <w:ind w:firstLine="200" w:firstLineChars="200"/>
    </w:pPr>
  </w:style>
  <w:style w:type="paragraph" w:styleId="19">
    <w:name w:val="Body Text First Indent 2"/>
    <w:basedOn w:val="9"/>
    <w:link w:val="54"/>
    <w:unhideWhenUsed/>
    <w:qFormat/>
    <w:uiPriority w:val="99"/>
    <w:pPr>
      <w:ind w:firstLine="420" w:firstLineChars="200"/>
    </w:pPr>
    <w:rPr>
      <w:rFonts w:ascii="Times New Roman" w:hAnsi="Times New Roman" w:eastAsia="宋体" w:cs="Times New Roman"/>
      <w:szCs w:val="24"/>
    </w:rPr>
  </w:style>
  <w:style w:type="table" w:styleId="21">
    <w:name w:val="Table Grid"/>
    <w:basedOn w:val="2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qFormat/>
    <w:uiPriority w:val="99"/>
    <w:rPr>
      <w:rFonts w:cs="Times New Roman"/>
      <w:color w:val="0000FF"/>
      <w:u w:val="single"/>
    </w:rPr>
  </w:style>
  <w:style w:type="character" w:styleId="24">
    <w:name w:val="annotation reference"/>
    <w:semiHidden/>
    <w:qFormat/>
    <w:uiPriority w:val="99"/>
    <w:rPr>
      <w:rFonts w:cs="Times New Roman"/>
      <w:sz w:val="21"/>
    </w:rPr>
  </w:style>
  <w:style w:type="character" w:customStyle="1" w:styleId="25">
    <w:name w:val="批注框文本 字符"/>
    <w:basedOn w:val="22"/>
    <w:link w:val="11"/>
    <w:qFormat/>
    <w:uiPriority w:val="99"/>
    <w:rPr>
      <w:sz w:val="18"/>
      <w:szCs w:val="18"/>
    </w:rPr>
  </w:style>
  <w:style w:type="paragraph" w:styleId="26">
    <w:name w:val="List Paragraph"/>
    <w:basedOn w:val="1"/>
    <w:qFormat/>
    <w:uiPriority w:val="34"/>
    <w:pPr>
      <w:ind w:firstLine="420" w:firstLineChars="200"/>
    </w:pPr>
  </w:style>
  <w:style w:type="character" w:customStyle="1" w:styleId="27">
    <w:name w:val="页眉 字符"/>
    <w:basedOn w:val="22"/>
    <w:link w:val="13"/>
    <w:qFormat/>
    <w:uiPriority w:val="99"/>
    <w:rPr>
      <w:sz w:val="18"/>
      <w:szCs w:val="18"/>
    </w:rPr>
  </w:style>
  <w:style w:type="character" w:customStyle="1" w:styleId="28">
    <w:name w:val="页脚 字符"/>
    <w:basedOn w:val="22"/>
    <w:link w:val="12"/>
    <w:qFormat/>
    <w:uiPriority w:val="99"/>
    <w:rPr>
      <w:sz w:val="18"/>
      <w:szCs w:val="18"/>
    </w:rPr>
  </w:style>
  <w:style w:type="paragraph" w:customStyle="1" w:styleId="29">
    <w:name w:val="普通(网站)1"/>
    <w:basedOn w:val="1"/>
    <w:qFormat/>
    <w:uiPriority w:val="0"/>
    <w:pPr>
      <w:widowControl/>
      <w:spacing w:before="100" w:beforeAutospacing="1" w:after="100" w:afterAutospacing="1"/>
      <w:jc w:val="left"/>
    </w:pPr>
    <w:rPr>
      <w:rFonts w:hint="eastAsia" w:ascii="宋体" w:hAnsi="宋体" w:eastAsia="宋体" w:cs="Times New Roman"/>
      <w:sz w:val="24"/>
      <w:szCs w:val="20"/>
    </w:rPr>
  </w:style>
  <w:style w:type="character" w:customStyle="1" w:styleId="30">
    <w:name w:val="标题 1 字符"/>
    <w:basedOn w:val="22"/>
    <w:link w:val="2"/>
    <w:qFormat/>
    <w:uiPriority w:val="9"/>
    <w:rPr>
      <w:rFonts w:ascii="Times New Roman" w:hAnsi="Times New Roman"/>
      <w:b/>
      <w:bCs/>
      <w:kern w:val="44"/>
      <w:sz w:val="44"/>
      <w:szCs w:val="44"/>
    </w:rPr>
  </w:style>
  <w:style w:type="character" w:customStyle="1" w:styleId="31">
    <w:name w:val="标题 2 字符"/>
    <w:basedOn w:val="22"/>
    <w:link w:val="3"/>
    <w:qFormat/>
    <w:uiPriority w:val="0"/>
    <w:rPr>
      <w:rFonts w:ascii="Cambria" w:hAnsi="Cambria"/>
      <w:b/>
      <w:bCs/>
      <w:kern w:val="2"/>
      <w:sz w:val="32"/>
      <w:szCs w:val="32"/>
    </w:rPr>
  </w:style>
  <w:style w:type="character" w:customStyle="1" w:styleId="32">
    <w:name w:val="标题 3 字符"/>
    <w:basedOn w:val="22"/>
    <w:link w:val="4"/>
    <w:semiHidden/>
    <w:qFormat/>
    <w:uiPriority w:val="9"/>
    <w:rPr>
      <w:rFonts w:ascii="Times New Roman" w:hAnsi="Times New Roman"/>
      <w:b/>
      <w:bCs/>
      <w:kern w:val="2"/>
      <w:sz w:val="32"/>
      <w:szCs w:val="32"/>
    </w:rPr>
  </w:style>
  <w:style w:type="character" w:customStyle="1" w:styleId="33">
    <w:name w:val="文档结构图 字符"/>
    <w:basedOn w:val="22"/>
    <w:link w:val="6"/>
    <w:semiHidden/>
    <w:qFormat/>
    <w:uiPriority w:val="99"/>
    <w:rPr>
      <w:rFonts w:ascii="宋体" w:hAnsi="Times New Roman"/>
      <w:kern w:val="2"/>
      <w:sz w:val="18"/>
      <w:szCs w:val="18"/>
    </w:rPr>
  </w:style>
  <w:style w:type="character" w:customStyle="1" w:styleId="34">
    <w:name w:val="批注文字 字符"/>
    <w:basedOn w:val="22"/>
    <w:link w:val="7"/>
    <w:qFormat/>
    <w:uiPriority w:val="99"/>
    <w:rPr>
      <w:rFonts w:ascii="Times New Roman" w:hAnsi="Times New Roman"/>
    </w:rPr>
  </w:style>
  <w:style w:type="character" w:customStyle="1" w:styleId="35">
    <w:name w:val="正文文本 字符"/>
    <w:basedOn w:val="22"/>
    <w:link w:val="8"/>
    <w:qFormat/>
    <w:uiPriority w:val="99"/>
    <w:rPr>
      <w:rFonts w:ascii="Times New Roman" w:hAnsi="Times New Roman"/>
    </w:rPr>
  </w:style>
  <w:style w:type="character" w:customStyle="1" w:styleId="36">
    <w:name w:val="批注主题 字符"/>
    <w:basedOn w:val="34"/>
    <w:link w:val="17"/>
    <w:semiHidden/>
    <w:qFormat/>
    <w:uiPriority w:val="99"/>
    <w:rPr>
      <w:rFonts w:ascii="Times New Roman" w:hAnsi="Times New Roman"/>
      <w:b/>
      <w:bCs/>
    </w:rPr>
  </w:style>
  <w:style w:type="character" w:customStyle="1" w:styleId="37">
    <w:name w:val="正文首行缩进 字符"/>
    <w:basedOn w:val="35"/>
    <w:link w:val="18"/>
    <w:qFormat/>
    <w:uiPriority w:val="99"/>
    <w:rPr>
      <w:rFonts w:ascii="Times New Roman" w:hAnsi="Times New Roman"/>
    </w:rPr>
  </w:style>
  <w:style w:type="character" w:customStyle="1" w:styleId="38">
    <w:name w:val="表文 Char"/>
    <w:link w:val="39"/>
    <w:qFormat/>
    <w:locked/>
    <w:uiPriority w:val="99"/>
    <w:rPr>
      <w:rFonts w:ascii="宋体" w:hAnsi="宋体"/>
      <w:spacing w:val="-2"/>
    </w:rPr>
  </w:style>
  <w:style w:type="paragraph" w:customStyle="1" w:styleId="39">
    <w:name w:val="表文"/>
    <w:basedOn w:val="1"/>
    <w:link w:val="38"/>
    <w:qFormat/>
    <w:uiPriority w:val="99"/>
    <w:pPr>
      <w:ind w:left="2317" w:hanging="2317" w:hangingChars="1125"/>
      <w:jc w:val="center"/>
    </w:pPr>
    <w:rPr>
      <w:rFonts w:ascii="宋体" w:hAnsi="宋体" w:eastAsia="宋体" w:cs="Times New Roman"/>
      <w:spacing w:val="-2"/>
      <w:kern w:val="0"/>
      <w:sz w:val="20"/>
      <w:szCs w:val="20"/>
    </w:rPr>
  </w:style>
  <w:style w:type="character" w:customStyle="1" w:styleId="40">
    <w:name w:val="烟厂正文 Char"/>
    <w:link w:val="41"/>
    <w:qFormat/>
    <w:locked/>
    <w:uiPriority w:val="99"/>
    <w:rPr>
      <w:rFonts w:ascii="宋体" w:hAnsi="宋体"/>
      <w:kern w:val="10"/>
      <w:sz w:val="24"/>
    </w:rPr>
  </w:style>
  <w:style w:type="paragraph" w:customStyle="1" w:styleId="41">
    <w:name w:val="烟厂正文"/>
    <w:basedOn w:val="1"/>
    <w:link w:val="40"/>
    <w:qFormat/>
    <w:uiPriority w:val="99"/>
    <w:pPr>
      <w:spacing w:beforeLines="20" w:afterLines="20" w:line="500" w:lineRule="exact"/>
      <w:ind w:firstLine="200" w:firstLineChars="200"/>
    </w:pPr>
    <w:rPr>
      <w:rFonts w:ascii="宋体" w:hAnsi="宋体" w:eastAsia="宋体" w:cs="Times New Roman"/>
      <w:kern w:val="10"/>
      <w:sz w:val="24"/>
      <w:szCs w:val="20"/>
    </w:rPr>
  </w:style>
  <w:style w:type="character" w:customStyle="1" w:styleId="42">
    <w:name w:val="Body Text First Indent Char1"/>
    <w:qFormat/>
    <w:locked/>
    <w:uiPriority w:val="99"/>
    <w:rPr>
      <w:rFonts w:ascii="宋体" w:hAnsi="宋体" w:eastAsia="宋体"/>
      <w:kern w:val="2"/>
      <w:sz w:val="21"/>
      <w:lang w:val="en-US" w:eastAsia="zh-CN"/>
    </w:rPr>
  </w:style>
  <w:style w:type="character" w:customStyle="1" w:styleId="43">
    <w:name w:val="表格文字 Char"/>
    <w:link w:val="44"/>
    <w:qFormat/>
    <w:locked/>
    <w:uiPriority w:val="99"/>
    <w:rPr>
      <w:rFonts w:ascii="宋体" w:hAnsi="宋体"/>
    </w:rPr>
  </w:style>
  <w:style w:type="paragraph" w:customStyle="1" w:styleId="44">
    <w:name w:val="表格文字"/>
    <w:basedOn w:val="1"/>
    <w:link w:val="43"/>
    <w:qFormat/>
    <w:uiPriority w:val="99"/>
    <w:pPr>
      <w:widowControl/>
      <w:adjustRightInd w:val="0"/>
      <w:snapToGrid w:val="0"/>
      <w:jc w:val="center"/>
    </w:pPr>
    <w:rPr>
      <w:rFonts w:ascii="宋体" w:hAnsi="宋体" w:eastAsia="宋体" w:cs="Times New Roman"/>
      <w:kern w:val="0"/>
      <w:sz w:val="20"/>
      <w:szCs w:val="20"/>
    </w:rPr>
  </w:style>
  <w:style w:type="paragraph" w:customStyle="1" w:styleId="45">
    <w:name w:val="正文1"/>
    <w:basedOn w:val="1"/>
    <w:qFormat/>
    <w:uiPriority w:val="99"/>
    <w:pPr>
      <w:spacing w:line="360" w:lineRule="auto"/>
      <w:ind w:firstLine="200" w:firstLineChars="200"/>
    </w:pPr>
    <w:rPr>
      <w:rFonts w:ascii="宋体" w:hAnsi="宋体" w:eastAsia="宋体" w:cs="Times New Roman"/>
      <w:sz w:val="24"/>
      <w:szCs w:val="21"/>
    </w:rPr>
  </w:style>
  <w:style w:type="character" w:customStyle="1" w:styleId="46">
    <w:name w:val="表格内字体 字符"/>
    <w:link w:val="47"/>
    <w:qFormat/>
    <w:uiPriority w:val="0"/>
    <w:rPr>
      <w:rFonts w:ascii="仿宋" w:hAnsi="仿宋" w:eastAsia="仿宋"/>
      <w:szCs w:val="21"/>
    </w:rPr>
  </w:style>
  <w:style w:type="paragraph" w:customStyle="1" w:styleId="47">
    <w:name w:val="表格内字体"/>
    <w:basedOn w:val="1"/>
    <w:link w:val="46"/>
    <w:qFormat/>
    <w:uiPriority w:val="0"/>
    <w:pPr>
      <w:widowControl/>
      <w:jc w:val="center"/>
    </w:pPr>
    <w:rPr>
      <w:rFonts w:ascii="仿宋" w:hAnsi="仿宋" w:eastAsia="仿宋" w:cs="Times New Roman"/>
      <w:kern w:val="0"/>
      <w:sz w:val="20"/>
      <w:szCs w:val="21"/>
    </w:rPr>
  </w:style>
  <w:style w:type="character" w:customStyle="1" w:styleId="48">
    <w:name w:val="表头 字符"/>
    <w:link w:val="49"/>
    <w:qFormat/>
    <w:uiPriority w:val="0"/>
    <w:rPr>
      <w:rFonts w:eastAsia="仿宋"/>
      <w:b/>
      <w:sz w:val="24"/>
      <w:szCs w:val="24"/>
    </w:rPr>
  </w:style>
  <w:style w:type="paragraph" w:customStyle="1" w:styleId="49">
    <w:name w:val="表头"/>
    <w:basedOn w:val="1"/>
    <w:link w:val="48"/>
    <w:qFormat/>
    <w:uiPriority w:val="0"/>
    <w:pPr>
      <w:jc w:val="center"/>
    </w:pPr>
    <w:rPr>
      <w:rFonts w:ascii="Calibri" w:hAnsi="Calibri" w:eastAsia="仿宋" w:cs="Times New Roman"/>
      <w:b/>
      <w:kern w:val="0"/>
      <w:sz w:val="24"/>
      <w:szCs w:val="24"/>
    </w:rPr>
  </w:style>
  <w:style w:type="paragraph" w:customStyle="1" w:styleId="50">
    <w:name w:val="修订1"/>
    <w:hidden/>
    <w:semiHidden/>
    <w:qFormat/>
    <w:uiPriority w:val="99"/>
    <w:rPr>
      <w:rFonts w:ascii="Times New Roman" w:hAnsi="Times New Roman" w:eastAsia="宋体" w:cs="Times New Roman"/>
      <w:kern w:val="2"/>
      <w:sz w:val="21"/>
      <w:szCs w:val="22"/>
      <w:lang w:val="en-US" w:eastAsia="zh-CN" w:bidi="ar-SA"/>
    </w:rPr>
  </w:style>
  <w:style w:type="paragraph" w:customStyle="1" w:styleId="51">
    <w:name w:val="标准文字"/>
    <w:basedOn w:val="1"/>
    <w:qFormat/>
    <w:uiPriority w:val="0"/>
    <w:pPr>
      <w:overflowPunct w:val="0"/>
      <w:ind w:firstLine="640"/>
    </w:pPr>
    <w:rPr>
      <w:rFonts w:ascii="Times New Roman" w:hAnsi="Times New Roman" w:eastAsia="仿宋_GB2312" w:cs="Times New Roman"/>
    </w:rPr>
  </w:style>
  <w:style w:type="paragraph" w:customStyle="1" w:styleId="5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53">
    <w:name w:val="正文文本缩进 字符"/>
    <w:basedOn w:val="22"/>
    <w:link w:val="9"/>
    <w:semiHidden/>
    <w:qFormat/>
    <w:uiPriority w:val="99"/>
    <w:rPr>
      <w:rFonts w:asciiTheme="minorHAnsi" w:hAnsiTheme="minorHAnsi" w:eastAsiaTheme="minorEastAsia" w:cstheme="minorBidi"/>
      <w:kern w:val="2"/>
      <w:sz w:val="21"/>
      <w:szCs w:val="22"/>
    </w:rPr>
  </w:style>
  <w:style w:type="character" w:customStyle="1" w:styleId="54">
    <w:name w:val="正文首行缩进 2 字符"/>
    <w:basedOn w:val="53"/>
    <w:link w:val="19"/>
    <w:qFormat/>
    <w:uiPriority w:val="99"/>
    <w:rPr>
      <w:rFonts w:ascii="Times New Roman" w:hAnsi="Times New Roman" w:eastAsiaTheme="minorEastAsia" w:cstheme="minorBidi"/>
      <w:kern w:val="2"/>
      <w:sz w:val="21"/>
      <w:szCs w:val="24"/>
    </w:rPr>
  </w:style>
  <w:style w:type="paragraph" w:customStyle="1" w:styleId="55">
    <w:name w:val="列表段落1"/>
    <w:qFormat/>
    <w:uiPriority w:val="34"/>
    <w:pPr>
      <w:widowControl w:val="0"/>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6">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57">
    <w:name w:val="font51"/>
    <w:basedOn w:val="22"/>
    <w:qFormat/>
    <w:uiPriority w:val="0"/>
    <w:rPr>
      <w:rFonts w:ascii="宋体" w:hAnsi="宋体" w:eastAsia="宋体" w:cs="宋体"/>
      <w:b/>
      <w:bCs/>
      <w:color w:val="000000"/>
      <w:sz w:val="28"/>
      <w:szCs w:val="28"/>
      <w:u w:val="none"/>
    </w:rPr>
  </w:style>
  <w:style w:type="character" w:customStyle="1" w:styleId="58">
    <w:name w:val="font61"/>
    <w:basedOn w:val="22"/>
    <w:qFormat/>
    <w:uiPriority w:val="0"/>
    <w:rPr>
      <w:rFonts w:ascii="宋体" w:hAnsi="宋体" w:eastAsia="宋体" w:cs="宋体"/>
      <w:color w:val="000000"/>
      <w:sz w:val="28"/>
      <w:szCs w:val="28"/>
      <w:u w:val="none"/>
    </w:rPr>
  </w:style>
  <w:style w:type="character" w:customStyle="1" w:styleId="59">
    <w:name w:val="font31"/>
    <w:basedOn w:val="22"/>
    <w:qFormat/>
    <w:uiPriority w:val="0"/>
    <w:rPr>
      <w:rFonts w:hint="default" w:ascii="Arial" w:hAnsi="Arial" w:cs="Arial"/>
      <w:color w:val="000000"/>
      <w:sz w:val="6"/>
      <w:szCs w:val="6"/>
      <w:u w:val="none"/>
    </w:rPr>
  </w:style>
  <w:style w:type="character" w:customStyle="1" w:styleId="60">
    <w:name w:val="font01"/>
    <w:basedOn w:val="22"/>
    <w:qFormat/>
    <w:uiPriority w:val="0"/>
    <w:rPr>
      <w:rFonts w:hint="default" w:ascii="Arial" w:hAnsi="Arial" w:cs="Arial"/>
      <w:color w:val="000000"/>
      <w:sz w:val="7"/>
      <w:szCs w:val="7"/>
      <w:u w:val="none"/>
    </w:rPr>
  </w:style>
  <w:style w:type="paragraph" w:customStyle="1" w:styleId="61">
    <w:name w:val="Table Text"/>
    <w:basedOn w:val="1"/>
    <w:semiHidden/>
    <w:qFormat/>
    <w:uiPriority w:val="0"/>
    <w:pPr>
      <w:widowControl/>
      <w:kinsoku w:val="0"/>
      <w:autoSpaceDE w:val="0"/>
      <w:autoSpaceDN w:val="0"/>
      <w:adjustRightInd w:val="0"/>
      <w:snapToGrid w:val="0"/>
      <w:jc w:val="left"/>
      <w:textAlignment w:val="baseline"/>
    </w:pPr>
    <w:rPr>
      <w:rFonts w:ascii="仿宋" w:hAnsi="仿宋" w:eastAsia="仿宋" w:cs="宋体"/>
      <w:color w:val="000000"/>
      <w:kern w:val="0"/>
      <w:szCs w:val="21"/>
    </w:rPr>
  </w:style>
  <w:style w:type="table" w:customStyle="1" w:styleId="62">
    <w:name w:val="Table Normal"/>
    <w:basedOn w:val="20"/>
    <w:qFormat/>
    <w:uiPriority w:val="0"/>
    <w:rPr>
      <w:rFonts w:eastAsia="Times New Roman"/>
    </w:rPr>
    <w:tblPr>
      <w:tblCellMar>
        <w:left w:w="0" w:type="dxa"/>
        <w:right w:w="0" w:type="dxa"/>
      </w:tblCellMar>
    </w:tblPr>
  </w:style>
  <w:style w:type="paragraph" w:customStyle="1" w:styleId="63">
    <w:name w:val="修订3"/>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28</Pages>
  <Words>23107</Words>
  <Characters>24106</Characters>
  <Lines>1191</Lines>
  <Paragraphs>335</Paragraphs>
  <TotalTime>59</TotalTime>
  <ScaleCrop>false</ScaleCrop>
  <LinksUpToDate>false</LinksUpToDate>
  <CharactersWithSpaces>24157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2024-12-13T07:45:00Z</dcterms:created>
  <dc:creator>claire</dc:creator>
  <cp:lastModifiedBy>勤能补拙</cp:lastModifiedBy>
  <cp:lastPrinted>2024-12-10T00:35:00Z</cp:lastPrinted>
  <dcterms:modified xsi:type="dcterms:W3CDTF">2025-01-03T03:35:52Z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76E9905C75DA42599D6968F38784C10E</vt:lpwstr>
  </property>
</Properties>
</file>