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C7E99">
      <w:pPr>
        <w:pStyle w:val="2"/>
        <w:spacing w:after="0"/>
        <w:rPr>
          <w:rFonts w:eastAsia="黑体"/>
          <w:b w:val="0"/>
          <w:sz w:val="32"/>
          <w:szCs w:val="32"/>
        </w:rPr>
      </w:pPr>
      <w:r>
        <w:rPr>
          <w:rFonts w:eastAsia="黑体"/>
          <w:b w:val="0"/>
          <w:sz w:val="32"/>
          <w:szCs w:val="32"/>
        </w:rPr>
        <w:t>附件4</w:t>
      </w:r>
    </w:p>
    <w:p w14:paraId="70ACFBC5">
      <w:pPr>
        <w:rPr>
          <w:rFonts w:ascii="Times New Roman" w:hAnsi="Times New Roman" w:eastAsia="仿宋" w:cs="Times New Roman"/>
          <w:bCs/>
          <w:color w:val="000000" w:themeColor="text1"/>
          <w:szCs w:val="21"/>
          <w14:textFill>
            <w14:solidFill>
              <w14:schemeClr w14:val="tx1"/>
            </w14:solidFill>
          </w14:textFill>
        </w:rPr>
      </w:pPr>
    </w:p>
    <w:p w14:paraId="2A00CAEE">
      <w:pPr>
        <w:rPr>
          <w:rFonts w:ascii="Times New Roman" w:hAnsi="Times New Roman" w:eastAsia="仿宋" w:cs="Times New Roman"/>
          <w:bCs/>
          <w:color w:val="000000" w:themeColor="text1"/>
          <w:szCs w:val="21"/>
          <w14:textFill>
            <w14:solidFill>
              <w14:schemeClr w14:val="tx1"/>
            </w14:solidFill>
          </w14:textFill>
        </w:rPr>
      </w:pPr>
    </w:p>
    <w:p w14:paraId="71A00DE6">
      <w:pPr>
        <w:rPr>
          <w:rFonts w:ascii="Times New Roman" w:hAnsi="Times New Roman" w:eastAsia="仿宋" w:cs="Times New Roman"/>
          <w:bCs/>
          <w:color w:val="000000" w:themeColor="text1"/>
          <w:szCs w:val="21"/>
          <w14:textFill>
            <w14:solidFill>
              <w14:schemeClr w14:val="tx1"/>
            </w14:solidFill>
          </w14:textFill>
        </w:rPr>
      </w:pPr>
    </w:p>
    <w:p w14:paraId="277A26A7">
      <w:pPr>
        <w:rPr>
          <w:rFonts w:ascii="Times New Roman" w:hAnsi="Times New Roman" w:eastAsia="方正小标宋简体" w:cs="Times New Roman"/>
          <w:bCs/>
          <w:color w:val="000000" w:themeColor="text1"/>
          <w:sz w:val="48"/>
          <w:szCs w:val="48"/>
          <w14:textFill>
            <w14:solidFill>
              <w14:schemeClr w14:val="tx1"/>
            </w14:solidFill>
          </w14:textFill>
        </w:rPr>
      </w:pPr>
    </w:p>
    <w:p w14:paraId="64D67F8D">
      <w:pPr>
        <w:widowControl/>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kern w:val="0"/>
          <w:sz w:val="48"/>
          <w:szCs w:val="48"/>
        </w:rPr>
        <w:t>永州市环境管控单元（省级以上产业园区除外）</w:t>
      </w:r>
    </w:p>
    <w:p w14:paraId="77903B86">
      <w:pPr>
        <w:widowControl/>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t>生态环境准入清单</w:t>
      </w:r>
      <w:r>
        <w:rPr>
          <w:rFonts w:hint="eastAsia" w:ascii="Times New Roman" w:hAnsi="Times New Roman" w:eastAsia="方正小标宋简体" w:cs="Times New Roman"/>
          <w:color w:val="000000"/>
          <w:sz w:val="48"/>
          <w:szCs w:val="48"/>
        </w:rPr>
        <w:t>（2</w:t>
      </w:r>
      <w:r>
        <w:rPr>
          <w:rFonts w:ascii="Times New Roman" w:hAnsi="Times New Roman" w:eastAsia="方正小标宋简体" w:cs="Times New Roman"/>
          <w:color w:val="000000"/>
          <w:sz w:val="48"/>
          <w:szCs w:val="48"/>
        </w:rPr>
        <w:t>023</w:t>
      </w:r>
      <w:r>
        <w:rPr>
          <w:rFonts w:hint="eastAsia" w:ascii="Times New Roman" w:hAnsi="Times New Roman" w:eastAsia="方正小标宋简体" w:cs="Times New Roman"/>
          <w:color w:val="000000"/>
          <w:sz w:val="48"/>
          <w:szCs w:val="48"/>
        </w:rPr>
        <w:t>版）</w:t>
      </w:r>
    </w:p>
    <w:p w14:paraId="42F48EF6">
      <w:pPr>
        <w:widowControl/>
        <w:jc w:val="left"/>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br w:type="page"/>
      </w:r>
    </w:p>
    <w:sdt>
      <w:sdtPr>
        <w:rPr>
          <w:rFonts w:ascii="Times New Roman" w:hAnsi="Times New Roman" w:eastAsia="仿宋" w:cs="Times New Roman"/>
          <w:color w:val="auto"/>
          <w:kern w:val="2"/>
          <w:sz w:val="21"/>
          <w:szCs w:val="21"/>
          <w:lang w:val="zh-CN"/>
        </w:rPr>
        <w:id w:val="-160010075"/>
        <w:docPartObj>
          <w:docPartGallery w:val="Table of Contents"/>
          <w:docPartUnique/>
        </w:docPartObj>
      </w:sdtPr>
      <w:sdtEndPr>
        <w:rPr>
          <w:rFonts w:ascii="Times New Roman" w:hAnsi="Times New Roman" w:eastAsia="仿宋" w:cs="Times New Roman"/>
          <w:b/>
          <w:bCs/>
          <w:color w:val="auto"/>
          <w:kern w:val="2"/>
          <w:sz w:val="21"/>
          <w:szCs w:val="21"/>
          <w:lang w:val="zh-CN"/>
        </w:rPr>
      </w:sdtEndPr>
      <w:sdtContent>
        <w:p w14:paraId="0A094AC2">
          <w:pPr>
            <w:pStyle w:val="52"/>
            <w:jc w:val="center"/>
            <w:rPr>
              <w:rFonts w:ascii="Times New Roman" w:hAnsi="Times New Roman" w:eastAsia="仿宋" w:cs="Times New Roman"/>
              <w:b/>
              <w:color w:val="auto"/>
              <w:kern w:val="2"/>
              <w:sz w:val="21"/>
              <w:szCs w:val="21"/>
            </w:rPr>
          </w:pPr>
          <w:r>
            <w:rPr>
              <w:rStyle w:val="23"/>
              <w:rFonts w:ascii="Times New Roman" w:hAnsi="Times New Roman" w:eastAsia="仿宋"/>
              <w:b/>
              <w:color w:val="auto"/>
              <w:kern w:val="2"/>
              <w:sz w:val="24"/>
              <w:szCs w:val="21"/>
              <w:u w:val="none"/>
            </w:rPr>
            <w:t>目录</w:t>
          </w:r>
          <w:r>
            <w:rPr>
              <w:rFonts w:eastAsia="仿宋"/>
              <w:sz w:val="21"/>
              <w:szCs w:val="21"/>
            </w:rPr>
            <w:fldChar w:fldCharType="begin"/>
          </w:r>
          <w:r>
            <w:rPr>
              <w:rFonts w:eastAsia="仿宋"/>
              <w:sz w:val="21"/>
              <w:szCs w:val="21"/>
            </w:rPr>
            <w:instrText xml:space="preserve"> TOC \o "1-3" \h \z \u </w:instrText>
          </w:r>
          <w:r>
            <w:rPr>
              <w:rFonts w:eastAsia="仿宋"/>
              <w:sz w:val="21"/>
              <w:szCs w:val="21"/>
            </w:rPr>
            <w:fldChar w:fldCharType="separate"/>
          </w:r>
        </w:p>
        <w:p w14:paraId="126C469D">
          <w:pPr>
            <w:pStyle w:val="14"/>
            <w:rPr>
              <w:rFonts w:eastAsia="仿宋"/>
              <w:b w:val="0"/>
              <w:sz w:val="21"/>
              <w:szCs w:val="21"/>
            </w:rPr>
          </w:pPr>
          <w:r>
            <w:fldChar w:fldCharType="begin"/>
          </w:r>
          <w:r>
            <w:instrText xml:space="preserve"> HYPERLINK \l "_Toc160709110" </w:instrText>
          </w:r>
          <w:r>
            <w:fldChar w:fldCharType="separate"/>
          </w:r>
          <w:r>
            <w:rPr>
              <w:rStyle w:val="23"/>
              <w:rFonts w:eastAsia="仿宋"/>
              <w:sz w:val="21"/>
              <w:szCs w:val="21"/>
            </w:rPr>
            <w:t>1  零陵区</w:t>
          </w:r>
          <w:r>
            <w:rPr>
              <w:rFonts w:eastAsia="仿宋"/>
              <w:sz w:val="21"/>
              <w:szCs w:val="21"/>
            </w:rPr>
            <w:tab/>
          </w:r>
          <w:r>
            <w:rPr>
              <w:rFonts w:eastAsia="仿宋"/>
              <w:sz w:val="21"/>
              <w:szCs w:val="21"/>
            </w:rPr>
            <w:fldChar w:fldCharType="begin"/>
          </w:r>
          <w:r>
            <w:rPr>
              <w:rFonts w:eastAsia="仿宋"/>
              <w:sz w:val="21"/>
              <w:szCs w:val="21"/>
            </w:rPr>
            <w:instrText xml:space="preserve"> PAGEREF _Toc160709110 \h </w:instrText>
          </w:r>
          <w:r>
            <w:rPr>
              <w:rFonts w:eastAsia="仿宋"/>
              <w:sz w:val="21"/>
              <w:szCs w:val="21"/>
            </w:rPr>
            <w:fldChar w:fldCharType="separate"/>
          </w:r>
          <w:r>
            <w:rPr>
              <w:rFonts w:eastAsia="仿宋"/>
              <w:sz w:val="21"/>
              <w:szCs w:val="21"/>
            </w:rPr>
            <w:t>1</w:t>
          </w:r>
          <w:r>
            <w:rPr>
              <w:rFonts w:eastAsia="仿宋"/>
              <w:sz w:val="21"/>
              <w:szCs w:val="21"/>
            </w:rPr>
            <w:fldChar w:fldCharType="end"/>
          </w:r>
          <w:r>
            <w:rPr>
              <w:rFonts w:eastAsia="仿宋"/>
              <w:sz w:val="21"/>
              <w:szCs w:val="21"/>
            </w:rPr>
            <w:fldChar w:fldCharType="end"/>
          </w:r>
        </w:p>
        <w:p w14:paraId="341E01B8">
          <w:pPr>
            <w:pStyle w:val="14"/>
            <w:rPr>
              <w:rFonts w:eastAsia="仿宋"/>
              <w:b w:val="0"/>
              <w:sz w:val="21"/>
              <w:szCs w:val="21"/>
            </w:rPr>
          </w:pPr>
          <w:r>
            <w:fldChar w:fldCharType="begin"/>
          </w:r>
          <w:r>
            <w:instrText xml:space="preserve"> HYPERLINK \l "_Toc160709111" </w:instrText>
          </w:r>
          <w:r>
            <w:fldChar w:fldCharType="separate"/>
          </w:r>
          <w:r>
            <w:rPr>
              <w:rStyle w:val="23"/>
              <w:rFonts w:eastAsia="仿宋"/>
              <w:sz w:val="21"/>
              <w:szCs w:val="21"/>
            </w:rPr>
            <w:t>2  冷水滩区</w:t>
          </w:r>
          <w:r>
            <w:rPr>
              <w:rFonts w:eastAsia="仿宋"/>
              <w:sz w:val="21"/>
              <w:szCs w:val="21"/>
            </w:rPr>
            <w:tab/>
          </w:r>
          <w:r>
            <w:rPr>
              <w:rFonts w:eastAsia="仿宋"/>
              <w:sz w:val="21"/>
              <w:szCs w:val="21"/>
            </w:rPr>
            <w:fldChar w:fldCharType="begin"/>
          </w:r>
          <w:r>
            <w:rPr>
              <w:rFonts w:eastAsia="仿宋"/>
              <w:sz w:val="21"/>
              <w:szCs w:val="21"/>
            </w:rPr>
            <w:instrText xml:space="preserve"> PAGEREF _Toc160709111 \h </w:instrText>
          </w:r>
          <w:r>
            <w:rPr>
              <w:rFonts w:eastAsia="仿宋"/>
              <w:sz w:val="21"/>
              <w:szCs w:val="21"/>
            </w:rPr>
            <w:fldChar w:fldCharType="separate"/>
          </w:r>
          <w:r>
            <w:rPr>
              <w:rFonts w:eastAsia="仿宋"/>
              <w:sz w:val="21"/>
              <w:szCs w:val="21"/>
            </w:rPr>
            <w:t>16</w:t>
          </w:r>
          <w:r>
            <w:rPr>
              <w:rFonts w:eastAsia="仿宋"/>
              <w:sz w:val="21"/>
              <w:szCs w:val="21"/>
            </w:rPr>
            <w:fldChar w:fldCharType="end"/>
          </w:r>
          <w:r>
            <w:rPr>
              <w:rFonts w:eastAsia="仿宋"/>
              <w:sz w:val="21"/>
              <w:szCs w:val="21"/>
            </w:rPr>
            <w:fldChar w:fldCharType="end"/>
          </w:r>
        </w:p>
        <w:p w14:paraId="65C6D886">
          <w:pPr>
            <w:pStyle w:val="14"/>
            <w:rPr>
              <w:rFonts w:eastAsia="仿宋"/>
              <w:b w:val="0"/>
              <w:sz w:val="21"/>
              <w:szCs w:val="21"/>
            </w:rPr>
          </w:pPr>
          <w:r>
            <w:fldChar w:fldCharType="begin"/>
          </w:r>
          <w:r>
            <w:instrText xml:space="preserve"> HYPERLINK \l "_Toc160709112" </w:instrText>
          </w:r>
          <w:r>
            <w:fldChar w:fldCharType="separate"/>
          </w:r>
          <w:r>
            <w:rPr>
              <w:rStyle w:val="23"/>
              <w:rFonts w:eastAsia="仿宋"/>
              <w:sz w:val="21"/>
              <w:szCs w:val="21"/>
            </w:rPr>
            <w:t>3  祁阳市</w:t>
          </w:r>
          <w:r>
            <w:rPr>
              <w:rFonts w:eastAsia="仿宋"/>
              <w:sz w:val="21"/>
              <w:szCs w:val="21"/>
            </w:rPr>
            <w:tab/>
          </w:r>
          <w:r>
            <w:rPr>
              <w:rFonts w:eastAsia="仿宋"/>
              <w:sz w:val="21"/>
              <w:szCs w:val="21"/>
            </w:rPr>
            <w:fldChar w:fldCharType="begin"/>
          </w:r>
          <w:r>
            <w:rPr>
              <w:rFonts w:eastAsia="仿宋"/>
              <w:sz w:val="21"/>
              <w:szCs w:val="21"/>
            </w:rPr>
            <w:instrText xml:space="preserve"> PAGEREF _Toc160709112 \h </w:instrText>
          </w:r>
          <w:r>
            <w:rPr>
              <w:rFonts w:eastAsia="仿宋"/>
              <w:sz w:val="21"/>
              <w:szCs w:val="21"/>
            </w:rPr>
            <w:fldChar w:fldCharType="separate"/>
          </w:r>
          <w:r>
            <w:rPr>
              <w:rFonts w:eastAsia="仿宋"/>
              <w:sz w:val="21"/>
              <w:szCs w:val="21"/>
            </w:rPr>
            <w:t>30</w:t>
          </w:r>
          <w:r>
            <w:rPr>
              <w:rFonts w:eastAsia="仿宋"/>
              <w:sz w:val="21"/>
              <w:szCs w:val="21"/>
            </w:rPr>
            <w:fldChar w:fldCharType="end"/>
          </w:r>
          <w:r>
            <w:rPr>
              <w:rFonts w:eastAsia="仿宋"/>
              <w:sz w:val="21"/>
              <w:szCs w:val="21"/>
            </w:rPr>
            <w:fldChar w:fldCharType="end"/>
          </w:r>
        </w:p>
        <w:p w14:paraId="1E4DFA7E">
          <w:pPr>
            <w:pStyle w:val="14"/>
            <w:rPr>
              <w:rFonts w:eastAsia="仿宋"/>
              <w:b w:val="0"/>
              <w:sz w:val="21"/>
              <w:szCs w:val="21"/>
            </w:rPr>
          </w:pPr>
          <w:r>
            <w:fldChar w:fldCharType="begin"/>
          </w:r>
          <w:r>
            <w:instrText xml:space="preserve"> HYPERLINK \l "_Toc160709113" </w:instrText>
          </w:r>
          <w:r>
            <w:fldChar w:fldCharType="separate"/>
          </w:r>
          <w:r>
            <w:rPr>
              <w:rStyle w:val="23"/>
              <w:rFonts w:eastAsia="仿宋"/>
              <w:sz w:val="21"/>
              <w:szCs w:val="21"/>
            </w:rPr>
            <w:t>4  东安县</w:t>
          </w:r>
          <w:r>
            <w:rPr>
              <w:rFonts w:eastAsia="仿宋"/>
              <w:sz w:val="21"/>
              <w:szCs w:val="21"/>
            </w:rPr>
            <w:tab/>
          </w:r>
          <w:r>
            <w:rPr>
              <w:rFonts w:eastAsia="仿宋"/>
              <w:sz w:val="21"/>
              <w:szCs w:val="21"/>
            </w:rPr>
            <w:fldChar w:fldCharType="begin"/>
          </w:r>
          <w:r>
            <w:rPr>
              <w:rFonts w:eastAsia="仿宋"/>
              <w:sz w:val="21"/>
              <w:szCs w:val="21"/>
            </w:rPr>
            <w:instrText xml:space="preserve"> PAGEREF _Toc160709113 \h </w:instrText>
          </w:r>
          <w:r>
            <w:rPr>
              <w:rFonts w:eastAsia="仿宋"/>
              <w:sz w:val="21"/>
              <w:szCs w:val="21"/>
            </w:rPr>
            <w:fldChar w:fldCharType="separate"/>
          </w:r>
          <w:r>
            <w:rPr>
              <w:rFonts w:eastAsia="仿宋"/>
              <w:sz w:val="21"/>
              <w:szCs w:val="21"/>
            </w:rPr>
            <w:t>53</w:t>
          </w:r>
          <w:r>
            <w:rPr>
              <w:rFonts w:eastAsia="仿宋"/>
              <w:sz w:val="21"/>
              <w:szCs w:val="21"/>
            </w:rPr>
            <w:fldChar w:fldCharType="end"/>
          </w:r>
          <w:r>
            <w:rPr>
              <w:rFonts w:eastAsia="仿宋"/>
              <w:sz w:val="21"/>
              <w:szCs w:val="21"/>
            </w:rPr>
            <w:fldChar w:fldCharType="end"/>
          </w:r>
        </w:p>
        <w:p w14:paraId="64EC1809">
          <w:pPr>
            <w:pStyle w:val="14"/>
            <w:rPr>
              <w:rFonts w:eastAsia="仿宋"/>
              <w:b w:val="0"/>
              <w:sz w:val="21"/>
              <w:szCs w:val="21"/>
            </w:rPr>
          </w:pPr>
          <w:r>
            <w:fldChar w:fldCharType="begin"/>
          </w:r>
          <w:r>
            <w:instrText xml:space="preserve"> HYPERLINK \l "_Toc160709114" </w:instrText>
          </w:r>
          <w:r>
            <w:fldChar w:fldCharType="separate"/>
          </w:r>
          <w:r>
            <w:rPr>
              <w:rStyle w:val="23"/>
              <w:rFonts w:eastAsia="仿宋"/>
              <w:sz w:val="21"/>
              <w:szCs w:val="21"/>
            </w:rPr>
            <w:t>5  双牌县</w:t>
          </w:r>
          <w:r>
            <w:rPr>
              <w:rFonts w:eastAsia="仿宋"/>
              <w:sz w:val="21"/>
              <w:szCs w:val="21"/>
            </w:rPr>
            <w:tab/>
          </w:r>
          <w:r>
            <w:rPr>
              <w:rFonts w:eastAsia="仿宋"/>
              <w:sz w:val="21"/>
              <w:szCs w:val="21"/>
            </w:rPr>
            <w:fldChar w:fldCharType="begin"/>
          </w:r>
          <w:r>
            <w:rPr>
              <w:rFonts w:eastAsia="仿宋"/>
              <w:sz w:val="21"/>
              <w:szCs w:val="21"/>
            </w:rPr>
            <w:instrText xml:space="preserve"> PAGEREF _Toc160709114 \h </w:instrText>
          </w:r>
          <w:r>
            <w:rPr>
              <w:rFonts w:eastAsia="仿宋"/>
              <w:sz w:val="21"/>
              <w:szCs w:val="21"/>
            </w:rPr>
            <w:fldChar w:fldCharType="separate"/>
          </w:r>
          <w:r>
            <w:rPr>
              <w:rFonts w:eastAsia="仿宋"/>
              <w:sz w:val="21"/>
              <w:szCs w:val="21"/>
            </w:rPr>
            <w:t>76</w:t>
          </w:r>
          <w:r>
            <w:rPr>
              <w:rFonts w:eastAsia="仿宋"/>
              <w:sz w:val="21"/>
              <w:szCs w:val="21"/>
            </w:rPr>
            <w:fldChar w:fldCharType="end"/>
          </w:r>
          <w:r>
            <w:rPr>
              <w:rFonts w:eastAsia="仿宋"/>
              <w:sz w:val="21"/>
              <w:szCs w:val="21"/>
            </w:rPr>
            <w:fldChar w:fldCharType="end"/>
          </w:r>
        </w:p>
        <w:p w14:paraId="5DC7CE5F">
          <w:pPr>
            <w:pStyle w:val="14"/>
            <w:rPr>
              <w:rFonts w:eastAsia="仿宋"/>
              <w:b w:val="0"/>
              <w:sz w:val="21"/>
              <w:szCs w:val="21"/>
            </w:rPr>
          </w:pPr>
          <w:r>
            <w:fldChar w:fldCharType="begin"/>
          </w:r>
          <w:r>
            <w:instrText xml:space="preserve"> HYPERLINK \l "_Toc160709115" </w:instrText>
          </w:r>
          <w:r>
            <w:fldChar w:fldCharType="separate"/>
          </w:r>
          <w:r>
            <w:rPr>
              <w:rStyle w:val="23"/>
              <w:rFonts w:eastAsia="仿宋"/>
              <w:sz w:val="21"/>
              <w:szCs w:val="21"/>
            </w:rPr>
            <w:t>6  道县</w:t>
          </w:r>
          <w:r>
            <w:rPr>
              <w:rFonts w:eastAsia="仿宋"/>
              <w:sz w:val="21"/>
              <w:szCs w:val="21"/>
            </w:rPr>
            <w:tab/>
          </w:r>
          <w:r>
            <w:rPr>
              <w:rFonts w:eastAsia="仿宋"/>
              <w:sz w:val="21"/>
              <w:szCs w:val="21"/>
            </w:rPr>
            <w:fldChar w:fldCharType="begin"/>
          </w:r>
          <w:r>
            <w:rPr>
              <w:rFonts w:eastAsia="仿宋"/>
              <w:sz w:val="21"/>
              <w:szCs w:val="21"/>
            </w:rPr>
            <w:instrText xml:space="preserve"> PAGEREF _Toc160709115 \h </w:instrText>
          </w:r>
          <w:r>
            <w:rPr>
              <w:rFonts w:eastAsia="仿宋"/>
              <w:sz w:val="21"/>
              <w:szCs w:val="21"/>
            </w:rPr>
            <w:fldChar w:fldCharType="separate"/>
          </w:r>
          <w:r>
            <w:rPr>
              <w:rFonts w:eastAsia="仿宋"/>
              <w:sz w:val="21"/>
              <w:szCs w:val="21"/>
            </w:rPr>
            <w:t>87</w:t>
          </w:r>
          <w:r>
            <w:rPr>
              <w:rFonts w:eastAsia="仿宋"/>
              <w:sz w:val="21"/>
              <w:szCs w:val="21"/>
            </w:rPr>
            <w:fldChar w:fldCharType="end"/>
          </w:r>
          <w:r>
            <w:rPr>
              <w:rFonts w:eastAsia="仿宋"/>
              <w:sz w:val="21"/>
              <w:szCs w:val="21"/>
            </w:rPr>
            <w:fldChar w:fldCharType="end"/>
          </w:r>
        </w:p>
        <w:p w14:paraId="276AAB29">
          <w:pPr>
            <w:pStyle w:val="14"/>
            <w:rPr>
              <w:rFonts w:eastAsia="仿宋"/>
              <w:b w:val="0"/>
              <w:sz w:val="21"/>
              <w:szCs w:val="21"/>
            </w:rPr>
          </w:pPr>
          <w:r>
            <w:fldChar w:fldCharType="begin"/>
          </w:r>
          <w:r>
            <w:instrText xml:space="preserve"> HYPERLINK \l "_Toc160709116" </w:instrText>
          </w:r>
          <w:r>
            <w:fldChar w:fldCharType="separate"/>
          </w:r>
          <w:r>
            <w:rPr>
              <w:rStyle w:val="23"/>
              <w:rFonts w:eastAsia="仿宋"/>
              <w:sz w:val="21"/>
              <w:szCs w:val="21"/>
            </w:rPr>
            <w:t>7  江永县</w:t>
          </w:r>
          <w:r>
            <w:rPr>
              <w:rFonts w:eastAsia="仿宋"/>
              <w:sz w:val="21"/>
              <w:szCs w:val="21"/>
            </w:rPr>
            <w:tab/>
          </w:r>
          <w:r>
            <w:rPr>
              <w:rFonts w:eastAsia="仿宋"/>
              <w:sz w:val="21"/>
              <w:szCs w:val="21"/>
            </w:rPr>
            <w:fldChar w:fldCharType="begin"/>
          </w:r>
          <w:r>
            <w:rPr>
              <w:rFonts w:eastAsia="仿宋"/>
              <w:sz w:val="21"/>
              <w:szCs w:val="21"/>
            </w:rPr>
            <w:instrText xml:space="preserve"> PAGEREF _Toc160709116 \h </w:instrText>
          </w:r>
          <w:r>
            <w:rPr>
              <w:rFonts w:eastAsia="仿宋"/>
              <w:sz w:val="21"/>
              <w:szCs w:val="21"/>
            </w:rPr>
            <w:fldChar w:fldCharType="separate"/>
          </w:r>
          <w:r>
            <w:rPr>
              <w:rFonts w:eastAsia="仿宋"/>
              <w:sz w:val="21"/>
              <w:szCs w:val="21"/>
            </w:rPr>
            <w:t>105</w:t>
          </w:r>
          <w:r>
            <w:rPr>
              <w:rFonts w:eastAsia="仿宋"/>
              <w:sz w:val="21"/>
              <w:szCs w:val="21"/>
            </w:rPr>
            <w:fldChar w:fldCharType="end"/>
          </w:r>
          <w:r>
            <w:rPr>
              <w:rFonts w:eastAsia="仿宋"/>
              <w:sz w:val="21"/>
              <w:szCs w:val="21"/>
            </w:rPr>
            <w:fldChar w:fldCharType="end"/>
          </w:r>
        </w:p>
        <w:p w14:paraId="67F7AAF4">
          <w:pPr>
            <w:pStyle w:val="14"/>
            <w:rPr>
              <w:rFonts w:eastAsia="仿宋"/>
              <w:b w:val="0"/>
              <w:sz w:val="21"/>
              <w:szCs w:val="21"/>
            </w:rPr>
          </w:pPr>
          <w:r>
            <w:fldChar w:fldCharType="begin"/>
          </w:r>
          <w:r>
            <w:instrText xml:space="preserve"> HYPERLINK \l "_Toc160709117" </w:instrText>
          </w:r>
          <w:r>
            <w:fldChar w:fldCharType="separate"/>
          </w:r>
          <w:r>
            <w:rPr>
              <w:rStyle w:val="23"/>
              <w:rFonts w:eastAsia="仿宋"/>
              <w:sz w:val="21"/>
              <w:szCs w:val="21"/>
            </w:rPr>
            <w:t>8  宁远县</w:t>
          </w:r>
          <w:r>
            <w:rPr>
              <w:rFonts w:eastAsia="仿宋"/>
              <w:sz w:val="21"/>
              <w:szCs w:val="21"/>
            </w:rPr>
            <w:tab/>
          </w:r>
          <w:r>
            <w:rPr>
              <w:rFonts w:eastAsia="仿宋"/>
              <w:sz w:val="21"/>
              <w:szCs w:val="21"/>
            </w:rPr>
            <w:fldChar w:fldCharType="begin"/>
          </w:r>
          <w:r>
            <w:rPr>
              <w:rFonts w:eastAsia="仿宋"/>
              <w:sz w:val="21"/>
              <w:szCs w:val="21"/>
            </w:rPr>
            <w:instrText xml:space="preserve"> PAGEREF _Toc160709117 \h </w:instrText>
          </w:r>
          <w:r>
            <w:rPr>
              <w:rFonts w:eastAsia="仿宋"/>
              <w:sz w:val="21"/>
              <w:szCs w:val="21"/>
            </w:rPr>
            <w:fldChar w:fldCharType="separate"/>
          </w:r>
          <w:r>
            <w:rPr>
              <w:rFonts w:eastAsia="仿宋"/>
              <w:sz w:val="21"/>
              <w:szCs w:val="21"/>
            </w:rPr>
            <w:t>116</w:t>
          </w:r>
          <w:r>
            <w:rPr>
              <w:rFonts w:eastAsia="仿宋"/>
              <w:sz w:val="21"/>
              <w:szCs w:val="21"/>
            </w:rPr>
            <w:fldChar w:fldCharType="end"/>
          </w:r>
          <w:r>
            <w:rPr>
              <w:rFonts w:eastAsia="仿宋"/>
              <w:sz w:val="21"/>
              <w:szCs w:val="21"/>
            </w:rPr>
            <w:fldChar w:fldCharType="end"/>
          </w:r>
        </w:p>
        <w:p w14:paraId="4A09889F">
          <w:pPr>
            <w:pStyle w:val="14"/>
            <w:rPr>
              <w:rFonts w:eastAsia="仿宋"/>
              <w:b w:val="0"/>
              <w:sz w:val="21"/>
              <w:szCs w:val="21"/>
            </w:rPr>
          </w:pPr>
          <w:r>
            <w:fldChar w:fldCharType="begin"/>
          </w:r>
          <w:r>
            <w:instrText xml:space="preserve"> HYPERLINK \l "_Toc160709118" </w:instrText>
          </w:r>
          <w:r>
            <w:fldChar w:fldCharType="separate"/>
          </w:r>
          <w:r>
            <w:rPr>
              <w:rStyle w:val="23"/>
              <w:rFonts w:eastAsia="仿宋"/>
              <w:sz w:val="21"/>
              <w:szCs w:val="21"/>
            </w:rPr>
            <w:t>9  蓝山县</w:t>
          </w:r>
          <w:r>
            <w:rPr>
              <w:rFonts w:eastAsia="仿宋"/>
              <w:sz w:val="21"/>
              <w:szCs w:val="21"/>
            </w:rPr>
            <w:tab/>
          </w:r>
          <w:r>
            <w:rPr>
              <w:rFonts w:eastAsia="仿宋"/>
              <w:sz w:val="21"/>
              <w:szCs w:val="21"/>
            </w:rPr>
            <w:fldChar w:fldCharType="begin"/>
          </w:r>
          <w:r>
            <w:rPr>
              <w:rFonts w:eastAsia="仿宋"/>
              <w:sz w:val="21"/>
              <w:szCs w:val="21"/>
            </w:rPr>
            <w:instrText xml:space="preserve"> PAGEREF _Toc160709118 \h </w:instrText>
          </w:r>
          <w:r>
            <w:rPr>
              <w:rFonts w:eastAsia="仿宋"/>
              <w:sz w:val="21"/>
              <w:szCs w:val="21"/>
            </w:rPr>
            <w:fldChar w:fldCharType="separate"/>
          </w:r>
          <w:r>
            <w:rPr>
              <w:rFonts w:eastAsia="仿宋"/>
              <w:sz w:val="21"/>
              <w:szCs w:val="21"/>
            </w:rPr>
            <w:t>131</w:t>
          </w:r>
          <w:r>
            <w:rPr>
              <w:rFonts w:eastAsia="仿宋"/>
              <w:sz w:val="21"/>
              <w:szCs w:val="21"/>
            </w:rPr>
            <w:fldChar w:fldCharType="end"/>
          </w:r>
          <w:r>
            <w:rPr>
              <w:rFonts w:eastAsia="仿宋"/>
              <w:sz w:val="21"/>
              <w:szCs w:val="21"/>
            </w:rPr>
            <w:fldChar w:fldCharType="end"/>
          </w:r>
        </w:p>
        <w:p w14:paraId="494CAD56">
          <w:pPr>
            <w:pStyle w:val="14"/>
            <w:rPr>
              <w:rStyle w:val="23"/>
              <w:rFonts w:eastAsia="仿宋"/>
              <w:sz w:val="21"/>
              <w:szCs w:val="21"/>
            </w:rPr>
          </w:pPr>
          <w:r>
            <w:fldChar w:fldCharType="begin"/>
          </w:r>
          <w:r>
            <w:instrText xml:space="preserve"> HYPERLINK \l "_Toc160709119" </w:instrText>
          </w:r>
          <w:r>
            <w:fldChar w:fldCharType="separate"/>
          </w:r>
          <w:r>
            <w:rPr>
              <w:rStyle w:val="23"/>
              <w:rFonts w:eastAsia="仿宋"/>
              <w:sz w:val="21"/>
              <w:szCs w:val="21"/>
            </w:rPr>
            <w:t>10  新田县</w:t>
          </w:r>
          <w:r>
            <w:rPr>
              <w:rStyle w:val="23"/>
              <w:rFonts w:eastAsia="仿宋"/>
              <w:sz w:val="21"/>
              <w:szCs w:val="21"/>
            </w:rPr>
            <w:tab/>
          </w:r>
          <w:r>
            <w:rPr>
              <w:rStyle w:val="23"/>
              <w:rFonts w:eastAsia="仿宋"/>
              <w:sz w:val="21"/>
              <w:szCs w:val="21"/>
            </w:rPr>
            <w:fldChar w:fldCharType="begin"/>
          </w:r>
          <w:r>
            <w:rPr>
              <w:rStyle w:val="23"/>
              <w:rFonts w:eastAsia="仿宋"/>
              <w:sz w:val="21"/>
              <w:szCs w:val="21"/>
            </w:rPr>
            <w:instrText xml:space="preserve"> PAGEREF _Toc160709119 \h </w:instrText>
          </w:r>
          <w:r>
            <w:rPr>
              <w:rStyle w:val="23"/>
              <w:rFonts w:eastAsia="仿宋"/>
              <w:sz w:val="21"/>
              <w:szCs w:val="21"/>
            </w:rPr>
            <w:fldChar w:fldCharType="separate"/>
          </w:r>
          <w:r>
            <w:rPr>
              <w:rStyle w:val="23"/>
              <w:rFonts w:eastAsia="仿宋"/>
              <w:sz w:val="21"/>
              <w:szCs w:val="21"/>
            </w:rPr>
            <w:t>144</w:t>
          </w:r>
          <w:r>
            <w:rPr>
              <w:rStyle w:val="23"/>
              <w:rFonts w:eastAsia="仿宋"/>
              <w:sz w:val="21"/>
              <w:szCs w:val="21"/>
            </w:rPr>
            <w:fldChar w:fldCharType="end"/>
          </w:r>
          <w:r>
            <w:rPr>
              <w:rStyle w:val="23"/>
              <w:rFonts w:eastAsia="仿宋"/>
              <w:sz w:val="21"/>
              <w:szCs w:val="21"/>
            </w:rPr>
            <w:fldChar w:fldCharType="end"/>
          </w:r>
        </w:p>
        <w:p w14:paraId="207F5EB0">
          <w:pPr>
            <w:pStyle w:val="14"/>
            <w:rPr>
              <w:rFonts w:eastAsia="仿宋"/>
              <w:b w:val="0"/>
              <w:sz w:val="21"/>
              <w:szCs w:val="21"/>
            </w:rPr>
          </w:pPr>
          <w:r>
            <w:fldChar w:fldCharType="begin"/>
          </w:r>
          <w:r>
            <w:instrText xml:space="preserve"> HYPERLINK \l "_Toc160709120" </w:instrText>
          </w:r>
          <w:r>
            <w:fldChar w:fldCharType="separate"/>
          </w:r>
          <w:r>
            <w:rPr>
              <w:rStyle w:val="23"/>
              <w:rFonts w:eastAsia="仿宋"/>
              <w:sz w:val="21"/>
              <w:szCs w:val="21"/>
            </w:rPr>
            <w:t>11  江华瑶族自治县</w:t>
          </w:r>
          <w:r>
            <w:rPr>
              <w:rStyle w:val="23"/>
              <w:rFonts w:eastAsia="仿宋"/>
              <w:sz w:val="21"/>
              <w:szCs w:val="21"/>
            </w:rPr>
            <w:tab/>
          </w:r>
          <w:r>
            <w:rPr>
              <w:rStyle w:val="23"/>
              <w:rFonts w:eastAsia="仿宋"/>
              <w:sz w:val="21"/>
              <w:szCs w:val="21"/>
            </w:rPr>
            <w:fldChar w:fldCharType="begin"/>
          </w:r>
          <w:r>
            <w:rPr>
              <w:rStyle w:val="23"/>
              <w:rFonts w:eastAsia="仿宋"/>
              <w:sz w:val="21"/>
              <w:szCs w:val="21"/>
            </w:rPr>
            <w:instrText xml:space="preserve"> PAGEREF _Toc160709120 \h </w:instrText>
          </w:r>
          <w:r>
            <w:rPr>
              <w:rStyle w:val="23"/>
              <w:rFonts w:eastAsia="仿宋"/>
              <w:sz w:val="21"/>
              <w:szCs w:val="21"/>
            </w:rPr>
            <w:fldChar w:fldCharType="separate"/>
          </w:r>
          <w:r>
            <w:rPr>
              <w:rStyle w:val="23"/>
              <w:rFonts w:eastAsia="仿宋"/>
              <w:sz w:val="21"/>
              <w:szCs w:val="21"/>
            </w:rPr>
            <w:t>155</w:t>
          </w:r>
          <w:r>
            <w:rPr>
              <w:rStyle w:val="23"/>
              <w:rFonts w:eastAsia="仿宋"/>
              <w:sz w:val="21"/>
              <w:szCs w:val="21"/>
            </w:rPr>
            <w:fldChar w:fldCharType="end"/>
          </w:r>
          <w:r>
            <w:rPr>
              <w:rStyle w:val="23"/>
              <w:rFonts w:eastAsia="仿宋"/>
              <w:sz w:val="21"/>
              <w:szCs w:val="21"/>
            </w:rPr>
            <w:fldChar w:fldCharType="end"/>
          </w:r>
        </w:p>
        <w:p w14:paraId="12BA28A9">
          <w:pPr>
            <w:rPr>
              <w:rFonts w:ascii="Times New Roman" w:hAnsi="Times New Roman" w:eastAsia="仿宋" w:cs="Times New Roman"/>
              <w:szCs w:val="21"/>
            </w:rPr>
          </w:pPr>
          <w:r>
            <w:rPr>
              <w:rFonts w:ascii="Times New Roman" w:hAnsi="Times New Roman" w:eastAsia="仿宋" w:cs="Times New Roman"/>
              <w:b/>
              <w:bCs/>
              <w:szCs w:val="21"/>
              <w:lang w:val="zh-CN"/>
            </w:rPr>
            <w:fldChar w:fldCharType="end"/>
          </w:r>
        </w:p>
      </w:sdtContent>
    </w:sdt>
    <w:p w14:paraId="62546D2D">
      <w:pPr>
        <w:spacing w:line="348" w:lineRule="auto"/>
        <w:jc w:val="center"/>
        <w:outlineLvl w:val="0"/>
        <w:rPr>
          <w:rFonts w:ascii="Times New Roman" w:hAnsi="Times New Roman" w:eastAsia="仿宋" w:cs="Times New Roman"/>
          <w:b/>
          <w:szCs w:val="21"/>
        </w:rPr>
        <w:sectPr>
          <w:headerReference r:id="rId3" w:type="default"/>
          <w:footerReference r:id="rId4" w:type="default"/>
          <w:pgSz w:w="16838" w:h="11906" w:orient="landscape"/>
          <w:pgMar w:top="1800" w:right="1440" w:bottom="1800" w:left="1440" w:header="851" w:footer="992" w:gutter="0"/>
          <w:pgNumType w:start="1"/>
          <w:cols w:space="425" w:num="1"/>
          <w:docGrid w:type="lines" w:linePitch="312" w:charSpace="0"/>
        </w:sectPr>
      </w:pPr>
      <w:bookmarkStart w:id="0" w:name="_Toc27784"/>
      <w:bookmarkStart w:id="1" w:name="_Toc14419462"/>
      <w:bookmarkStart w:id="2" w:name="_Toc58452419"/>
      <w:bookmarkStart w:id="3" w:name="_Toc20484767"/>
      <w:bookmarkStart w:id="4" w:name="_Toc160709110"/>
    </w:p>
    <w:p w14:paraId="44BA2E17">
      <w:pPr>
        <w:spacing w:line="348" w:lineRule="auto"/>
        <w:jc w:val="center"/>
        <w:outlineLvl w:val="0"/>
        <w:rPr>
          <w:rFonts w:ascii="Times New Roman" w:hAnsi="Times New Roman" w:eastAsia="仿宋" w:cs="Times New Roman"/>
          <w:b/>
          <w:szCs w:val="21"/>
        </w:rPr>
      </w:pPr>
      <w:r>
        <w:rPr>
          <w:rFonts w:ascii="Times New Roman" w:hAnsi="Times New Roman" w:eastAsia="仿宋" w:cs="Times New Roman"/>
          <w:b/>
          <w:szCs w:val="21"/>
        </w:rPr>
        <w:t>1  零陵区</w:t>
      </w:r>
      <w:bookmarkEnd w:id="0"/>
      <w:bookmarkEnd w:id="1"/>
      <w:bookmarkEnd w:id="2"/>
      <w:bookmarkEnd w:id="3"/>
      <w:bookmarkEnd w:id="4"/>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21"/>
        <w:gridCol w:w="427"/>
        <w:gridCol w:w="379"/>
        <w:gridCol w:w="425"/>
        <w:gridCol w:w="709"/>
        <w:gridCol w:w="1134"/>
        <w:gridCol w:w="1134"/>
        <w:gridCol w:w="1377"/>
        <w:gridCol w:w="1156"/>
        <w:gridCol w:w="1294"/>
        <w:gridCol w:w="3708"/>
      </w:tblGrid>
      <w:tr w14:paraId="51D7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7DAC630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21" w:type="dxa"/>
            <w:vMerge w:val="restart"/>
            <w:vAlign w:val="center"/>
          </w:tcPr>
          <w:p w14:paraId="0F08180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31" w:type="dxa"/>
            <w:gridSpan w:val="3"/>
            <w:vAlign w:val="center"/>
          </w:tcPr>
          <w:p w14:paraId="38D6062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61B7314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48288FB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6F4FA18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377" w:type="dxa"/>
            <w:vMerge w:val="restart"/>
            <w:vAlign w:val="center"/>
          </w:tcPr>
          <w:p w14:paraId="750D447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450" w:type="dxa"/>
            <w:gridSpan w:val="2"/>
            <w:vMerge w:val="restart"/>
            <w:vAlign w:val="center"/>
          </w:tcPr>
          <w:p w14:paraId="795690E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708" w:type="dxa"/>
            <w:vMerge w:val="restart"/>
            <w:vAlign w:val="center"/>
          </w:tcPr>
          <w:p w14:paraId="11653AC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6F5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70B90E5C">
            <w:pPr>
              <w:widowControl/>
              <w:jc w:val="left"/>
              <w:rPr>
                <w:rFonts w:ascii="Times New Roman" w:hAnsi="Times New Roman" w:eastAsia="仿宋" w:cs="Times New Roman"/>
                <w:b/>
                <w:kern w:val="0"/>
                <w:szCs w:val="21"/>
              </w:rPr>
            </w:pPr>
          </w:p>
        </w:tc>
        <w:tc>
          <w:tcPr>
            <w:tcW w:w="1321" w:type="dxa"/>
            <w:vMerge w:val="continue"/>
            <w:vAlign w:val="center"/>
          </w:tcPr>
          <w:p w14:paraId="7240FB50">
            <w:pPr>
              <w:widowControl/>
              <w:jc w:val="left"/>
              <w:rPr>
                <w:rFonts w:ascii="Times New Roman" w:hAnsi="Times New Roman" w:eastAsia="仿宋" w:cs="Times New Roman"/>
                <w:b/>
                <w:kern w:val="0"/>
                <w:szCs w:val="21"/>
              </w:rPr>
            </w:pPr>
          </w:p>
        </w:tc>
        <w:tc>
          <w:tcPr>
            <w:tcW w:w="427" w:type="dxa"/>
            <w:vAlign w:val="center"/>
          </w:tcPr>
          <w:p w14:paraId="02EDA85B">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379" w:type="dxa"/>
            <w:vAlign w:val="center"/>
          </w:tcPr>
          <w:p w14:paraId="0AE729DF">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2051BED7">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507984FE">
            <w:pPr>
              <w:widowControl/>
              <w:jc w:val="left"/>
              <w:rPr>
                <w:rFonts w:ascii="Times New Roman" w:hAnsi="Times New Roman" w:eastAsia="仿宋" w:cs="Times New Roman"/>
                <w:b/>
                <w:kern w:val="0"/>
                <w:szCs w:val="21"/>
              </w:rPr>
            </w:pPr>
          </w:p>
        </w:tc>
        <w:tc>
          <w:tcPr>
            <w:tcW w:w="1134" w:type="dxa"/>
            <w:vMerge w:val="continue"/>
            <w:vAlign w:val="center"/>
          </w:tcPr>
          <w:p w14:paraId="17BB8C09">
            <w:pPr>
              <w:widowControl/>
              <w:jc w:val="left"/>
              <w:rPr>
                <w:rFonts w:ascii="Times New Roman" w:hAnsi="Times New Roman" w:eastAsia="仿宋" w:cs="Times New Roman"/>
                <w:b/>
                <w:kern w:val="0"/>
                <w:szCs w:val="21"/>
              </w:rPr>
            </w:pPr>
          </w:p>
        </w:tc>
        <w:tc>
          <w:tcPr>
            <w:tcW w:w="1134" w:type="dxa"/>
            <w:vMerge w:val="continue"/>
            <w:vAlign w:val="center"/>
          </w:tcPr>
          <w:p w14:paraId="753D68BB">
            <w:pPr>
              <w:widowControl/>
              <w:jc w:val="left"/>
              <w:rPr>
                <w:rFonts w:ascii="Times New Roman" w:hAnsi="Times New Roman" w:eastAsia="仿宋" w:cs="Times New Roman"/>
                <w:b/>
                <w:kern w:val="0"/>
                <w:szCs w:val="21"/>
              </w:rPr>
            </w:pPr>
          </w:p>
        </w:tc>
        <w:tc>
          <w:tcPr>
            <w:tcW w:w="1377" w:type="dxa"/>
            <w:vMerge w:val="continue"/>
            <w:vAlign w:val="center"/>
          </w:tcPr>
          <w:p w14:paraId="1908E777">
            <w:pPr>
              <w:widowControl/>
              <w:jc w:val="left"/>
              <w:rPr>
                <w:rFonts w:ascii="Times New Roman" w:hAnsi="Times New Roman" w:eastAsia="仿宋" w:cs="Times New Roman"/>
                <w:b/>
                <w:kern w:val="0"/>
                <w:szCs w:val="21"/>
              </w:rPr>
            </w:pPr>
          </w:p>
        </w:tc>
        <w:tc>
          <w:tcPr>
            <w:tcW w:w="2450" w:type="dxa"/>
            <w:gridSpan w:val="2"/>
            <w:vMerge w:val="continue"/>
            <w:vAlign w:val="center"/>
          </w:tcPr>
          <w:p w14:paraId="5BA79AED">
            <w:pPr>
              <w:widowControl/>
              <w:jc w:val="left"/>
              <w:rPr>
                <w:rFonts w:ascii="Times New Roman" w:hAnsi="Times New Roman" w:eastAsia="仿宋" w:cs="Times New Roman"/>
                <w:b/>
                <w:kern w:val="0"/>
                <w:szCs w:val="21"/>
              </w:rPr>
            </w:pPr>
          </w:p>
        </w:tc>
        <w:tc>
          <w:tcPr>
            <w:tcW w:w="3708" w:type="dxa"/>
            <w:vMerge w:val="continue"/>
            <w:vAlign w:val="center"/>
          </w:tcPr>
          <w:p w14:paraId="39E642A9">
            <w:pPr>
              <w:widowControl/>
              <w:jc w:val="left"/>
              <w:rPr>
                <w:rFonts w:ascii="Times New Roman" w:hAnsi="Times New Roman" w:eastAsia="仿宋" w:cs="Times New Roman"/>
                <w:b/>
                <w:kern w:val="0"/>
                <w:szCs w:val="21"/>
              </w:rPr>
            </w:pPr>
          </w:p>
        </w:tc>
      </w:tr>
      <w:tr w14:paraId="736F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799101E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ZH43110210001</w:t>
            </w:r>
          </w:p>
        </w:tc>
        <w:tc>
          <w:tcPr>
            <w:tcW w:w="1321" w:type="dxa"/>
            <w:vAlign w:val="center"/>
          </w:tcPr>
          <w:p w14:paraId="68387AF4">
            <w:pPr>
              <w:widowControl/>
              <w:jc w:val="center"/>
              <w:rPr>
                <w:rFonts w:ascii="Times New Roman" w:hAnsi="Times New Roman" w:eastAsia="仿宋" w:cs="Times New Roman"/>
                <w:kern w:val="0"/>
                <w:szCs w:val="21"/>
              </w:rPr>
            </w:pPr>
            <w:r>
              <w:rPr>
                <w:rFonts w:ascii="Times New Roman" w:hAnsi="Times New Roman" w:eastAsia="仿宋" w:cs="Times New Roman"/>
                <w:szCs w:val="21"/>
              </w:rPr>
              <w:t>富家桥镇/朝阳街道/南津渡街道</w:t>
            </w:r>
          </w:p>
        </w:tc>
        <w:tc>
          <w:tcPr>
            <w:tcW w:w="427" w:type="dxa"/>
            <w:vAlign w:val="center"/>
          </w:tcPr>
          <w:p w14:paraId="4B3DC9F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379" w:type="dxa"/>
            <w:vAlign w:val="center"/>
          </w:tcPr>
          <w:p w14:paraId="4244B772">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19AD4501">
            <w:pPr>
              <w:widowControl/>
              <w:jc w:val="center"/>
              <w:rPr>
                <w:rFonts w:ascii="Times New Roman" w:hAnsi="Times New Roman" w:eastAsia="仿宋" w:cs="Times New Roman"/>
                <w:szCs w:val="21"/>
              </w:rPr>
            </w:pPr>
            <w:r>
              <w:rPr>
                <w:rFonts w:ascii="Times New Roman" w:hAnsi="Times New Roman" w:eastAsia="仿宋" w:cs="Times New Roman"/>
                <w:szCs w:val="21"/>
              </w:rPr>
              <w:t>零陵区</w:t>
            </w:r>
          </w:p>
        </w:tc>
        <w:tc>
          <w:tcPr>
            <w:tcW w:w="709" w:type="dxa"/>
            <w:vAlign w:val="center"/>
          </w:tcPr>
          <w:p w14:paraId="501724C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134" w:type="dxa"/>
            <w:vAlign w:val="center"/>
          </w:tcPr>
          <w:p w14:paraId="650A3F8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283.56</w:t>
            </w:r>
          </w:p>
        </w:tc>
        <w:tc>
          <w:tcPr>
            <w:tcW w:w="1134" w:type="dxa"/>
            <w:vAlign w:val="center"/>
          </w:tcPr>
          <w:p w14:paraId="6902099F">
            <w:pPr>
              <w:widowControl/>
              <w:jc w:val="center"/>
              <w:rPr>
                <w:rFonts w:ascii="Times New Roman" w:hAnsi="Times New Roman" w:eastAsia="仿宋" w:cs="Times New Roman"/>
                <w:szCs w:val="21"/>
              </w:rPr>
            </w:pPr>
            <w:r>
              <w:rPr>
                <w:rFonts w:ascii="Times New Roman" w:hAnsi="Times New Roman" w:eastAsia="仿宋" w:cs="Times New Roman"/>
                <w:szCs w:val="21"/>
              </w:rPr>
              <w:t>富家桥镇/朝阳街道/南津渡街道</w:t>
            </w:r>
          </w:p>
        </w:tc>
        <w:tc>
          <w:tcPr>
            <w:tcW w:w="1377" w:type="dxa"/>
            <w:vAlign w:val="center"/>
          </w:tcPr>
          <w:p w14:paraId="7A80830B">
            <w:pPr>
              <w:widowControl/>
              <w:jc w:val="center"/>
              <w:rPr>
                <w:rFonts w:ascii="Times New Roman" w:hAnsi="Times New Roman" w:eastAsia="仿宋" w:cs="Times New Roman"/>
                <w:kern w:val="0"/>
                <w:szCs w:val="21"/>
              </w:rPr>
            </w:pPr>
            <w:r>
              <w:rPr>
                <w:rFonts w:ascii="Times New Roman" w:hAnsi="Times New Roman" w:eastAsia="仿宋" w:cs="Times New Roman"/>
                <w:szCs w:val="21"/>
              </w:rPr>
              <w:t>富家桥镇：农产品主产区/历史 文化资源富集区；朝阳街道：历史文化资源富集区/城市化地 区；南津渡街道：城市化地区</w:t>
            </w:r>
          </w:p>
        </w:tc>
        <w:tc>
          <w:tcPr>
            <w:tcW w:w="2450" w:type="dxa"/>
            <w:gridSpan w:val="2"/>
            <w:vAlign w:val="center"/>
          </w:tcPr>
          <w:p w14:paraId="4C4B567E">
            <w:pPr>
              <w:pStyle w:val="8"/>
              <w:spacing w:after="0"/>
              <w:rPr>
                <w:rFonts w:eastAsia="仿宋"/>
                <w:sz w:val="21"/>
                <w:szCs w:val="21"/>
              </w:rPr>
            </w:pPr>
            <w:r>
              <w:rPr>
                <w:rFonts w:eastAsia="仿宋"/>
                <w:b/>
                <w:bCs/>
                <w:sz w:val="21"/>
                <w:szCs w:val="21"/>
              </w:rPr>
              <w:t>富家桥镇：</w:t>
            </w:r>
            <w:r>
              <w:rPr>
                <w:rFonts w:eastAsia="仿宋"/>
                <w:sz w:val="21"/>
                <w:szCs w:val="21"/>
              </w:rPr>
              <w:t>旅游业、竹木加工、采矿业、商贸物流等。</w:t>
            </w:r>
          </w:p>
          <w:p w14:paraId="4352F86D">
            <w:pPr>
              <w:pStyle w:val="8"/>
              <w:spacing w:after="0"/>
              <w:rPr>
                <w:rFonts w:eastAsia="仿宋"/>
                <w:sz w:val="21"/>
                <w:szCs w:val="21"/>
              </w:rPr>
            </w:pPr>
            <w:r>
              <w:rPr>
                <w:rFonts w:eastAsia="仿宋"/>
                <w:b/>
                <w:bCs/>
                <w:sz w:val="21"/>
                <w:szCs w:val="21"/>
              </w:rPr>
              <w:t>朝阳街道：</w:t>
            </w:r>
            <w:r>
              <w:rPr>
                <w:rFonts w:eastAsia="仿宋"/>
                <w:sz w:val="21"/>
                <w:szCs w:val="21"/>
              </w:rPr>
              <w:t>农业、旅游业、农副产品加工业、物流、餐饮业。</w:t>
            </w:r>
          </w:p>
          <w:p w14:paraId="18180729">
            <w:pPr>
              <w:pStyle w:val="8"/>
              <w:spacing w:after="0"/>
              <w:rPr>
                <w:rFonts w:eastAsia="仿宋"/>
                <w:sz w:val="21"/>
                <w:szCs w:val="21"/>
              </w:rPr>
            </w:pPr>
            <w:r>
              <w:rPr>
                <w:rFonts w:eastAsia="仿宋"/>
                <w:b/>
                <w:bCs/>
                <w:sz w:val="21"/>
                <w:szCs w:val="21"/>
              </w:rPr>
              <w:t>南津渡街道：</w:t>
            </w:r>
            <w:r>
              <w:rPr>
                <w:rFonts w:eastAsia="仿宋"/>
                <w:sz w:val="21"/>
                <w:szCs w:val="21"/>
              </w:rPr>
              <w:t>旅游、农业、农副产品加工、餐饮服务等。</w:t>
            </w:r>
          </w:p>
        </w:tc>
        <w:tc>
          <w:tcPr>
            <w:tcW w:w="3708" w:type="dxa"/>
            <w:vAlign w:val="center"/>
          </w:tcPr>
          <w:p w14:paraId="678DD653">
            <w:pPr>
              <w:pStyle w:val="8"/>
              <w:spacing w:after="0"/>
              <w:rPr>
                <w:rFonts w:eastAsia="仿宋"/>
                <w:sz w:val="21"/>
                <w:szCs w:val="21"/>
              </w:rPr>
            </w:pPr>
            <w:r>
              <w:rPr>
                <w:rFonts w:eastAsia="仿宋"/>
                <w:b/>
                <w:bCs/>
                <w:sz w:val="21"/>
                <w:szCs w:val="21"/>
              </w:rPr>
              <w:t>富家桥镇：</w:t>
            </w:r>
            <w:r>
              <w:rPr>
                <w:rFonts w:eastAsia="仿宋"/>
                <w:sz w:val="21"/>
                <w:szCs w:val="21"/>
              </w:rPr>
              <w:t>部分畜禽养殖场环保设施不完善；集镇生活垃圾收运系统不完善。</w:t>
            </w:r>
          </w:p>
          <w:p w14:paraId="177EA4E4">
            <w:pPr>
              <w:pStyle w:val="8"/>
              <w:spacing w:after="0"/>
              <w:rPr>
                <w:rFonts w:eastAsia="仿宋"/>
                <w:sz w:val="21"/>
                <w:szCs w:val="21"/>
              </w:rPr>
            </w:pPr>
            <w:r>
              <w:rPr>
                <w:rFonts w:eastAsia="仿宋"/>
                <w:b/>
                <w:bCs/>
                <w:sz w:val="21"/>
                <w:szCs w:val="21"/>
              </w:rPr>
              <w:t>朝阳街道：</w:t>
            </w:r>
            <w:r>
              <w:rPr>
                <w:rFonts w:eastAsia="仿宋"/>
                <w:sz w:val="21"/>
                <w:szCs w:val="21"/>
              </w:rPr>
              <w:t>生活污水、工业废水收集处理设施不完善；农村生活垃圾收运系统不完善。</w:t>
            </w:r>
          </w:p>
          <w:p w14:paraId="00EB8326">
            <w:pPr>
              <w:pStyle w:val="8"/>
              <w:spacing w:after="0"/>
              <w:rPr>
                <w:rFonts w:eastAsia="仿宋"/>
                <w:sz w:val="21"/>
                <w:szCs w:val="21"/>
              </w:rPr>
            </w:pPr>
            <w:r>
              <w:rPr>
                <w:rFonts w:eastAsia="仿宋"/>
                <w:b/>
                <w:bCs/>
                <w:sz w:val="21"/>
                <w:szCs w:val="21"/>
              </w:rPr>
              <w:t>南津渡街道：</w:t>
            </w:r>
            <w:r>
              <w:rPr>
                <w:rFonts w:eastAsia="仿宋"/>
                <w:sz w:val="21"/>
                <w:szCs w:val="21"/>
              </w:rPr>
              <w:t>排水管网不完善，雨污分流不够。</w:t>
            </w:r>
          </w:p>
          <w:p w14:paraId="1DC940D0">
            <w:pPr>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bCs/>
                <w:szCs w:val="21"/>
              </w:rPr>
              <w:t>湖南零陵潇水国家湿地公园、</w:t>
            </w:r>
            <w:r>
              <w:rPr>
                <w:rFonts w:ascii="Times New Roman" w:hAnsi="Times New Roman" w:eastAsia="仿宋" w:cs="Times New Roman"/>
                <w:bCs/>
                <w:kern w:val="0"/>
                <w:szCs w:val="21"/>
              </w:rPr>
              <w:t>永州市零陵区潇水饮用水水源保护区等。</w:t>
            </w:r>
          </w:p>
        </w:tc>
      </w:tr>
      <w:tr w14:paraId="1CBC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634DFF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1"/>
            <w:vAlign w:val="center"/>
          </w:tcPr>
          <w:p w14:paraId="06BAE5B0">
            <w:pPr>
              <w:pStyle w:val="8"/>
              <w:spacing w:after="0"/>
              <w:rPr>
                <w:rFonts w:eastAsia="仿宋"/>
                <w:b/>
                <w:bCs/>
                <w:kern w:val="2"/>
                <w:sz w:val="21"/>
                <w:szCs w:val="21"/>
              </w:rPr>
            </w:pPr>
            <w:r>
              <w:rPr>
                <w:rFonts w:eastAsia="仿宋"/>
                <w:b/>
                <w:bCs/>
                <w:kern w:val="2"/>
                <w:sz w:val="21"/>
                <w:szCs w:val="21"/>
              </w:rPr>
              <w:t>朝阳街道：</w:t>
            </w:r>
          </w:p>
          <w:p w14:paraId="47EEFE84">
            <w:pPr>
              <w:pStyle w:val="8"/>
              <w:spacing w:after="0"/>
              <w:rPr>
                <w:rFonts w:eastAsia="仿宋"/>
                <w:sz w:val="21"/>
                <w:szCs w:val="21"/>
              </w:rPr>
            </w:pPr>
            <w:r>
              <w:rPr>
                <w:rFonts w:eastAsia="仿宋"/>
                <w:sz w:val="21"/>
                <w:szCs w:val="21"/>
              </w:rPr>
              <w:t>红线/一般生态空间（湿地公园</w:t>
            </w:r>
            <w:r>
              <w:rPr>
                <w:rFonts w:eastAsia="仿宋"/>
                <w:szCs w:val="21"/>
              </w:rPr>
              <w:t>/</w:t>
            </w:r>
            <w:r>
              <w:rPr>
                <w:rFonts w:eastAsia="仿宋"/>
                <w:sz w:val="21"/>
                <w:szCs w:val="21"/>
              </w:rPr>
              <w:t>水源涵养重要区</w:t>
            </w:r>
            <w:r>
              <w:rPr>
                <w:rFonts w:eastAsia="仿宋"/>
                <w:szCs w:val="21"/>
              </w:rPr>
              <w:t>/</w:t>
            </w:r>
            <w:r>
              <w:rPr>
                <w:rFonts w:eastAsia="仿宋"/>
                <w:sz w:val="21"/>
                <w:szCs w:val="21"/>
              </w:rPr>
              <w:t>原生态红线</w:t>
            </w:r>
            <w:r>
              <w:rPr>
                <w:rFonts w:eastAsia="仿宋"/>
                <w:szCs w:val="21"/>
              </w:rPr>
              <w:t>/</w:t>
            </w:r>
            <w:r>
              <w:rPr>
                <w:rFonts w:eastAsia="仿宋"/>
                <w:sz w:val="21"/>
                <w:szCs w:val="21"/>
              </w:rPr>
              <w:t>生物多样性保护功能重要区</w:t>
            </w:r>
            <w:r>
              <w:rPr>
                <w:rFonts w:eastAsia="仿宋"/>
                <w:szCs w:val="21"/>
              </w:rPr>
              <w:t>/</w:t>
            </w:r>
            <w:r>
              <w:rPr>
                <w:rFonts w:eastAsia="仿宋"/>
                <w:sz w:val="21"/>
                <w:szCs w:val="21"/>
              </w:rPr>
              <w:t>水土流失敏感区</w:t>
            </w:r>
            <w:r>
              <w:rPr>
                <w:rFonts w:eastAsia="仿宋"/>
                <w:szCs w:val="21"/>
              </w:rPr>
              <w:t>/</w:t>
            </w:r>
            <w:r>
              <w:rPr>
                <w:rFonts w:eastAsia="仿宋"/>
                <w:sz w:val="21"/>
                <w:szCs w:val="21"/>
              </w:rPr>
              <w:t>三区三线生态红线）；水环境优先保护区/水环境一般管控区/水环境工业污染重点管控区；大气环境优先保护区/大气环境高排放重点管控区/大气环境受体敏感重点管控区/大气环境布局敏感重点管控区；农用地优先保护区/一般管控区/建设用地重点管控区；高污染燃料禁燃区</w:t>
            </w:r>
          </w:p>
          <w:p w14:paraId="62696AE7">
            <w:pPr>
              <w:widowControl/>
              <w:rPr>
                <w:rFonts w:ascii="Times New Roman" w:hAnsi="Times New Roman" w:eastAsia="仿宋" w:cs="Times New Roman"/>
                <w:b/>
                <w:bCs/>
                <w:szCs w:val="21"/>
              </w:rPr>
            </w:pPr>
            <w:r>
              <w:rPr>
                <w:rFonts w:ascii="Times New Roman" w:hAnsi="Times New Roman" w:eastAsia="仿宋" w:cs="Times New Roman"/>
                <w:b/>
                <w:bCs/>
                <w:szCs w:val="21"/>
              </w:rPr>
              <w:t>南津渡街道：</w:t>
            </w:r>
          </w:p>
          <w:p w14:paraId="0FBA8BC7">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红线/一般生态空间（湿地公园</w:t>
            </w:r>
            <w:bookmarkStart w:id="5" w:name="OLE_LINK6"/>
            <w:r>
              <w:rPr>
                <w:rFonts w:ascii="Times New Roman" w:hAnsi="Times New Roman" w:eastAsia="仿宋" w:cs="Times New Roman"/>
                <w:kern w:val="0"/>
                <w:szCs w:val="21"/>
              </w:rPr>
              <w:t>/</w:t>
            </w:r>
            <w:bookmarkEnd w:id="5"/>
            <w:r>
              <w:rPr>
                <w:rFonts w:ascii="Times New Roman" w:hAnsi="Times New Roman" w:eastAsia="仿宋" w:cs="Times New Roman"/>
                <w:kern w:val="0"/>
                <w:szCs w:val="21"/>
              </w:rPr>
              <w:t>生物多样性保护功能重要区/水土流失敏感区/水源涵养重要区）；水环境优先保护区/水环境城镇生活污染重点管控区/水环境一般管控区；大气环境优先保护区/大气环境高排放重点管控区/大气环境受体敏感重点管控区/大气环境布局敏感重点管控区；农用地优先保护区/建设用地重点管控区/一般管控区</w:t>
            </w:r>
          </w:p>
          <w:p w14:paraId="54A9A88E">
            <w:pPr>
              <w:widowControl/>
              <w:rPr>
                <w:rFonts w:ascii="Times New Roman" w:hAnsi="Times New Roman" w:eastAsia="仿宋" w:cs="Times New Roman"/>
                <w:b/>
                <w:bCs/>
                <w:szCs w:val="21"/>
              </w:rPr>
            </w:pPr>
            <w:r>
              <w:rPr>
                <w:rFonts w:ascii="Times New Roman" w:hAnsi="Times New Roman" w:eastAsia="仿宋" w:cs="Times New Roman"/>
                <w:b/>
                <w:bCs/>
                <w:szCs w:val="21"/>
              </w:rPr>
              <w:t>富家桥镇：</w:t>
            </w:r>
          </w:p>
          <w:p w14:paraId="73383B89">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三区三线生态红线/水源涵养重要区/森林公园/湿地公园/原生态红线/水土流失敏感区/生物多样性保护功能重要区）；水环境优先保护区/水环境一般管控区；大气环境优先保护区/大气环境受体敏感重点管控区/大气环境布局敏感重点管控区；农用地优先保护区/建设用地重点管控区/一般管控区</w:t>
            </w:r>
          </w:p>
        </w:tc>
      </w:tr>
      <w:tr w14:paraId="49D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F2BA9D1">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62" w:type="dxa"/>
            <w:gridSpan w:val="9"/>
            <w:vAlign w:val="center"/>
          </w:tcPr>
          <w:p w14:paraId="17E869D0">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002" w:type="dxa"/>
            <w:gridSpan w:val="2"/>
            <w:vAlign w:val="center"/>
          </w:tcPr>
          <w:p w14:paraId="732730A2">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2A61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0C1A30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62" w:type="dxa"/>
            <w:gridSpan w:val="9"/>
            <w:vAlign w:val="center"/>
          </w:tcPr>
          <w:p w14:paraId="78A3C56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b/>
                <w:kern w:val="0"/>
                <w:szCs w:val="21"/>
              </w:rPr>
              <w:t>永州市零陵区潇水饮用水水源保护区：</w:t>
            </w:r>
            <w:r>
              <w:rPr>
                <w:rFonts w:ascii="Times New Roman" w:hAnsi="Times New Roman" w:eastAsia="仿宋" w:cs="Times New Roman"/>
                <w:szCs w:val="21"/>
              </w:rPr>
              <w:t>严格控制旅游、航运、项目建设等开发行为，禁止燃油船舶在饮用水源保护区内游玩，严格控制二级保护区范围内新上旅游开发项目。禁止在南津渡水厂、娘子岭水厂取水口上游1000米，下游200米范围内垂钓、停泊渔船和电鱼捕鱼。</w:t>
            </w:r>
          </w:p>
          <w:p w14:paraId="4E39812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w:t>
            </w:r>
            <w:r>
              <w:rPr>
                <w:rFonts w:ascii="Times New Roman" w:hAnsi="Times New Roman" w:eastAsia="仿宋" w:cs="Times New Roman"/>
                <w:b/>
                <w:szCs w:val="21"/>
              </w:rPr>
              <w:t>湖南零陵潇水国家湿地公园：</w:t>
            </w:r>
            <w:r>
              <w:rPr>
                <w:rFonts w:ascii="Times New Roman" w:hAnsi="Times New Roman" w:eastAsia="仿宋" w:cs="Times New Roman"/>
                <w:szCs w:val="21"/>
              </w:rPr>
              <w:t>湿地公园内不得设立开发区、度假区。</w:t>
            </w:r>
            <w:r>
              <w:rPr>
                <w:rFonts w:ascii="Times New Roman" w:hAnsi="Times New Roman" w:eastAsia="仿宋" w:cs="Times New Roman"/>
                <w:szCs w:val="21"/>
                <w:shd w:val="clear" w:color="auto" w:fill="FFFFFF"/>
              </w:rPr>
              <w:t>禁止擅自在水面设置竹箔等障碍物，禁止非法引进外来物种或擅自放生，确需修建相关工程的，应当进行科学论证、评估，并征求相关部门的意见。已退耕还湿的地域禁止新建居民点或者其他永久性建筑物、构筑物。湿地公园管理局划定的植被恢复区，禁止放牧和种植。</w:t>
            </w:r>
          </w:p>
          <w:p w14:paraId="5EC888F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（1.3）畜禽养殖布局应符合《零陵区畜禽规模养殖“三区”划定方案》。</w:t>
            </w:r>
          </w:p>
        </w:tc>
        <w:tc>
          <w:tcPr>
            <w:tcW w:w="5002" w:type="dxa"/>
            <w:gridSpan w:val="2"/>
            <w:vMerge w:val="restart"/>
            <w:vAlign w:val="center"/>
          </w:tcPr>
          <w:p w14:paraId="6001718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（1.1）《永州市零陵区人民政府办公室印发关于零陵区饮用水水源保护区环境整治方案的通知》（零政办发〔2018〕17号）；</w:t>
            </w:r>
          </w:p>
          <w:p w14:paraId="552E931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（1.2）（2.1）《湖南零陵潇水国家湿地公园保护管理办法》；</w:t>
            </w:r>
          </w:p>
          <w:p w14:paraId="1B49046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（1.3）永州市零陵区人民政府办公室关于印发《零陵区畜禽规模养殖“三区”划定方案》的通知（零政办发〔2020〕1号）；</w:t>
            </w:r>
          </w:p>
          <w:p w14:paraId="2E0311DA">
            <w:pPr>
              <w:pStyle w:val="8"/>
              <w:spacing w:after="0"/>
              <w:rPr>
                <w:rFonts w:eastAsia="仿宋"/>
                <w:sz w:val="21"/>
                <w:szCs w:val="21"/>
              </w:rPr>
            </w:pPr>
            <w:r>
              <w:rPr>
                <w:rFonts w:eastAsia="仿宋"/>
                <w:sz w:val="21"/>
                <w:szCs w:val="21"/>
              </w:rPr>
              <w:t>（2.2）《零陵区畜禽养殖污染防治规划（2021-2025年）》；</w:t>
            </w:r>
          </w:p>
          <w:p w14:paraId="4CE6F9A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（2.3）永州市人民政府办公室关于印发《永州市养殖水域滩涂规划2018－2030年）》的通知（永政办函〔2018〕64号） ；</w:t>
            </w:r>
          </w:p>
          <w:p w14:paraId="7BE00C6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（2.4）《零陵区国民经济和社会发展第十四个五年规划和二0三五年远景目标纲要》；</w:t>
            </w:r>
          </w:p>
          <w:p w14:paraId="486EA11A">
            <w:pPr>
              <w:tabs>
                <w:tab w:val="left" w:pos="1021"/>
              </w:tabs>
              <w:rPr>
                <w:rFonts w:ascii="Times New Roman" w:hAnsi="Times New Roman" w:eastAsia="仿宋" w:cs="Times New Roman"/>
                <w:szCs w:val="21"/>
              </w:rPr>
            </w:pPr>
            <w:r>
              <w:rPr>
                <w:rFonts w:ascii="Times New Roman" w:hAnsi="Times New Roman" w:eastAsia="仿宋" w:cs="Times New Roman"/>
                <w:szCs w:val="21"/>
              </w:rPr>
              <w:t>（2.5）《零陵区“十四五”生态环境保护规划（2021-2025）》；</w:t>
            </w:r>
          </w:p>
          <w:p w14:paraId="736198C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（2.6）《零陵区“十四五”生态环境保护规划（2021-2025）》；</w:t>
            </w:r>
          </w:p>
          <w:p w14:paraId="42ED352E">
            <w:pPr>
              <w:rPr>
                <w:rFonts w:ascii="Times New Roman" w:hAnsi="Times New Roman" w:eastAsia="仿宋" w:cs="Times New Roman"/>
                <w:szCs w:val="21"/>
              </w:rPr>
            </w:pPr>
            <w:r>
              <w:rPr>
                <w:rFonts w:ascii="Times New Roman" w:hAnsi="Times New Roman" w:eastAsia="仿宋" w:cs="Times New Roman"/>
                <w:szCs w:val="21"/>
              </w:rPr>
              <w:t>（2.7）《零陵区“十四五”生态环境保护规划（2021-2025）》；</w:t>
            </w:r>
          </w:p>
          <w:p w14:paraId="738E501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（2.8）（3.1）《湖南省环境保护厅关于永州市零陵三湘电化有限责任公司氯酸盐、高氯酸盐系列建设工程竣工环境保护验收意见的函》（湘环评验〔2013〕86号）；</w:t>
            </w:r>
          </w:p>
          <w:p w14:paraId="0750767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（2.6）（3.1）《关于湖南方鑫新材料科技有限公司年产20000吨硫酸锰建设项目环境影响报告书的批复》（永环管〔2014〕126号）；</w:t>
            </w:r>
          </w:p>
          <w:p w14:paraId="6326256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（4.1.1）《永州市零陵区生态文明建设示范区规划说明书》；</w:t>
            </w:r>
          </w:p>
          <w:p w14:paraId="3CA8866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（4.1.3）《永州市人民政府关于调整高污染燃料禁燃区的通告》（永政函〔2020〕30号）；</w:t>
            </w:r>
          </w:p>
          <w:p w14:paraId="7A321852">
            <w:pPr>
              <w:pStyle w:val="8"/>
              <w:spacing w:after="0"/>
              <w:rPr>
                <w:rFonts w:eastAsia="仿宋"/>
                <w:sz w:val="21"/>
                <w:szCs w:val="21"/>
              </w:rPr>
            </w:pPr>
            <w:r>
              <w:rPr>
                <w:rFonts w:eastAsia="仿宋"/>
                <w:sz w:val="21"/>
                <w:szCs w:val="21"/>
              </w:rPr>
              <w:t>（4.1.4）《零陵区国民经济和社会发展第十四个五年规划和二0三五年远景目标纲要》；</w:t>
            </w:r>
          </w:p>
          <w:p w14:paraId="1AAF683B">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0257E1D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（4.2.2）《零陵区“十四五”生态环境保护规划（2021-2025）》。</w:t>
            </w:r>
          </w:p>
        </w:tc>
      </w:tr>
      <w:tr w14:paraId="5614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22EC21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62" w:type="dxa"/>
            <w:gridSpan w:val="9"/>
            <w:vAlign w:val="center"/>
          </w:tcPr>
          <w:p w14:paraId="51BBE3D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湖南零陵潇水国家湿地公园：禁止任意存储固体废弃物，对农用薄膜和渔网等不可降解的废弃物，使用者应当采取回收利用等措施。湿地公园内航行的船舶，应当配置符合国家规定的防污设备，不得排放污染物、生活污水及固体垃圾。</w:t>
            </w:r>
          </w:p>
          <w:p w14:paraId="0D8055D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现有规模化畜禽养殖场（小区）根据污染治理需要，配套建设粪便污水贮存、处理、利用设施，配套设施比例达到95%以上；加强畜禽养殖场污水的资源化利用。提升畜禽粪污资源利用水平，到2025年，全区畜禽粪污综合利用率达到90%以上。</w:t>
            </w:r>
          </w:p>
          <w:p w14:paraId="10C8639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（2.3）池塘及适宜养殖山塘、水库，全面推行生态养殖、减排增效技术，提高水产养殖生产水平，开展养殖尾水处理，池塘尾水排放应符合《淡水池塘养殖水排放要求》。</w:t>
            </w:r>
          </w:p>
          <w:p w14:paraId="0BEF9CBB">
            <w:pPr>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Cs/>
                <w:color w:val="000000"/>
                <w:szCs w:val="21"/>
                <w:u w:color="000000"/>
                <w:lang w:val="zh-TW"/>
              </w:rPr>
              <w:t>建设乡镇垃圾中转站等垃圾处理转运设施，实现农村乡镇和生活垃圾处理全普及。</w:t>
            </w:r>
            <w:r>
              <w:rPr>
                <w:rFonts w:ascii="Times New Roman" w:hAnsi="Times New Roman" w:eastAsia="仿宋" w:cs="Times New Roman"/>
                <w:szCs w:val="21"/>
                <w:lang w:val="zh-TW"/>
              </w:rPr>
              <w:t>开展黑臭水体治理，加快推进污水处理厂建设，农村生活污水治理覆盖面达到80%以上。</w:t>
            </w:r>
          </w:p>
          <w:p w14:paraId="70C445B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（2.5）严格控制全市砖瓦、水泥、锰矿等产能严重过剩行业的新增产能项目，积极化解水泥、砖瓦、锰矿、有色等过剩行业产能，依法淘汰落后产能。</w:t>
            </w:r>
          </w:p>
          <w:p w14:paraId="1BB9C1B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（2.6）建立秸秆综合利用长效机制，全面遏制焚烧秸秆现象。2025年之前，秸秆综合利用率达到85%以上。</w:t>
            </w:r>
          </w:p>
          <w:p w14:paraId="3DD43E01">
            <w:pPr>
              <w:ind w:firstLine="420" w:firstLineChars="200"/>
              <w:rPr>
                <w:rFonts w:ascii="Times New Roman" w:hAnsi="Times New Roman" w:eastAsia="仿宋" w:cs="Times New Roman"/>
                <w:szCs w:val="21"/>
              </w:rPr>
            </w:pPr>
            <w:r>
              <w:rPr>
                <w:rFonts w:ascii="Times New Roman" w:hAnsi="Times New Roman" w:eastAsia="仿宋" w:cs="Times New Roman"/>
                <w:szCs w:val="21"/>
              </w:rPr>
              <w:t>（2.7）启动乡镇生活垃圾处理工程建设。到2025年，农村生活垃圾收集处置体系实现乡镇全覆盖，生活垃圾定点存放清运率100%，垃圾分类减量85%以上，集镇生活垃圾无害化处置率达90%；到2030年，集镇生活垃圾无害化处置率达100%。</w:t>
            </w:r>
          </w:p>
          <w:p w14:paraId="110AC77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2.8）朝阳街道：三湘电化须严格做好各项污染防治设施的运行管理和维护，确保生产工艺废水稳定实现全部回用不外排，并做好含铬盐泥的收集、暂存、转移管理。湘科软磁大气环境防护距离内严禁新建学校、医院、住宅等环境敏感项目；各类生产废水分类收集处理后全部回用，禁止外排；非正常工况下废水经事故防范池收集，严禁直排。</w:t>
            </w:r>
          </w:p>
        </w:tc>
        <w:tc>
          <w:tcPr>
            <w:tcW w:w="5002" w:type="dxa"/>
            <w:gridSpan w:val="2"/>
            <w:vMerge w:val="continue"/>
            <w:vAlign w:val="center"/>
          </w:tcPr>
          <w:p w14:paraId="03C51630">
            <w:pPr>
              <w:widowControl/>
              <w:jc w:val="left"/>
              <w:rPr>
                <w:rFonts w:ascii="Times New Roman" w:hAnsi="Times New Roman" w:eastAsia="仿宋" w:cs="Times New Roman"/>
                <w:szCs w:val="21"/>
              </w:rPr>
            </w:pPr>
          </w:p>
        </w:tc>
      </w:tr>
      <w:tr w14:paraId="0A59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40FDDE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62" w:type="dxa"/>
            <w:gridSpan w:val="9"/>
            <w:vAlign w:val="center"/>
          </w:tcPr>
          <w:p w14:paraId="3424FD36">
            <w:pPr>
              <w:ind w:firstLine="420" w:firstLineChars="200"/>
              <w:rPr>
                <w:rFonts w:ascii="Times New Roman" w:hAnsi="Times New Roman" w:eastAsia="仿宋" w:cs="Times New Roman"/>
                <w:szCs w:val="21"/>
              </w:rPr>
            </w:pPr>
            <w:r>
              <w:rPr>
                <w:rFonts w:ascii="Times New Roman" w:hAnsi="Times New Roman" w:eastAsia="仿宋" w:cs="Times New Roman"/>
                <w:szCs w:val="21"/>
              </w:rPr>
              <w:t>（3.1）朝阳街道：三湘电化要进一步加强环境风险防范工作，切实防范环境风险事故发生。</w:t>
            </w:r>
          </w:p>
        </w:tc>
        <w:tc>
          <w:tcPr>
            <w:tcW w:w="5002" w:type="dxa"/>
            <w:gridSpan w:val="2"/>
            <w:vMerge w:val="continue"/>
            <w:vAlign w:val="center"/>
          </w:tcPr>
          <w:p w14:paraId="23E3C232">
            <w:pPr>
              <w:widowControl/>
              <w:jc w:val="left"/>
              <w:rPr>
                <w:rFonts w:ascii="Times New Roman" w:hAnsi="Times New Roman" w:eastAsia="仿宋" w:cs="Times New Roman"/>
                <w:szCs w:val="21"/>
              </w:rPr>
            </w:pPr>
          </w:p>
        </w:tc>
      </w:tr>
      <w:tr w14:paraId="21E7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1BA144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62" w:type="dxa"/>
            <w:gridSpan w:val="9"/>
            <w:vAlign w:val="center"/>
          </w:tcPr>
          <w:p w14:paraId="6931CD50">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（4.1）能源</w:t>
            </w:r>
          </w:p>
          <w:p w14:paraId="33207C5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（4.1.1）实行低硫煤政策，禁止使用含硫量大于1%，含灰量大于20%的燃煤。</w:t>
            </w:r>
          </w:p>
          <w:p w14:paraId="54F8709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（4.1.2）全面提高工业锅炉准入标准，禁止新建、扩建和改建燃煤锅炉，凡申请新、扩、改建锅炉的，一律要求使用电、天然气、液化石油气、轻质燃油、水煤浆、生物质成型燃料等低污染燃料。</w:t>
            </w:r>
          </w:p>
          <w:p w14:paraId="4CCE6263">
            <w:pPr>
              <w:autoSpaceDE w:val="0"/>
              <w:autoSpaceDN w:val="0"/>
              <w:adjustRightInd w:val="0"/>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（4.1.3）高污染燃料禁燃区严格执行《永州市人民政府关于调整高污染燃料禁燃区的通告》（永政函〔2020〕30号）的规定。</w:t>
            </w:r>
          </w:p>
          <w:p w14:paraId="1D8EDBE2">
            <w:pPr>
              <w:pStyle w:val="8"/>
              <w:spacing w:after="0"/>
              <w:ind w:firstLine="420" w:firstLineChars="200"/>
              <w:rPr>
                <w:rFonts w:eastAsia="仿宋"/>
                <w:kern w:val="2"/>
                <w:sz w:val="21"/>
                <w:szCs w:val="21"/>
              </w:rPr>
            </w:pPr>
            <w:r>
              <w:rPr>
                <w:rFonts w:eastAsia="仿宋"/>
                <w:kern w:val="2"/>
                <w:sz w:val="21"/>
                <w:szCs w:val="21"/>
              </w:rPr>
              <w:t>（4.1.4）</w:t>
            </w:r>
            <w:r>
              <w:rPr>
                <w:rFonts w:eastAsia="仿宋"/>
                <w:kern w:val="2"/>
                <w:sz w:val="21"/>
                <w:szCs w:val="21"/>
                <w:lang w:val="zh-TW"/>
              </w:rPr>
              <w:t>实施能源消耗总量和强度双控行动，“十四五”期间全区单位国内生产总值能耗累计降低15%，能耗总量控制在市定标准以内。</w:t>
            </w:r>
          </w:p>
          <w:p w14:paraId="3967ACDC">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（4.2）水资源：</w:t>
            </w:r>
          </w:p>
          <w:p w14:paraId="29DF865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（4.2.1）到2025年，零陵区用水总量控制在32676万立方米以内，农业用水总量控制在23251万立方米以内，万元地区生产总值用水量、万元工业增加值用水量分别比2020年降低19.80%、8.87%，农田灌溉水有效利用系数0.548。</w:t>
            </w:r>
          </w:p>
          <w:p w14:paraId="3E1C68A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（4.2.2）加强生态流量保障。明确闸坝、水库生态调度任务。推进小水电站整治、改造。</w:t>
            </w:r>
          </w:p>
        </w:tc>
        <w:tc>
          <w:tcPr>
            <w:tcW w:w="5002" w:type="dxa"/>
            <w:gridSpan w:val="2"/>
            <w:vMerge w:val="continue"/>
            <w:vAlign w:val="center"/>
          </w:tcPr>
          <w:p w14:paraId="18BC3876">
            <w:pPr>
              <w:widowControl/>
              <w:jc w:val="left"/>
              <w:rPr>
                <w:rFonts w:ascii="Times New Roman" w:hAnsi="Times New Roman" w:eastAsia="仿宋" w:cs="Times New Roman"/>
                <w:szCs w:val="21"/>
              </w:rPr>
            </w:pPr>
          </w:p>
        </w:tc>
      </w:tr>
    </w:tbl>
    <w:p w14:paraId="15ED2AF8">
      <w:pPr>
        <w:widowControl/>
        <w:spacing w:line="20" w:lineRule="atLeast"/>
        <w:jc w:val="left"/>
        <w:rPr>
          <w:rFonts w:ascii="Times New Roman" w:hAnsi="Times New Roman" w:eastAsia="仿宋" w:cs="Times New Roman"/>
          <w:szCs w:val="21"/>
        </w:r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27"/>
        <w:gridCol w:w="427"/>
        <w:gridCol w:w="514"/>
        <w:gridCol w:w="567"/>
        <w:gridCol w:w="709"/>
        <w:gridCol w:w="1276"/>
        <w:gridCol w:w="1134"/>
        <w:gridCol w:w="992"/>
        <w:gridCol w:w="1120"/>
        <w:gridCol w:w="3133"/>
        <w:gridCol w:w="1865"/>
      </w:tblGrid>
      <w:tr w14:paraId="3636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70FC965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27" w:type="dxa"/>
            <w:vMerge w:val="restart"/>
            <w:vAlign w:val="center"/>
          </w:tcPr>
          <w:p w14:paraId="2D423F1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08" w:type="dxa"/>
            <w:gridSpan w:val="3"/>
            <w:vAlign w:val="center"/>
          </w:tcPr>
          <w:p w14:paraId="01A0F16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43A01D1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1BFF0A1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110D64F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2" w:type="dxa"/>
            <w:vMerge w:val="restart"/>
            <w:vAlign w:val="center"/>
          </w:tcPr>
          <w:p w14:paraId="35A6D8A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253" w:type="dxa"/>
            <w:gridSpan w:val="2"/>
            <w:vMerge w:val="restart"/>
            <w:vAlign w:val="center"/>
          </w:tcPr>
          <w:p w14:paraId="7EDE9EB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865" w:type="dxa"/>
            <w:vMerge w:val="restart"/>
            <w:vAlign w:val="center"/>
          </w:tcPr>
          <w:p w14:paraId="759A1D5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7449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34A198B5">
            <w:pPr>
              <w:widowControl/>
              <w:jc w:val="left"/>
              <w:rPr>
                <w:rFonts w:ascii="Times New Roman" w:hAnsi="Times New Roman" w:eastAsia="仿宋" w:cs="Times New Roman"/>
                <w:b/>
                <w:kern w:val="0"/>
                <w:szCs w:val="21"/>
              </w:rPr>
            </w:pPr>
          </w:p>
        </w:tc>
        <w:tc>
          <w:tcPr>
            <w:tcW w:w="1327" w:type="dxa"/>
            <w:vMerge w:val="continue"/>
            <w:vAlign w:val="center"/>
          </w:tcPr>
          <w:p w14:paraId="71D8C9B3">
            <w:pPr>
              <w:widowControl/>
              <w:jc w:val="left"/>
              <w:rPr>
                <w:rFonts w:ascii="Times New Roman" w:hAnsi="Times New Roman" w:eastAsia="仿宋" w:cs="Times New Roman"/>
                <w:b/>
                <w:kern w:val="0"/>
                <w:szCs w:val="21"/>
              </w:rPr>
            </w:pPr>
          </w:p>
        </w:tc>
        <w:tc>
          <w:tcPr>
            <w:tcW w:w="427" w:type="dxa"/>
            <w:vAlign w:val="center"/>
          </w:tcPr>
          <w:p w14:paraId="555D777C">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514" w:type="dxa"/>
            <w:vAlign w:val="center"/>
          </w:tcPr>
          <w:p w14:paraId="27D0D08F">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567" w:type="dxa"/>
            <w:vAlign w:val="center"/>
          </w:tcPr>
          <w:p w14:paraId="25FECB8F">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73292D4F">
            <w:pPr>
              <w:widowControl/>
              <w:jc w:val="left"/>
              <w:rPr>
                <w:rFonts w:ascii="Times New Roman" w:hAnsi="Times New Roman" w:eastAsia="仿宋" w:cs="Times New Roman"/>
                <w:b/>
                <w:kern w:val="0"/>
                <w:szCs w:val="21"/>
              </w:rPr>
            </w:pPr>
          </w:p>
        </w:tc>
        <w:tc>
          <w:tcPr>
            <w:tcW w:w="1276" w:type="dxa"/>
            <w:vMerge w:val="continue"/>
            <w:vAlign w:val="center"/>
          </w:tcPr>
          <w:p w14:paraId="6253AFB8">
            <w:pPr>
              <w:widowControl/>
              <w:jc w:val="left"/>
              <w:rPr>
                <w:rFonts w:ascii="Times New Roman" w:hAnsi="Times New Roman" w:eastAsia="仿宋" w:cs="Times New Roman"/>
                <w:b/>
                <w:kern w:val="0"/>
                <w:szCs w:val="21"/>
              </w:rPr>
            </w:pPr>
          </w:p>
        </w:tc>
        <w:tc>
          <w:tcPr>
            <w:tcW w:w="1134" w:type="dxa"/>
            <w:vMerge w:val="continue"/>
            <w:vAlign w:val="center"/>
          </w:tcPr>
          <w:p w14:paraId="5BD4C38F">
            <w:pPr>
              <w:widowControl/>
              <w:jc w:val="left"/>
              <w:rPr>
                <w:rFonts w:ascii="Times New Roman" w:hAnsi="Times New Roman" w:eastAsia="仿宋" w:cs="Times New Roman"/>
                <w:b/>
                <w:kern w:val="0"/>
                <w:szCs w:val="21"/>
              </w:rPr>
            </w:pPr>
          </w:p>
        </w:tc>
        <w:tc>
          <w:tcPr>
            <w:tcW w:w="992" w:type="dxa"/>
            <w:vMerge w:val="continue"/>
            <w:vAlign w:val="center"/>
          </w:tcPr>
          <w:p w14:paraId="040ED39D">
            <w:pPr>
              <w:widowControl/>
              <w:jc w:val="left"/>
              <w:rPr>
                <w:rFonts w:ascii="Times New Roman" w:hAnsi="Times New Roman" w:eastAsia="仿宋" w:cs="Times New Roman"/>
                <w:b/>
                <w:kern w:val="0"/>
                <w:szCs w:val="21"/>
              </w:rPr>
            </w:pPr>
          </w:p>
        </w:tc>
        <w:tc>
          <w:tcPr>
            <w:tcW w:w="4253" w:type="dxa"/>
            <w:gridSpan w:val="2"/>
            <w:vMerge w:val="continue"/>
            <w:vAlign w:val="center"/>
          </w:tcPr>
          <w:p w14:paraId="5B4FE9ED">
            <w:pPr>
              <w:widowControl/>
              <w:jc w:val="left"/>
              <w:rPr>
                <w:rFonts w:ascii="Times New Roman" w:hAnsi="Times New Roman" w:eastAsia="仿宋" w:cs="Times New Roman"/>
                <w:b/>
                <w:kern w:val="0"/>
                <w:szCs w:val="21"/>
              </w:rPr>
            </w:pPr>
          </w:p>
        </w:tc>
        <w:tc>
          <w:tcPr>
            <w:tcW w:w="1865" w:type="dxa"/>
            <w:vMerge w:val="continue"/>
            <w:vAlign w:val="center"/>
          </w:tcPr>
          <w:p w14:paraId="374CA7A9">
            <w:pPr>
              <w:widowControl/>
              <w:jc w:val="left"/>
              <w:rPr>
                <w:rFonts w:ascii="Times New Roman" w:hAnsi="Times New Roman" w:eastAsia="仿宋" w:cs="Times New Roman"/>
                <w:b/>
                <w:kern w:val="0"/>
                <w:szCs w:val="21"/>
              </w:rPr>
            </w:pPr>
          </w:p>
        </w:tc>
      </w:tr>
      <w:tr w14:paraId="046B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35F3CD09">
            <w:pPr>
              <w:widowControl/>
              <w:jc w:val="center"/>
              <w:rPr>
                <w:rFonts w:ascii="Times New Roman" w:hAnsi="Times New Roman" w:eastAsia="仿宋" w:cs="Times New Roman"/>
                <w:kern w:val="0"/>
                <w:szCs w:val="21"/>
              </w:rPr>
            </w:pPr>
            <w:bookmarkStart w:id="6" w:name="_Hlk58572615"/>
            <w:r>
              <w:rPr>
                <w:rFonts w:ascii="Times New Roman" w:hAnsi="Times New Roman" w:eastAsia="仿宋" w:cs="Times New Roman"/>
                <w:kern w:val="0"/>
                <w:szCs w:val="21"/>
              </w:rPr>
              <w:t>ZH43110220001</w:t>
            </w:r>
            <w:bookmarkEnd w:id="6"/>
          </w:p>
        </w:tc>
        <w:tc>
          <w:tcPr>
            <w:tcW w:w="1327" w:type="dxa"/>
            <w:vAlign w:val="center"/>
          </w:tcPr>
          <w:p w14:paraId="2EECEE90">
            <w:pPr>
              <w:widowControl/>
              <w:jc w:val="center"/>
              <w:rPr>
                <w:rFonts w:ascii="Times New Roman" w:hAnsi="Times New Roman" w:eastAsia="仿宋" w:cs="Times New Roman"/>
                <w:kern w:val="0"/>
                <w:szCs w:val="21"/>
              </w:rPr>
            </w:pPr>
            <w:r>
              <w:rPr>
                <w:rFonts w:ascii="Times New Roman" w:hAnsi="Times New Roman" w:eastAsia="仿宋" w:cs="Times New Roman"/>
                <w:szCs w:val="21"/>
              </w:rPr>
              <w:t>朝阳街道/接履桥街道/南津渡街道/七里店街道/徐家井街道/石山脚街道</w:t>
            </w:r>
          </w:p>
        </w:tc>
        <w:tc>
          <w:tcPr>
            <w:tcW w:w="427" w:type="dxa"/>
            <w:vAlign w:val="center"/>
          </w:tcPr>
          <w:p w14:paraId="4AE2986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14" w:type="dxa"/>
            <w:vAlign w:val="center"/>
          </w:tcPr>
          <w:p w14:paraId="683A52A3">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1AD4EAB2">
            <w:pPr>
              <w:widowControl/>
              <w:jc w:val="center"/>
              <w:rPr>
                <w:rFonts w:ascii="Times New Roman" w:hAnsi="Times New Roman" w:eastAsia="仿宋" w:cs="Times New Roman"/>
                <w:szCs w:val="21"/>
              </w:rPr>
            </w:pPr>
            <w:r>
              <w:rPr>
                <w:rFonts w:ascii="Times New Roman" w:hAnsi="Times New Roman" w:eastAsia="仿宋" w:cs="Times New Roman"/>
                <w:szCs w:val="21"/>
              </w:rPr>
              <w:t>零陵区</w:t>
            </w:r>
          </w:p>
        </w:tc>
        <w:tc>
          <w:tcPr>
            <w:tcW w:w="709" w:type="dxa"/>
            <w:vAlign w:val="center"/>
          </w:tcPr>
          <w:p w14:paraId="5B1A374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276" w:type="dxa"/>
            <w:vAlign w:val="center"/>
          </w:tcPr>
          <w:p w14:paraId="671F641C">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100.98</w:t>
            </w:r>
          </w:p>
        </w:tc>
        <w:tc>
          <w:tcPr>
            <w:tcW w:w="1134" w:type="dxa"/>
            <w:vAlign w:val="center"/>
          </w:tcPr>
          <w:p w14:paraId="26CFF6F2">
            <w:pPr>
              <w:widowControl/>
              <w:rPr>
                <w:rFonts w:ascii="Times New Roman" w:hAnsi="Times New Roman" w:eastAsia="仿宋" w:cs="Times New Roman"/>
                <w:szCs w:val="21"/>
              </w:rPr>
            </w:pPr>
            <w:r>
              <w:rPr>
                <w:rFonts w:ascii="Times New Roman" w:hAnsi="Times New Roman" w:eastAsia="仿宋" w:cs="Times New Roman"/>
                <w:szCs w:val="21"/>
              </w:rPr>
              <w:t>朝阳街道/接履桥街道/南津渡街道/七里店街道/徐家井街道/石山脚街道</w:t>
            </w:r>
          </w:p>
        </w:tc>
        <w:tc>
          <w:tcPr>
            <w:tcW w:w="992" w:type="dxa"/>
            <w:vAlign w:val="center"/>
          </w:tcPr>
          <w:p w14:paraId="75A7F72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城市化地区</w:t>
            </w:r>
          </w:p>
        </w:tc>
        <w:tc>
          <w:tcPr>
            <w:tcW w:w="4253" w:type="dxa"/>
            <w:gridSpan w:val="2"/>
            <w:vAlign w:val="center"/>
          </w:tcPr>
          <w:p w14:paraId="4A5D258A">
            <w:pPr>
              <w:pStyle w:val="8"/>
              <w:spacing w:after="0"/>
              <w:rPr>
                <w:rFonts w:eastAsia="仿宋"/>
                <w:sz w:val="21"/>
                <w:szCs w:val="21"/>
              </w:rPr>
            </w:pPr>
            <w:r>
              <w:rPr>
                <w:rFonts w:eastAsia="仿宋"/>
                <w:b/>
                <w:bCs/>
                <w:sz w:val="21"/>
                <w:szCs w:val="21"/>
              </w:rPr>
              <w:t>朝阳街道：</w:t>
            </w:r>
            <w:r>
              <w:rPr>
                <w:rFonts w:eastAsia="仿宋"/>
                <w:sz w:val="21"/>
                <w:szCs w:val="21"/>
              </w:rPr>
              <w:t>农业、旅游业、农副产品加工业、物流。</w:t>
            </w:r>
          </w:p>
          <w:p w14:paraId="3C9D667B">
            <w:pPr>
              <w:pStyle w:val="8"/>
              <w:spacing w:after="0"/>
              <w:rPr>
                <w:rFonts w:eastAsia="仿宋"/>
                <w:sz w:val="21"/>
                <w:szCs w:val="21"/>
              </w:rPr>
            </w:pPr>
            <w:r>
              <w:rPr>
                <w:rFonts w:eastAsia="仿宋"/>
                <w:b/>
                <w:bCs/>
                <w:sz w:val="21"/>
                <w:szCs w:val="21"/>
              </w:rPr>
              <w:t>接履桥街道：</w:t>
            </w:r>
            <w:r>
              <w:rPr>
                <w:rFonts w:eastAsia="仿宋"/>
                <w:sz w:val="21"/>
                <w:szCs w:val="21"/>
              </w:rPr>
              <w:t>农业、养殖业、旅游业、农副产品加工业、物流等。</w:t>
            </w:r>
          </w:p>
          <w:p w14:paraId="47C50E9F">
            <w:pPr>
              <w:pStyle w:val="8"/>
              <w:spacing w:after="0"/>
              <w:rPr>
                <w:rFonts w:eastAsia="仿宋"/>
                <w:sz w:val="21"/>
                <w:szCs w:val="21"/>
              </w:rPr>
            </w:pPr>
            <w:r>
              <w:rPr>
                <w:rFonts w:eastAsia="仿宋"/>
                <w:b/>
                <w:bCs/>
                <w:sz w:val="21"/>
                <w:szCs w:val="21"/>
              </w:rPr>
              <w:t>南津渡街道：</w:t>
            </w:r>
            <w:r>
              <w:rPr>
                <w:rFonts w:eastAsia="仿宋"/>
                <w:sz w:val="21"/>
                <w:szCs w:val="21"/>
              </w:rPr>
              <w:t>旅游业、农业、农副产品加工。</w:t>
            </w:r>
          </w:p>
          <w:p w14:paraId="6064BCF8">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七里店街道</w:t>
            </w:r>
            <w:r>
              <w:rPr>
                <w:rFonts w:ascii="Times New Roman" w:hAnsi="Times New Roman" w:eastAsia="仿宋" w:cs="Times New Roman"/>
                <w:kern w:val="0"/>
                <w:szCs w:val="21"/>
              </w:rPr>
              <w:t>：农业、旅游业。</w:t>
            </w:r>
          </w:p>
          <w:p w14:paraId="748A89BF">
            <w:pPr>
              <w:pStyle w:val="8"/>
              <w:spacing w:after="0"/>
              <w:rPr>
                <w:rFonts w:eastAsia="仿宋"/>
                <w:sz w:val="21"/>
                <w:szCs w:val="21"/>
              </w:rPr>
            </w:pPr>
            <w:r>
              <w:rPr>
                <w:rFonts w:eastAsia="仿宋"/>
                <w:b/>
                <w:bCs/>
                <w:sz w:val="21"/>
                <w:szCs w:val="21"/>
              </w:rPr>
              <w:t>徐家井街道：</w:t>
            </w:r>
            <w:r>
              <w:rPr>
                <w:rFonts w:eastAsia="仿宋"/>
                <w:sz w:val="21"/>
                <w:szCs w:val="21"/>
              </w:rPr>
              <w:t>商贸等第三产业。</w:t>
            </w:r>
          </w:p>
          <w:p w14:paraId="2E7280EE">
            <w:pPr>
              <w:pStyle w:val="8"/>
              <w:spacing w:after="0"/>
              <w:rPr>
                <w:rFonts w:eastAsia="仿宋"/>
                <w:sz w:val="21"/>
                <w:szCs w:val="21"/>
              </w:rPr>
            </w:pPr>
            <w:r>
              <w:rPr>
                <w:rFonts w:eastAsia="仿宋"/>
                <w:b/>
                <w:bCs/>
                <w:sz w:val="21"/>
                <w:szCs w:val="21"/>
              </w:rPr>
              <w:t>石山脚街道：</w:t>
            </w:r>
            <w:r>
              <w:rPr>
                <w:rFonts w:eastAsia="仿宋"/>
                <w:sz w:val="21"/>
                <w:szCs w:val="21"/>
              </w:rPr>
              <w:t>零陵工业园以外区域发展农业、养殖业、旅游业、农副产品加工业等。</w:t>
            </w:r>
          </w:p>
        </w:tc>
        <w:tc>
          <w:tcPr>
            <w:tcW w:w="1865" w:type="dxa"/>
            <w:vAlign w:val="center"/>
          </w:tcPr>
          <w:p w14:paraId="46A77231">
            <w:pPr>
              <w:pStyle w:val="8"/>
              <w:spacing w:after="0"/>
              <w:rPr>
                <w:rFonts w:eastAsia="仿宋"/>
                <w:sz w:val="21"/>
                <w:szCs w:val="21"/>
              </w:rPr>
            </w:pPr>
            <w:r>
              <w:rPr>
                <w:rFonts w:eastAsia="仿宋"/>
                <w:sz w:val="21"/>
                <w:szCs w:val="21"/>
              </w:rPr>
              <w:t>无明显环境问题。</w:t>
            </w:r>
          </w:p>
          <w:p w14:paraId="3187D460">
            <w:pPr>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bCs/>
                <w:szCs w:val="21"/>
              </w:rPr>
              <w:t>湖南零陵潇水国家湿地公园、</w:t>
            </w:r>
            <w:r>
              <w:rPr>
                <w:rFonts w:ascii="Times New Roman" w:hAnsi="Times New Roman" w:eastAsia="仿宋" w:cs="Times New Roman"/>
                <w:bCs/>
                <w:kern w:val="0"/>
                <w:szCs w:val="21"/>
              </w:rPr>
              <w:t>永州市零陵区潇水饮用水水源保护区等。</w:t>
            </w:r>
          </w:p>
        </w:tc>
      </w:tr>
      <w:tr w14:paraId="7FB2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C7AEE3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1"/>
            <w:vAlign w:val="center"/>
          </w:tcPr>
          <w:p w14:paraId="10DBA78B">
            <w:pPr>
              <w:pStyle w:val="8"/>
              <w:spacing w:after="0"/>
              <w:rPr>
                <w:rFonts w:eastAsia="仿宋"/>
                <w:b/>
                <w:bCs/>
                <w:sz w:val="21"/>
                <w:szCs w:val="21"/>
              </w:rPr>
            </w:pPr>
            <w:r>
              <w:rPr>
                <w:rFonts w:eastAsia="仿宋"/>
                <w:b/>
                <w:bCs/>
                <w:sz w:val="21"/>
                <w:szCs w:val="21"/>
              </w:rPr>
              <w:t>朝阳街道：</w:t>
            </w:r>
          </w:p>
          <w:p w14:paraId="56396A1F">
            <w:pPr>
              <w:pStyle w:val="8"/>
              <w:spacing w:after="0"/>
              <w:rPr>
                <w:rFonts w:eastAsia="仿宋"/>
                <w:sz w:val="21"/>
                <w:szCs w:val="21"/>
              </w:rPr>
            </w:pPr>
            <w:r>
              <w:rPr>
                <w:rFonts w:eastAsia="仿宋"/>
                <w:sz w:val="21"/>
                <w:szCs w:val="21"/>
              </w:rPr>
              <w:t>红线</w:t>
            </w:r>
            <w:bookmarkStart w:id="7" w:name="OLE_LINK7"/>
            <w:r>
              <w:rPr>
                <w:rFonts w:eastAsia="仿宋"/>
                <w:sz w:val="21"/>
                <w:szCs w:val="21"/>
              </w:rPr>
              <w:t>/</w:t>
            </w:r>
            <w:bookmarkEnd w:id="7"/>
            <w:r>
              <w:rPr>
                <w:rFonts w:eastAsia="仿宋"/>
                <w:sz w:val="21"/>
                <w:szCs w:val="21"/>
              </w:rPr>
              <w:t>一般生态空间（湿地公园/水源涵养重要区/原生态红线/生物多样性保护功能重要区/水土流失敏感区/三区三线生态红线）；水环境优先保护区/水环境一般管控区/水环境工业污染重点管控区；大气环境优先保护区/大气环境高排放重点管控区/大气环境受体敏感重点管控区/大气环境布局敏感重点管控区；农用地优先保护区/一般管控区/建设用地重点管控区；高污染燃料禁燃区</w:t>
            </w:r>
          </w:p>
          <w:p w14:paraId="2A4D5F28">
            <w:pPr>
              <w:widowControl/>
              <w:jc w:val="left"/>
              <w:rPr>
                <w:rFonts w:ascii="Times New Roman" w:hAnsi="Times New Roman" w:eastAsia="仿宋" w:cs="Times New Roman"/>
                <w:szCs w:val="21"/>
              </w:rPr>
            </w:pPr>
            <w:r>
              <w:rPr>
                <w:rFonts w:ascii="Times New Roman" w:hAnsi="Times New Roman" w:eastAsia="仿宋" w:cs="Times New Roman"/>
                <w:b/>
                <w:bCs/>
                <w:szCs w:val="21"/>
              </w:rPr>
              <w:t>接履桥街道：</w:t>
            </w:r>
          </w:p>
          <w:p w14:paraId="7127A1EC">
            <w:pPr>
              <w:widowControl/>
              <w:jc w:val="left"/>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w:t>
            </w:r>
            <w:r>
              <w:rPr>
                <w:rFonts w:ascii="Times New Roman" w:hAnsi="Times New Roman" w:eastAsia="仿宋" w:cs="Times New Roman"/>
                <w:szCs w:val="21"/>
              </w:rPr>
              <w:t>/</w:t>
            </w:r>
            <w:r>
              <w:rPr>
                <w:rFonts w:ascii="Times New Roman" w:hAnsi="Times New Roman" w:eastAsia="仿宋" w:cs="Times New Roman"/>
                <w:kern w:val="0"/>
                <w:szCs w:val="21"/>
              </w:rPr>
              <w:t>生物多样性保护功能重要区</w:t>
            </w:r>
            <w:r>
              <w:rPr>
                <w:rFonts w:ascii="Times New Roman" w:hAnsi="Times New Roman" w:eastAsia="仿宋" w:cs="Times New Roman"/>
                <w:szCs w:val="21"/>
              </w:rPr>
              <w:t>/</w:t>
            </w:r>
            <w:r>
              <w:rPr>
                <w:rFonts w:ascii="Times New Roman" w:hAnsi="Times New Roman" w:eastAsia="仿宋" w:cs="Times New Roman"/>
                <w:kern w:val="0"/>
                <w:szCs w:val="21"/>
              </w:rPr>
              <w:t>水土流失敏感区</w:t>
            </w:r>
            <w:r>
              <w:rPr>
                <w:rFonts w:ascii="Times New Roman" w:hAnsi="Times New Roman" w:eastAsia="仿宋" w:cs="Times New Roman"/>
                <w:szCs w:val="21"/>
              </w:rPr>
              <w:t>/</w:t>
            </w:r>
            <w:r>
              <w:rPr>
                <w:rFonts w:ascii="Times New Roman" w:hAnsi="Times New Roman" w:eastAsia="仿宋" w:cs="Times New Roman"/>
                <w:kern w:val="0"/>
                <w:szCs w:val="21"/>
              </w:rPr>
              <w:t>原生态红线</w:t>
            </w:r>
            <w:r>
              <w:rPr>
                <w:rFonts w:ascii="Times New Roman" w:hAnsi="Times New Roman" w:eastAsia="仿宋" w:cs="Times New Roman"/>
                <w:szCs w:val="21"/>
              </w:rPr>
              <w:t>/</w:t>
            </w:r>
            <w:r>
              <w:rPr>
                <w:rFonts w:ascii="Times New Roman" w:hAnsi="Times New Roman" w:eastAsia="仿宋" w:cs="Times New Roman"/>
                <w:kern w:val="0"/>
                <w:szCs w:val="21"/>
              </w:rPr>
              <w:t>湿地公园）；水环境优先保护区/水环境一般管控区；大气环境布局敏感重点管控区/大气环境受体敏感重点管控区/大气环境高排放重点管控区/大气环境优先保护区/其他区域；农用地优先保护区/其他重点管控区/一般管控区/建设用地重点管控区；</w:t>
            </w:r>
          </w:p>
          <w:p w14:paraId="19C92028">
            <w:pPr>
              <w:widowControl/>
              <w:rPr>
                <w:rFonts w:ascii="Times New Roman" w:hAnsi="Times New Roman" w:eastAsia="仿宋" w:cs="Times New Roman"/>
                <w:b/>
                <w:bCs/>
                <w:szCs w:val="21"/>
              </w:rPr>
            </w:pPr>
            <w:r>
              <w:rPr>
                <w:rFonts w:ascii="Times New Roman" w:hAnsi="Times New Roman" w:eastAsia="仿宋" w:cs="Times New Roman"/>
                <w:b/>
                <w:bCs/>
                <w:szCs w:val="21"/>
              </w:rPr>
              <w:t>南津渡街道：</w:t>
            </w:r>
          </w:p>
          <w:p w14:paraId="265EFEDE">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红线/一般生态空间（湿地公园</w:t>
            </w:r>
            <w:bookmarkStart w:id="8" w:name="OLE_LINK8"/>
            <w:r>
              <w:rPr>
                <w:rFonts w:ascii="Times New Roman" w:hAnsi="Times New Roman" w:eastAsia="仿宋" w:cs="Times New Roman"/>
                <w:kern w:val="0"/>
                <w:szCs w:val="21"/>
              </w:rPr>
              <w:t>/</w:t>
            </w:r>
            <w:bookmarkEnd w:id="8"/>
            <w:r>
              <w:rPr>
                <w:rFonts w:ascii="Times New Roman" w:hAnsi="Times New Roman" w:eastAsia="仿宋" w:cs="Times New Roman"/>
                <w:kern w:val="0"/>
                <w:szCs w:val="21"/>
              </w:rPr>
              <w:t>生物多样性保护功能重要区/水土流失敏感区/水源涵养重要区）；水环境优先保护区/水环境城镇生活污染重点管控区/水环境一般管控区；大气环境优先保护区/大气环境高排放重点管控区/大气环境受体敏感重点管控区/大气环境布局敏感重点管控区；农用地优先保护区/建设用地重点管控区/一般管控区</w:t>
            </w:r>
          </w:p>
          <w:p w14:paraId="3D5FD9C9">
            <w:pPr>
              <w:widowControl/>
              <w:rPr>
                <w:rFonts w:ascii="Times New Roman" w:hAnsi="Times New Roman" w:eastAsia="仿宋" w:cs="Times New Roman"/>
                <w:kern w:val="0"/>
                <w:szCs w:val="21"/>
              </w:rPr>
            </w:pPr>
            <w:r>
              <w:rPr>
                <w:rFonts w:ascii="Times New Roman" w:hAnsi="Times New Roman" w:eastAsia="仿宋" w:cs="Times New Roman"/>
                <w:b/>
                <w:bCs/>
                <w:szCs w:val="21"/>
              </w:rPr>
              <w:t>七里店街道:</w:t>
            </w:r>
            <w:r>
              <w:rPr>
                <w:rFonts w:ascii="Times New Roman" w:hAnsi="Times New Roman" w:eastAsia="仿宋" w:cs="Times New Roman"/>
                <w:kern w:val="0"/>
                <w:szCs w:val="21"/>
              </w:rPr>
              <w:t xml:space="preserve"> </w:t>
            </w:r>
          </w:p>
          <w:p w14:paraId="6D32E168">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湿地公园）；水环境优先保护区/水环境城镇生活污染重点管控区/水环境一般管控区；大气环境优先保护区/大气环境受体敏感重点管控区/大气环境布局敏感重点管控区；农用地优先保护区/建设用地重点管控区/一般管控区；高污染燃料禁燃区</w:t>
            </w:r>
          </w:p>
          <w:p w14:paraId="3E0758C5">
            <w:pPr>
              <w:widowControl/>
              <w:jc w:val="left"/>
              <w:rPr>
                <w:rFonts w:ascii="Times New Roman" w:hAnsi="Times New Roman" w:eastAsia="仿宋" w:cs="Times New Roman"/>
                <w:b/>
                <w:bCs/>
                <w:szCs w:val="21"/>
              </w:rPr>
            </w:pPr>
            <w:r>
              <w:rPr>
                <w:rFonts w:ascii="Times New Roman" w:hAnsi="Times New Roman" w:eastAsia="仿宋" w:cs="Times New Roman"/>
                <w:b/>
                <w:bCs/>
                <w:szCs w:val="21"/>
              </w:rPr>
              <w:t>徐家井街道：</w:t>
            </w:r>
          </w:p>
          <w:p w14:paraId="4F0D0D1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红线（湿地公园）；水环境优先保护区/水环境城镇生活污染重点管控区；大气环境受体敏感重点管控区/大气环境优先保护区；一般管控区；高污染燃料禁燃区</w:t>
            </w:r>
          </w:p>
          <w:p w14:paraId="41CBE388">
            <w:pPr>
              <w:widowControl/>
              <w:jc w:val="left"/>
              <w:rPr>
                <w:rFonts w:ascii="Times New Roman" w:hAnsi="Times New Roman" w:eastAsia="仿宋" w:cs="Times New Roman"/>
                <w:b/>
                <w:bCs/>
                <w:szCs w:val="21"/>
              </w:rPr>
            </w:pPr>
            <w:r>
              <w:rPr>
                <w:rFonts w:ascii="Times New Roman" w:hAnsi="Times New Roman" w:eastAsia="仿宋" w:cs="Times New Roman"/>
                <w:b/>
                <w:bCs/>
                <w:szCs w:val="21"/>
              </w:rPr>
              <w:t>石山脚街道：</w:t>
            </w:r>
          </w:p>
          <w:p w14:paraId="1BDC20FF">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w:t>
            </w:r>
            <w:r>
              <w:rPr>
                <w:rFonts w:ascii="Times New Roman" w:hAnsi="Times New Roman" w:eastAsia="仿宋" w:cs="Times New Roman"/>
                <w:szCs w:val="21"/>
              </w:rPr>
              <w:t>/</w:t>
            </w:r>
            <w:r>
              <w:rPr>
                <w:rFonts w:ascii="Times New Roman" w:hAnsi="Times New Roman" w:eastAsia="仿宋" w:cs="Times New Roman"/>
                <w:kern w:val="0"/>
                <w:szCs w:val="21"/>
              </w:rPr>
              <w:t>三区三线生态红线</w:t>
            </w:r>
            <w:r>
              <w:rPr>
                <w:rFonts w:ascii="Times New Roman" w:hAnsi="Times New Roman" w:eastAsia="仿宋" w:cs="Times New Roman"/>
                <w:szCs w:val="21"/>
              </w:rPr>
              <w:t>/</w:t>
            </w:r>
            <w:r>
              <w:rPr>
                <w:rFonts w:ascii="Times New Roman" w:hAnsi="Times New Roman" w:eastAsia="仿宋" w:cs="Times New Roman"/>
                <w:kern w:val="0"/>
                <w:szCs w:val="21"/>
              </w:rPr>
              <w:t>原生态红线</w:t>
            </w:r>
            <w:r>
              <w:rPr>
                <w:rFonts w:ascii="Times New Roman" w:hAnsi="Times New Roman" w:eastAsia="仿宋" w:cs="Times New Roman"/>
                <w:szCs w:val="21"/>
              </w:rPr>
              <w:t>/</w:t>
            </w:r>
            <w:r>
              <w:rPr>
                <w:rFonts w:ascii="Times New Roman" w:hAnsi="Times New Roman" w:eastAsia="仿宋" w:cs="Times New Roman"/>
                <w:kern w:val="0"/>
                <w:szCs w:val="21"/>
              </w:rPr>
              <w:t>湿地公园</w:t>
            </w:r>
            <w:r>
              <w:rPr>
                <w:rFonts w:ascii="Times New Roman" w:hAnsi="Times New Roman" w:eastAsia="仿宋" w:cs="Times New Roman"/>
                <w:szCs w:val="21"/>
              </w:rPr>
              <w:t>/</w:t>
            </w:r>
            <w:r>
              <w:rPr>
                <w:rFonts w:ascii="Times New Roman" w:hAnsi="Times New Roman" w:eastAsia="仿宋" w:cs="Times New Roman"/>
                <w:kern w:val="0"/>
                <w:szCs w:val="21"/>
              </w:rPr>
              <w:t>水土流失敏感区</w:t>
            </w:r>
            <w:r>
              <w:rPr>
                <w:rFonts w:ascii="Times New Roman" w:hAnsi="Times New Roman" w:eastAsia="仿宋" w:cs="Times New Roman"/>
                <w:szCs w:val="21"/>
              </w:rPr>
              <w:t>/</w:t>
            </w:r>
            <w:r>
              <w:rPr>
                <w:rFonts w:ascii="Times New Roman" w:hAnsi="Times New Roman" w:eastAsia="仿宋" w:cs="Times New Roman"/>
                <w:kern w:val="0"/>
                <w:szCs w:val="21"/>
              </w:rPr>
              <w:t>生物多样性保护功能重要区）；水环境一般管控区/水环境工业污染重点管控区/水环境优先保护区；大气环境高排放重点管控区/大气环境优先保护区/大气环境受体敏感重点管控区；农用地优先保护区/建设用地重点管控区/其他重点管控区/一般管控区；高污染燃料禁燃区</w:t>
            </w:r>
          </w:p>
        </w:tc>
      </w:tr>
      <w:tr w14:paraId="4586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D0C78C5">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66" w:type="dxa"/>
            <w:gridSpan w:val="9"/>
            <w:vAlign w:val="center"/>
          </w:tcPr>
          <w:p w14:paraId="699B9A89">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998" w:type="dxa"/>
            <w:gridSpan w:val="2"/>
            <w:vAlign w:val="center"/>
          </w:tcPr>
          <w:p w14:paraId="3BAAE9CD">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FB7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E10288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66" w:type="dxa"/>
            <w:gridSpan w:val="9"/>
            <w:vAlign w:val="center"/>
          </w:tcPr>
          <w:p w14:paraId="261535F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b/>
                <w:kern w:val="0"/>
                <w:szCs w:val="21"/>
              </w:rPr>
              <w:t>永州市零陵区潇水饮用水水源保护区：</w:t>
            </w:r>
            <w:r>
              <w:rPr>
                <w:rFonts w:ascii="Times New Roman" w:hAnsi="Times New Roman" w:eastAsia="仿宋" w:cs="Times New Roman"/>
                <w:szCs w:val="21"/>
              </w:rPr>
              <w:t>严格控制旅游、航运、项目建设等开发行为，禁止燃油船舶在饮用水源保护区内游玩，严格控制二级保护区范围内新上旅游开发项目。禁止在南津渡水厂、娘子岭水厂取水口上游1000米，下游200米范围内垂钓、停泊渔船和电鱼捕鱼。</w:t>
            </w:r>
          </w:p>
          <w:p w14:paraId="5CDB9DE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w:t>
            </w:r>
            <w:r>
              <w:rPr>
                <w:rFonts w:ascii="Times New Roman" w:hAnsi="Times New Roman" w:eastAsia="仿宋" w:cs="Times New Roman"/>
                <w:b/>
                <w:szCs w:val="21"/>
              </w:rPr>
              <w:t>湖南零陵潇水国家湿地公园：</w:t>
            </w:r>
            <w:r>
              <w:rPr>
                <w:rFonts w:ascii="Times New Roman" w:hAnsi="Times New Roman" w:eastAsia="仿宋" w:cs="Times New Roman"/>
                <w:szCs w:val="21"/>
              </w:rPr>
              <w:t>湿地公园内不得设立开发区、度假区。</w:t>
            </w:r>
            <w:r>
              <w:rPr>
                <w:rFonts w:ascii="Times New Roman" w:hAnsi="Times New Roman" w:eastAsia="仿宋" w:cs="Times New Roman"/>
                <w:szCs w:val="21"/>
                <w:shd w:val="clear" w:color="auto" w:fill="FFFFFF"/>
              </w:rPr>
              <w:t>禁止擅自在水面设置竹箔等障碍物，禁止非法引进外来物种或擅自放生，确需修建相关工程的，应当进行科学论证、评估，并征求相关部门的意见。已退耕还湿的地域禁止新建居民点或者其他永久性建筑物、构筑物。湿地公园管理局划定的植被恢复区，禁止放牧和种植。</w:t>
            </w:r>
          </w:p>
          <w:p w14:paraId="33C9C18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（1.3）畜禽养殖布局应符合《零陵区畜禽规模养殖“三区”划定方案》。</w:t>
            </w:r>
          </w:p>
        </w:tc>
        <w:tc>
          <w:tcPr>
            <w:tcW w:w="4998" w:type="dxa"/>
            <w:gridSpan w:val="2"/>
            <w:vMerge w:val="restart"/>
            <w:vAlign w:val="center"/>
          </w:tcPr>
          <w:p w14:paraId="0BC96DC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（1.1）《永州市零陵区人民政府办公室印发关于零陵区饮用水水源保护区环境整治方案的通知》（零政办发〔2018〕17号）；</w:t>
            </w:r>
          </w:p>
          <w:p w14:paraId="2F01077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（1.2）（2.1）《湖南零陵潇水国家湿地公园保护管理办法》；</w:t>
            </w:r>
          </w:p>
          <w:p w14:paraId="390FA17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（1.3）永州市零陵区人民政府办公室关于印发《零陵区畜禽规模养殖“三区”划定方案》的通知（零政办发〔2020〕1号）；</w:t>
            </w:r>
          </w:p>
          <w:p w14:paraId="1655DA9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（2.2）永州市人民政府办公室关于印发《永州市养殖水域滩涂规划2018－2030年）》的通知（永政办函〔2018〕64号）；</w:t>
            </w:r>
          </w:p>
          <w:p w14:paraId="6657E2E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（2.3）《零陵区畜禽养殖污染防治规划（2021-2025年）》；</w:t>
            </w:r>
          </w:p>
          <w:p w14:paraId="530F34E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（2.4）《零陵区“十四五”生态环境保护规划（2021-2025）》；</w:t>
            </w:r>
          </w:p>
          <w:p w14:paraId="3E10DE2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（2.5）《永州市人民政府关于在全市划定区域禁止燃放烟花爆竹的通告》（永政函〔2022〕2号）；</w:t>
            </w:r>
          </w:p>
          <w:p w14:paraId="7E9584A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（2.6）《零陵区“十四五”生态环境保护规划（2021-2025）》；</w:t>
            </w:r>
          </w:p>
          <w:p w14:paraId="2D5B66F0">
            <w:pPr>
              <w:pStyle w:val="8"/>
              <w:spacing w:after="0"/>
              <w:rPr>
                <w:rFonts w:eastAsia="仿宋"/>
                <w:sz w:val="21"/>
                <w:szCs w:val="21"/>
              </w:rPr>
            </w:pPr>
            <w:r>
              <w:rPr>
                <w:rFonts w:eastAsia="仿宋"/>
                <w:sz w:val="21"/>
                <w:szCs w:val="21"/>
              </w:rPr>
              <w:t>（3.1）《零陵区“十四五”生态环境保护规划（2021-2025）》</w:t>
            </w:r>
            <w:r>
              <w:rPr>
                <w:rFonts w:eastAsia="仿宋"/>
                <w:szCs w:val="21"/>
              </w:rPr>
              <w:t>；</w:t>
            </w:r>
          </w:p>
          <w:p w14:paraId="1F86CF02">
            <w:pPr>
              <w:rPr>
                <w:rFonts w:ascii="Times New Roman" w:hAnsi="Times New Roman" w:eastAsia="仿宋" w:cs="Times New Roman"/>
                <w:szCs w:val="21"/>
              </w:rPr>
            </w:pPr>
            <w:r>
              <w:rPr>
                <w:rFonts w:ascii="Times New Roman" w:hAnsi="Times New Roman" w:eastAsia="仿宋" w:cs="Times New Roman"/>
                <w:szCs w:val="21"/>
              </w:rPr>
              <w:t>（4.1.1）《永州市零陵区生态文明建设示范区规划说明书》；</w:t>
            </w:r>
          </w:p>
          <w:p w14:paraId="361F3918">
            <w:pPr>
              <w:pStyle w:val="8"/>
              <w:spacing w:after="0"/>
              <w:rPr>
                <w:rFonts w:eastAsia="仿宋"/>
                <w:sz w:val="21"/>
                <w:szCs w:val="21"/>
              </w:rPr>
            </w:pPr>
            <w:r>
              <w:rPr>
                <w:rFonts w:eastAsia="仿宋"/>
                <w:sz w:val="21"/>
                <w:szCs w:val="21"/>
              </w:rPr>
              <w:t>（4.1.2）《零陵区国民经济和社会发展第十四个五年规划和二0三五年远景目标纲要》</w:t>
            </w:r>
            <w:r>
              <w:rPr>
                <w:rFonts w:eastAsia="仿宋"/>
                <w:szCs w:val="21"/>
              </w:rPr>
              <w:t>；</w:t>
            </w:r>
          </w:p>
          <w:p w14:paraId="45A944A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（4.1.3）《永州市人民政府关于调整高污染燃料禁燃区的通告》（永政函〔2020〕30号）；</w:t>
            </w:r>
          </w:p>
          <w:p w14:paraId="276AC1CC">
            <w:pPr>
              <w:tabs>
                <w:tab w:val="left" w:pos="1021"/>
              </w:tabs>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6E79A6C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（4.2.2）《零陵区“十四五”生态环境保护规划（2021-2025）》。</w:t>
            </w:r>
          </w:p>
        </w:tc>
      </w:tr>
      <w:tr w14:paraId="4DD1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95481D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66" w:type="dxa"/>
            <w:gridSpan w:val="9"/>
            <w:vAlign w:val="center"/>
          </w:tcPr>
          <w:p w14:paraId="71E99AD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
                <w:szCs w:val="21"/>
              </w:rPr>
              <w:t>湖南零陵潇水国家湿地公园：</w:t>
            </w:r>
            <w:r>
              <w:rPr>
                <w:rFonts w:ascii="Times New Roman" w:hAnsi="Times New Roman" w:eastAsia="仿宋" w:cs="Times New Roman"/>
                <w:szCs w:val="21"/>
              </w:rPr>
              <w:t>禁止任意存储固体废弃物，对农用薄膜和渔网等不可降解的废弃物，使用者应当采取回收利用等措施。湿地公园内航行的船舶，应当配置符合国家规定的防污设备，不得排放污染物、生活污水及固体垃圾。</w:t>
            </w:r>
          </w:p>
          <w:p w14:paraId="2548CD2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（2.2）池塘及适宜养殖山塘、水库，全面推行生态养殖、减排增效技术，提高水产养殖生产水平，开展养殖尾水处理，池塘尾水排放应符合《淡水池塘养殖水排放要求》。</w:t>
            </w:r>
          </w:p>
          <w:p w14:paraId="2D1B223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现有规模化畜禽养殖场（小区）根据污染治理需要，配套建设粪便污水贮存、处理、利用设施，配套设施比例达到95%以上；加强畜禽养殖场污水的资源化利用。提升畜禽粪污资源利用水平，到2025年，全区畜禽粪污综合利用率达到90%以上。</w:t>
            </w:r>
          </w:p>
          <w:p w14:paraId="1E5D604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（2.4）中心城区建成区餐饮服务单位全部安装高效油烟净化设施。</w:t>
            </w:r>
          </w:p>
          <w:p w14:paraId="24F5F4F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（2.5）严格执行《永州市人民政府关于在全市划定区域禁止燃放烟花爆竹的通告》（永政函〔2022〕2号），在禁燃区域全面禁止燃放烟花爆竹，全面取缔禁燃范围内违规销售烟花爆竹网点。”</w:t>
            </w:r>
          </w:p>
          <w:p w14:paraId="15C7315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（2.6）建立秸秆综合利用长效机制，全面遏制焚烧秸秆现象。2025年之前，秸秆综合利用率达到85%以上。</w:t>
            </w:r>
          </w:p>
        </w:tc>
        <w:tc>
          <w:tcPr>
            <w:tcW w:w="4998" w:type="dxa"/>
            <w:gridSpan w:val="2"/>
            <w:vMerge w:val="continue"/>
            <w:vAlign w:val="center"/>
          </w:tcPr>
          <w:p w14:paraId="088FF950">
            <w:pPr>
              <w:widowControl/>
              <w:jc w:val="left"/>
              <w:rPr>
                <w:rFonts w:ascii="Times New Roman" w:hAnsi="Times New Roman" w:eastAsia="仿宋" w:cs="Times New Roman"/>
                <w:szCs w:val="21"/>
              </w:rPr>
            </w:pPr>
          </w:p>
        </w:tc>
      </w:tr>
      <w:tr w14:paraId="26C7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D0BD99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66" w:type="dxa"/>
            <w:gridSpan w:val="9"/>
            <w:vAlign w:val="center"/>
          </w:tcPr>
          <w:p w14:paraId="112A1E8E">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（3.1）建立冶炼、化工、危险废物等行业环境风险企业台帐，实行一厂一册跟踪监管，严防环境污染事件发生。</w:t>
            </w:r>
          </w:p>
        </w:tc>
        <w:tc>
          <w:tcPr>
            <w:tcW w:w="4998" w:type="dxa"/>
            <w:gridSpan w:val="2"/>
            <w:vMerge w:val="continue"/>
            <w:vAlign w:val="center"/>
          </w:tcPr>
          <w:p w14:paraId="297A1213">
            <w:pPr>
              <w:widowControl/>
              <w:jc w:val="left"/>
              <w:rPr>
                <w:rFonts w:ascii="Times New Roman" w:hAnsi="Times New Roman" w:eastAsia="仿宋" w:cs="Times New Roman"/>
                <w:szCs w:val="21"/>
              </w:rPr>
            </w:pPr>
          </w:p>
        </w:tc>
      </w:tr>
      <w:tr w14:paraId="27DB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99C363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66" w:type="dxa"/>
            <w:gridSpan w:val="9"/>
            <w:vAlign w:val="center"/>
          </w:tcPr>
          <w:p w14:paraId="5CB1F74B">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（4.1）能源</w:t>
            </w:r>
          </w:p>
          <w:p w14:paraId="7B02CEA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（4.1.1）实行低硫煤政策，禁止使用含硫量大于1%，含灰量大于20%的燃煤。</w:t>
            </w:r>
          </w:p>
          <w:p w14:paraId="7949FD7E">
            <w:pPr>
              <w:pStyle w:val="8"/>
              <w:spacing w:after="0"/>
              <w:ind w:firstLine="420" w:firstLineChars="200"/>
              <w:rPr>
                <w:rFonts w:eastAsia="仿宋"/>
                <w:kern w:val="2"/>
                <w:sz w:val="21"/>
                <w:szCs w:val="21"/>
              </w:rPr>
            </w:pPr>
            <w:r>
              <w:rPr>
                <w:rFonts w:eastAsia="仿宋"/>
                <w:kern w:val="2"/>
                <w:sz w:val="21"/>
                <w:szCs w:val="21"/>
              </w:rPr>
              <w:t>（4.1.2）</w:t>
            </w:r>
            <w:r>
              <w:rPr>
                <w:rFonts w:eastAsia="仿宋"/>
                <w:kern w:val="2"/>
                <w:sz w:val="21"/>
                <w:szCs w:val="21"/>
                <w:lang w:val="zh-TW"/>
              </w:rPr>
              <w:t>实施能源消耗总量和强度双控行动，“十四五”期间全区单位国内生产总值能耗累计降低15%，能耗总量控制在市定标准以内。</w:t>
            </w:r>
          </w:p>
          <w:p w14:paraId="3041DBA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（4.1.3）高污染燃料禁燃区严格执行《永州市人民政府关于调整高污染燃料禁燃区的通告》（永政函〔2020〕30号）的规定。</w:t>
            </w:r>
          </w:p>
          <w:p w14:paraId="127A70C0">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（4.2）水资源：</w:t>
            </w:r>
          </w:p>
          <w:p w14:paraId="2F6E03A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（4.2.1）到2025年，零陵区用水总量控制在32676万立方米以内，农业用水总量控制在23251万立方米以内，万元地区生产总值用水量、万元工业增加值用水量分别比2020年降低19.80%、8.87%，农田灌溉水有效利用系数0.548。</w:t>
            </w:r>
          </w:p>
          <w:p w14:paraId="5A8263C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（4.2.2）加强生态流量保障。明确闸坝、水库生态调度任务。推进小水电站整治、改造。</w:t>
            </w:r>
          </w:p>
        </w:tc>
        <w:tc>
          <w:tcPr>
            <w:tcW w:w="4998" w:type="dxa"/>
            <w:gridSpan w:val="2"/>
            <w:vMerge w:val="continue"/>
            <w:vAlign w:val="center"/>
          </w:tcPr>
          <w:p w14:paraId="2763FECA">
            <w:pPr>
              <w:widowControl/>
              <w:jc w:val="left"/>
              <w:rPr>
                <w:rFonts w:ascii="Times New Roman" w:hAnsi="Times New Roman" w:eastAsia="仿宋" w:cs="Times New Roman"/>
                <w:szCs w:val="21"/>
              </w:rPr>
            </w:pPr>
          </w:p>
        </w:tc>
      </w:tr>
    </w:tbl>
    <w:p w14:paraId="27F9E7F1">
      <w:pPr>
        <w:rPr>
          <w:rFonts w:ascii="Times New Roman" w:hAnsi="Times New Roman" w:eastAsia="仿宋" w:cs="Times New Roman"/>
          <w:szCs w:val="21"/>
        </w:rPr>
      </w:pPr>
    </w:p>
    <w:p w14:paraId="3A2BEA3D">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065806EC">
      <w:pPr>
        <w:rPr>
          <w:rFonts w:ascii="Times New Roman" w:hAnsi="Times New Roman" w:eastAsia="仿宋" w:cs="Times New Roman"/>
          <w:szCs w:val="21"/>
        </w:r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20"/>
        <w:gridCol w:w="523"/>
        <w:gridCol w:w="567"/>
        <w:gridCol w:w="567"/>
        <w:gridCol w:w="709"/>
        <w:gridCol w:w="992"/>
        <w:gridCol w:w="992"/>
        <w:gridCol w:w="1485"/>
        <w:gridCol w:w="1710"/>
        <w:gridCol w:w="4199"/>
      </w:tblGrid>
      <w:tr w14:paraId="61A8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22010EB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20" w:type="dxa"/>
            <w:vMerge w:val="restart"/>
            <w:vAlign w:val="center"/>
          </w:tcPr>
          <w:p w14:paraId="7939DF3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57" w:type="dxa"/>
            <w:gridSpan w:val="3"/>
            <w:vAlign w:val="center"/>
          </w:tcPr>
          <w:p w14:paraId="3CD8B0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3B3830A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13FC6BB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992" w:type="dxa"/>
            <w:vMerge w:val="restart"/>
            <w:vAlign w:val="center"/>
          </w:tcPr>
          <w:p w14:paraId="3C3A355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485" w:type="dxa"/>
            <w:vMerge w:val="restart"/>
            <w:vAlign w:val="center"/>
          </w:tcPr>
          <w:p w14:paraId="1A4BBB4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710" w:type="dxa"/>
            <w:vMerge w:val="restart"/>
            <w:vAlign w:val="center"/>
          </w:tcPr>
          <w:p w14:paraId="46EE438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4199" w:type="dxa"/>
            <w:vMerge w:val="restart"/>
            <w:vAlign w:val="center"/>
          </w:tcPr>
          <w:p w14:paraId="1AFCB49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7B45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678619A4">
            <w:pPr>
              <w:widowControl/>
              <w:jc w:val="left"/>
              <w:rPr>
                <w:rFonts w:ascii="Times New Roman" w:hAnsi="Times New Roman" w:eastAsia="仿宋" w:cs="Times New Roman"/>
                <w:b/>
                <w:kern w:val="0"/>
                <w:szCs w:val="21"/>
              </w:rPr>
            </w:pPr>
          </w:p>
        </w:tc>
        <w:tc>
          <w:tcPr>
            <w:tcW w:w="1320" w:type="dxa"/>
            <w:vMerge w:val="continue"/>
            <w:vAlign w:val="center"/>
          </w:tcPr>
          <w:p w14:paraId="4AE824D3">
            <w:pPr>
              <w:widowControl/>
              <w:jc w:val="left"/>
              <w:rPr>
                <w:rFonts w:ascii="Times New Roman" w:hAnsi="Times New Roman" w:eastAsia="仿宋" w:cs="Times New Roman"/>
                <w:b/>
                <w:kern w:val="0"/>
                <w:szCs w:val="21"/>
              </w:rPr>
            </w:pPr>
          </w:p>
        </w:tc>
        <w:tc>
          <w:tcPr>
            <w:tcW w:w="523" w:type="dxa"/>
            <w:vAlign w:val="center"/>
          </w:tcPr>
          <w:p w14:paraId="4216BFFA">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567" w:type="dxa"/>
            <w:vAlign w:val="center"/>
          </w:tcPr>
          <w:p w14:paraId="5D11F3AA">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567" w:type="dxa"/>
            <w:vAlign w:val="center"/>
          </w:tcPr>
          <w:p w14:paraId="14CC09E6">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1FBD6CDD">
            <w:pPr>
              <w:widowControl/>
              <w:jc w:val="left"/>
              <w:rPr>
                <w:rFonts w:ascii="Times New Roman" w:hAnsi="Times New Roman" w:eastAsia="仿宋" w:cs="Times New Roman"/>
                <w:b/>
                <w:kern w:val="0"/>
                <w:szCs w:val="21"/>
              </w:rPr>
            </w:pPr>
          </w:p>
        </w:tc>
        <w:tc>
          <w:tcPr>
            <w:tcW w:w="992" w:type="dxa"/>
            <w:vMerge w:val="continue"/>
            <w:vAlign w:val="center"/>
          </w:tcPr>
          <w:p w14:paraId="5233A149">
            <w:pPr>
              <w:widowControl/>
              <w:jc w:val="left"/>
              <w:rPr>
                <w:rFonts w:ascii="Times New Roman" w:hAnsi="Times New Roman" w:eastAsia="仿宋" w:cs="Times New Roman"/>
                <w:b/>
                <w:kern w:val="0"/>
                <w:szCs w:val="21"/>
              </w:rPr>
            </w:pPr>
          </w:p>
        </w:tc>
        <w:tc>
          <w:tcPr>
            <w:tcW w:w="992" w:type="dxa"/>
            <w:vMerge w:val="continue"/>
            <w:vAlign w:val="center"/>
          </w:tcPr>
          <w:p w14:paraId="2A9D0E3F">
            <w:pPr>
              <w:widowControl/>
              <w:jc w:val="left"/>
              <w:rPr>
                <w:rFonts w:ascii="Times New Roman" w:hAnsi="Times New Roman" w:eastAsia="仿宋" w:cs="Times New Roman"/>
                <w:b/>
                <w:kern w:val="0"/>
                <w:szCs w:val="21"/>
              </w:rPr>
            </w:pPr>
          </w:p>
        </w:tc>
        <w:tc>
          <w:tcPr>
            <w:tcW w:w="1485" w:type="dxa"/>
            <w:vMerge w:val="continue"/>
            <w:vAlign w:val="center"/>
          </w:tcPr>
          <w:p w14:paraId="49F0355B">
            <w:pPr>
              <w:widowControl/>
              <w:jc w:val="left"/>
              <w:rPr>
                <w:rFonts w:ascii="Times New Roman" w:hAnsi="Times New Roman" w:eastAsia="仿宋" w:cs="Times New Roman"/>
                <w:b/>
                <w:kern w:val="0"/>
                <w:szCs w:val="21"/>
              </w:rPr>
            </w:pPr>
          </w:p>
        </w:tc>
        <w:tc>
          <w:tcPr>
            <w:tcW w:w="1710" w:type="dxa"/>
            <w:vMerge w:val="continue"/>
            <w:vAlign w:val="center"/>
          </w:tcPr>
          <w:p w14:paraId="71E8C18B">
            <w:pPr>
              <w:widowControl/>
              <w:jc w:val="left"/>
              <w:rPr>
                <w:rFonts w:ascii="Times New Roman" w:hAnsi="Times New Roman" w:eastAsia="仿宋" w:cs="Times New Roman"/>
                <w:b/>
                <w:kern w:val="0"/>
                <w:szCs w:val="21"/>
              </w:rPr>
            </w:pPr>
          </w:p>
        </w:tc>
        <w:tc>
          <w:tcPr>
            <w:tcW w:w="4199" w:type="dxa"/>
            <w:vMerge w:val="continue"/>
            <w:vAlign w:val="center"/>
          </w:tcPr>
          <w:p w14:paraId="0893664A">
            <w:pPr>
              <w:widowControl/>
              <w:jc w:val="left"/>
              <w:rPr>
                <w:rFonts w:ascii="Times New Roman" w:hAnsi="Times New Roman" w:eastAsia="仿宋" w:cs="Times New Roman"/>
                <w:b/>
                <w:kern w:val="0"/>
                <w:szCs w:val="21"/>
              </w:rPr>
            </w:pPr>
          </w:p>
        </w:tc>
      </w:tr>
      <w:tr w14:paraId="4C64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3A7973B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ZH43110230001</w:t>
            </w:r>
          </w:p>
        </w:tc>
        <w:tc>
          <w:tcPr>
            <w:tcW w:w="1320" w:type="dxa"/>
            <w:vAlign w:val="center"/>
          </w:tcPr>
          <w:p w14:paraId="145400A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黄田铺镇/石山脚街道/梳子铺乡</w:t>
            </w:r>
          </w:p>
        </w:tc>
        <w:tc>
          <w:tcPr>
            <w:tcW w:w="523" w:type="dxa"/>
            <w:vAlign w:val="center"/>
          </w:tcPr>
          <w:p w14:paraId="2F3B25F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7" w:type="dxa"/>
            <w:vAlign w:val="center"/>
          </w:tcPr>
          <w:p w14:paraId="6746B65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6DFCDABB">
            <w:pPr>
              <w:widowControl/>
              <w:jc w:val="center"/>
              <w:rPr>
                <w:rFonts w:ascii="Times New Roman" w:hAnsi="Times New Roman" w:eastAsia="仿宋" w:cs="Times New Roman"/>
                <w:szCs w:val="21"/>
              </w:rPr>
            </w:pPr>
            <w:r>
              <w:rPr>
                <w:rFonts w:ascii="Times New Roman" w:hAnsi="Times New Roman" w:eastAsia="仿宋" w:cs="Times New Roman"/>
                <w:szCs w:val="21"/>
              </w:rPr>
              <w:t>零陵区</w:t>
            </w:r>
          </w:p>
        </w:tc>
        <w:tc>
          <w:tcPr>
            <w:tcW w:w="709" w:type="dxa"/>
            <w:vAlign w:val="center"/>
          </w:tcPr>
          <w:p w14:paraId="6B36150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92" w:type="dxa"/>
            <w:vAlign w:val="center"/>
          </w:tcPr>
          <w:p w14:paraId="67EDC1AC">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324.53</w:t>
            </w:r>
          </w:p>
        </w:tc>
        <w:tc>
          <w:tcPr>
            <w:tcW w:w="992" w:type="dxa"/>
            <w:vAlign w:val="center"/>
          </w:tcPr>
          <w:p w14:paraId="28B9348A">
            <w:pPr>
              <w:widowControl/>
              <w:jc w:val="center"/>
              <w:rPr>
                <w:rFonts w:ascii="Times New Roman" w:hAnsi="Times New Roman" w:eastAsia="仿宋" w:cs="Times New Roman"/>
                <w:szCs w:val="21"/>
              </w:rPr>
            </w:pPr>
            <w:r>
              <w:rPr>
                <w:rFonts w:ascii="Times New Roman" w:hAnsi="Times New Roman" w:eastAsia="仿宋" w:cs="Times New Roman"/>
                <w:kern w:val="0"/>
                <w:szCs w:val="21"/>
              </w:rPr>
              <w:t>黄田铺镇/石山脚街道/梳子铺乡</w:t>
            </w:r>
          </w:p>
        </w:tc>
        <w:tc>
          <w:tcPr>
            <w:tcW w:w="1485" w:type="dxa"/>
            <w:vAlign w:val="center"/>
          </w:tcPr>
          <w:p w14:paraId="361D48F3">
            <w:pPr>
              <w:widowControl/>
              <w:jc w:val="left"/>
              <w:rPr>
                <w:rFonts w:ascii="Times New Roman" w:hAnsi="Times New Roman" w:eastAsia="仿宋" w:cs="Times New Roman"/>
                <w:szCs w:val="21"/>
              </w:rPr>
            </w:pPr>
            <w:r>
              <w:rPr>
                <w:rFonts w:ascii="Times New Roman" w:hAnsi="Times New Roman" w:eastAsia="仿宋" w:cs="Times New Roman"/>
                <w:kern w:val="0"/>
                <w:szCs w:val="21"/>
              </w:rPr>
              <w:t>黄田铺镇：农产品主产区/生态农旅发展区；</w:t>
            </w:r>
          </w:p>
          <w:p w14:paraId="615603EB">
            <w:pPr>
              <w:widowControl/>
              <w:rPr>
                <w:rFonts w:ascii="Times New Roman" w:hAnsi="Times New Roman" w:eastAsia="仿宋" w:cs="Times New Roman"/>
                <w:kern w:val="0"/>
                <w:szCs w:val="21"/>
              </w:rPr>
            </w:pPr>
            <w:r>
              <w:rPr>
                <w:rFonts w:ascii="Times New Roman" w:hAnsi="Times New Roman" w:eastAsia="仿宋" w:cs="Times New Roman"/>
                <w:kern w:val="0"/>
                <w:szCs w:val="21"/>
              </w:rPr>
              <w:t>石山脚街道：城市化地区；梳子铺乡：农产品主产区</w:t>
            </w:r>
          </w:p>
        </w:tc>
        <w:tc>
          <w:tcPr>
            <w:tcW w:w="1710" w:type="dxa"/>
            <w:vAlign w:val="center"/>
          </w:tcPr>
          <w:p w14:paraId="76379930">
            <w:pPr>
              <w:pStyle w:val="8"/>
              <w:spacing w:after="0"/>
              <w:rPr>
                <w:rFonts w:eastAsia="仿宋"/>
                <w:sz w:val="21"/>
                <w:szCs w:val="21"/>
              </w:rPr>
            </w:pPr>
            <w:r>
              <w:rPr>
                <w:rFonts w:eastAsia="仿宋"/>
                <w:b/>
                <w:bCs/>
                <w:sz w:val="21"/>
                <w:szCs w:val="21"/>
              </w:rPr>
              <w:t>黄田铺镇：</w:t>
            </w:r>
            <w:r>
              <w:rPr>
                <w:rFonts w:eastAsia="仿宋"/>
                <w:sz w:val="21"/>
                <w:szCs w:val="21"/>
              </w:rPr>
              <w:t>稀土产业、农业、林业、农产品深加工、商贸物流、旅游业、教育业等。</w:t>
            </w:r>
          </w:p>
          <w:p w14:paraId="5CC54639">
            <w:pPr>
              <w:pStyle w:val="8"/>
              <w:spacing w:after="0"/>
              <w:rPr>
                <w:rFonts w:eastAsia="仿宋"/>
                <w:sz w:val="21"/>
                <w:szCs w:val="21"/>
              </w:rPr>
            </w:pPr>
            <w:r>
              <w:rPr>
                <w:rFonts w:eastAsia="仿宋"/>
                <w:b/>
                <w:bCs/>
                <w:sz w:val="21"/>
                <w:szCs w:val="21"/>
              </w:rPr>
              <w:t>石山脚街道：</w:t>
            </w:r>
            <w:r>
              <w:rPr>
                <w:rFonts w:eastAsia="仿宋"/>
                <w:sz w:val="21"/>
                <w:szCs w:val="21"/>
              </w:rPr>
              <w:t>零陵工业园以外区域发展农业、养殖业、旅游业、农副产品加工业等。</w:t>
            </w:r>
          </w:p>
          <w:p w14:paraId="48955A5A">
            <w:pPr>
              <w:pStyle w:val="8"/>
              <w:spacing w:after="0"/>
              <w:rPr>
                <w:rFonts w:eastAsia="仿宋"/>
                <w:sz w:val="21"/>
                <w:szCs w:val="21"/>
              </w:rPr>
            </w:pPr>
            <w:r>
              <w:rPr>
                <w:rFonts w:eastAsia="仿宋"/>
                <w:b/>
                <w:bCs/>
                <w:sz w:val="21"/>
                <w:szCs w:val="21"/>
              </w:rPr>
              <w:t>梳子铺乡：</w:t>
            </w:r>
            <w:r>
              <w:rPr>
                <w:rFonts w:eastAsia="仿宋"/>
                <w:sz w:val="21"/>
                <w:szCs w:val="21"/>
              </w:rPr>
              <w:t>农业、林业、农副产品加工业、商贸物流、旅游业、锰矿开采加工等。</w:t>
            </w:r>
          </w:p>
        </w:tc>
        <w:tc>
          <w:tcPr>
            <w:tcW w:w="4199" w:type="dxa"/>
            <w:vAlign w:val="center"/>
          </w:tcPr>
          <w:p w14:paraId="26C559E8">
            <w:pPr>
              <w:pStyle w:val="8"/>
              <w:spacing w:after="0"/>
              <w:rPr>
                <w:rFonts w:eastAsia="仿宋"/>
                <w:sz w:val="21"/>
                <w:szCs w:val="21"/>
              </w:rPr>
            </w:pPr>
            <w:r>
              <w:rPr>
                <w:rFonts w:eastAsia="仿宋"/>
                <w:b/>
                <w:bCs/>
                <w:sz w:val="21"/>
                <w:szCs w:val="21"/>
              </w:rPr>
              <w:t>黄田铺镇、梳子铺乡：</w:t>
            </w:r>
            <w:r>
              <w:rPr>
                <w:rFonts w:eastAsia="仿宋"/>
                <w:sz w:val="21"/>
                <w:szCs w:val="21"/>
              </w:rPr>
              <w:t>1、部分矿山开采未严格落实环保和水土保持措施，造成扬尘污染、水土流失；2、少量矿山废水收集、处理措施不完善，初期雨水没有得到有效处理；3、</w:t>
            </w:r>
            <w:r>
              <w:rPr>
                <w:rFonts w:eastAsia="仿宋"/>
                <w:bCs/>
                <w:sz w:val="21"/>
                <w:szCs w:val="21"/>
              </w:rPr>
              <w:t>关闭矿山、企业遗留的含重金属废渣、尾矿未得到彻底集中、安全处置，</w:t>
            </w:r>
            <w:r>
              <w:rPr>
                <w:rFonts w:eastAsia="仿宋"/>
                <w:sz w:val="21"/>
                <w:szCs w:val="21"/>
              </w:rPr>
              <w:t>部分尾矿库未安全封场，</w:t>
            </w:r>
            <w:r>
              <w:rPr>
                <w:rFonts w:eastAsia="仿宋"/>
                <w:bCs/>
                <w:sz w:val="21"/>
                <w:szCs w:val="21"/>
              </w:rPr>
              <w:t>对地表水、地下水形成污染风险</w:t>
            </w:r>
            <w:r>
              <w:rPr>
                <w:rFonts w:eastAsia="仿宋"/>
                <w:sz w:val="21"/>
                <w:szCs w:val="21"/>
              </w:rPr>
              <w:t>。</w:t>
            </w:r>
          </w:p>
          <w:p w14:paraId="1D408AE2">
            <w:pPr>
              <w:widowControl/>
              <w:jc w:val="left"/>
              <w:rPr>
                <w:rFonts w:ascii="Times New Roman" w:hAnsi="Times New Roman" w:eastAsia="仿宋" w:cs="Times New Roman"/>
                <w:szCs w:val="21"/>
              </w:rPr>
            </w:pPr>
            <w:r>
              <w:rPr>
                <w:rFonts w:ascii="Times New Roman" w:hAnsi="Times New Roman" w:eastAsia="仿宋" w:cs="Times New Roman"/>
                <w:b/>
                <w:bCs/>
                <w:szCs w:val="21"/>
              </w:rPr>
              <w:t>石山脚街道：</w:t>
            </w:r>
            <w:r>
              <w:rPr>
                <w:rFonts w:ascii="Times New Roman" w:hAnsi="Times New Roman" w:eastAsia="仿宋" w:cs="Times New Roman"/>
                <w:szCs w:val="21"/>
              </w:rPr>
              <w:t>无明显环境问题。</w:t>
            </w:r>
          </w:p>
          <w:p w14:paraId="49F8909B">
            <w:pPr>
              <w:pStyle w:val="19"/>
              <w:spacing w:after="0"/>
              <w:ind w:left="0" w:leftChars="0" w:firstLine="0" w:firstLineChars="0"/>
              <w:jc w:val="left"/>
              <w:rPr>
                <w:rFonts w:eastAsia="仿宋"/>
                <w:szCs w:val="21"/>
              </w:rPr>
            </w:pPr>
            <w:r>
              <w:rPr>
                <w:rFonts w:eastAsia="仿宋"/>
                <w:b/>
                <w:bCs/>
                <w:szCs w:val="21"/>
              </w:rPr>
              <w:t>环保目标：</w:t>
            </w:r>
            <w:r>
              <w:rPr>
                <w:rFonts w:eastAsia="仿宋"/>
                <w:szCs w:val="21"/>
              </w:rPr>
              <w:t>湖南冷水滩省级湿地公园等。</w:t>
            </w:r>
          </w:p>
        </w:tc>
      </w:tr>
      <w:tr w14:paraId="7DF9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C33324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0"/>
            <w:vAlign w:val="center"/>
          </w:tcPr>
          <w:p w14:paraId="20174775">
            <w:pPr>
              <w:widowControl/>
              <w:jc w:val="left"/>
              <w:rPr>
                <w:rFonts w:ascii="Times New Roman" w:hAnsi="Times New Roman" w:eastAsia="仿宋" w:cs="Times New Roman"/>
                <w:szCs w:val="21"/>
              </w:rPr>
            </w:pPr>
            <w:r>
              <w:rPr>
                <w:rFonts w:ascii="Times New Roman" w:hAnsi="Times New Roman" w:eastAsia="仿宋" w:cs="Times New Roman"/>
                <w:b/>
                <w:bCs/>
                <w:szCs w:val="21"/>
              </w:rPr>
              <w:t>黄田铺镇：</w:t>
            </w:r>
          </w:p>
          <w:p w14:paraId="3F9754BB">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湿地公园/水土流失敏感区/三区三线生态红线/原生态红线）；水环境优先保护区/水环境其他重点管控区/水环境一般管控区；大气环境高排放重点管控区/大气环境优先保护区/大气环境受体敏感重点管控区；农用地优先保护区/建设用地重点管控区/其他重点管控区/一般管控区</w:t>
            </w:r>
          </w:p>
          <w:p w14:paraId="2B742418">
            <w:pPr>
              <w:widowControl/>
              <w:jc w:val="left"/>
              <w:rPr>
                <w:rFonts w:ascii="Times New Roman" w:hAnsi="Times New Roman" w:eastAsia="仿宋" w:cs="Times New Roman"/>
                <w:b/>
                <w:bCs/>
                <w:szCs w:val="21"/>
              </w:rPr>
            </w:pPr>
            <w:r>
              <w:rPr>
                <w:rFonts w:ascii="Times New Roman" w:hAnsi="Times New Roman" w:eastAsia="仿宋" w:cs="Times New Roman"/>
                <w:b/>
                <w:bCs/>
                <w:szCs w:val="21"/>
              </w:rPr>
              <w:t>石山脚街道：</w:t>
            </w:r>
          </w:p>
          <w:p w14:paraId="3DE6C7DD">
            <w:pPr>
              <w:widowControl/>
              <w:jc w:val="left"/>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三区三线生态红线/原生态红线/湿地公园/水土流失敏感区/生物多样性保护功能重要区）；水环境一般管控区/水环境工业污染重点管控区/水环境优先保护区；大气环境优先保护区/大气环境高排放重点管控区/大气环境受体敏感重点管控区；农用地优先保护区/一般管控区/其他重点管控区/建设用地重点管控区；高污染燃料禁燃区</w:t>
            </w:r>
          </w:p>
          <w:p w14:paraId="4B7C3A61">
            <w:pPr>
              <w:widowControl/>
              <w:rPr>
                <w:rFonts w:ascii="Times New Roman" w:hAnsi="Times New Roman" w:eastAsia="仿宋" w:cs="Times New Roman"/>
                <w:b/>
                <w:bCs/>
                <w:kern w:val="0"/>
                <w:szCs w:val="21"/>
              </w:rPr>
            </w:pPr>
            <w:r>
              <w:rPr>
                <w:rFonts w:ascii="Times New Roman" w:hAnsi="Times New Roman" w:eastAsia="仿宋" w:cs="Times New Roman"/>
                <w:b/>
                <w:bCs/>
                <w:szCs w:val="21"/>
              </w:rPr>
              <w:t>梳子铺乡</w:t>
            </w:r>
            <w:r>
              <w:rPr>
                <w:rFonts w:ascii="Times New Roman" w:hAnsi="Times New Roman" w:eastAsia="仿宋" w:cs="Times New Roman"/>
                <w:b/>
                <w:bCs/>
                <w:kern w:val="0"/>
                <w:szCs w:val="21"/>
              </w:rPr>
              <w:t>：</w:t>
            </w:r>
          </w:p>
          <w:p w14:paraId="0513D77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w:t>
            </w:r>
            <w:bookmarkStart w:id="9" w:name="OLE_LINK9"/>
            <w:r>
              <w:rPr>
                <w:rFonts w:ascii="Times New Roman" w:hAnsi="Times New Roman" w:eastAsia="仿宋" w:cs="Times New Roman"/>
                <w:kern w:val="0"/>
                <w:szCs w:val="21"/>
              </w:rPr>
              <w:t>/</w:t>
            </w:r>
            <w:bookmarkEnd w:id="9"/>
            <w:r>
              <w:rPr>
                <w:rFonts w:ascii="Times New Roman" w:hAnsi="Times New Roman" w:eastAsia="仿宋" w:cs="Times New Roman"/>
                <w:kern w:val="0"/>
                <w:szCs w:val="21"/>
              </w:rPr>
              <w:t>三区三线生态红线/原生态红线/水土流失敏感区/生物多样性保护功能重要区）；水环境其他重点管控区/水环境一般管控区；大气环境高排放重点管控区/大气环境受体敏感重点管控区；农用地优先保护区/建设用地重点管控区/其他重点管控区/一般管控区</w:t>
            </w:r>
          </w:p>
        </w:tc>
      </w:tr>
      <w:tr w14:paraId="7325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29" w:type="dxa"/>
            <w:vAlign w:val="center"/>
          </w:tcPr>
          <w:p w14:paraId="35118386">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865" w:type="dxa"/>
            <w:gridSpan w:val="9"/>
            <w:vAlign w:val="center"/>
          </w:tcPr>
          <w:p w14:paraId="6D3CD522">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199" w:type="dxa"/>
            <w:vAlign w:val="center"/>
          </w:tcPr>
          <w:p w14:paraId="0D79FD0C">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CE6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1549CF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865" w:type="dxa"/>
            <w:gridSpan w:val="9"/>
            <w:vAlign w:val="center"/>
          </w:tcPr>
          <w:p w14:paraId="08E0D1C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（1.1）畜禽养殖布局应符合《零陵区畜禽规模养殖“三区”划定方案》。</w:t>
            </w:r>
          </w:p>
          <w:p w14:paraId="0E6F97E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w:t>
            </w:r>
            <w:r>
              <w:rPr>
                <w:rFonts w:ascii="Times New Roman" w:hAnsi="Times New Roman" w:eastAsia="仿宋" w:cs="Times New Roman"/>
                <w:bCs/>
                <w:szCs w:val="21"/>
              </w:rPr>
              <w:t>依法取缔非法采矿、采石和采砂企业，禁止在铁路、公路两侧可视范围内等区域新建砂石等露天矿山建设项目</w:t>
            </w:r>
            <w:r>
              <w:rPr>
                <w:rFonts w:ascii="Times New Roman" w:hAnsi="Times New Roman" w:eastAsia="仿宋" w:cs="Times New Roman"/>
                <w:szCs w:val="21"/>
              </w:rPr>
              <w:t>。</w:t>
            </w:r>
          </w:p>
        </w:tc>
        <w:tc>
          <w:tcPr>
            <w:tcW w:w="4199" w:type="dxa"/>
            <w:vMerge w:val="restart"/>
            <w:vAlign w:val="center"/>
          </w:tcPr>
          <w:p w14:paraId="5DBDAC5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（1.1）永州市零陵区人民政府办公室关于印发《零陵区畜禽规模养殖“三区”划定方案》的通知（零政办发〔2020〕1号）；</w:t>
            </w:r>
          </w:p>
          <w:p w14:paraId="0A5BE7D6">
            <w:pPr>
              <w:tabs>
                <w:tab w:val="left" w:pos="1021"/>
              </w:tabs>
              <w:ind w:hanging="1"/>
              <w:jc w:val="left"/>
              <w:rPr>
                <w:rFonts w:ascii="Times New Roman" w:hAnsi="Times New Roman" w:eastAsia="仿宋" w:cs="Times New Roman"/>
                <w:szCs w:val="21"/>
              </w:rPr>
            </w:pPr>
            <w:r>
              <w:rPr>
                <w:rFonts w:ascii="Times New Roman" w:hAnsi="Times New Roman" w:eastAsia="仿宋" w:cs="Times New Roman"/>
                <w:szCs w:val="21"/>
              </w:rPr>
              <w:t>（1.2）（2.3）《零陵区“十四五”生态环境保护规划》（2021-2025）；</w:t>
            </w:r>
          </w:p>
          <w:p w14:paraId="508CC73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（2.1）《零陵区畜禽养殖污染防治规划（2021-2025年）》；</w:t>
            </w:r>
          </w:p>
          <w:p w14:paraId="26BCD64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（2.2）永州市人民政府办公室关于印发《永州市养殖水域滩涂规划2018－2030年）》的通知（永政办函〔2018〕64号）；</w:t>
            </w:r>
          </w:p>
          <w:p w14:paraId="681158EC">
            <w:pPr>
              <w:pStyle w:val="8"/>
              <w:spacing w:after="0"/>
              <w:rPr>
                <w:rFonts w:eastAsia="仿宋"/>
                <w:sz w:val="21"/>
                <w:szCs w:val="21"/>
              </w:rPr>
            </w:pPr>
            <w:r>
              <w:rPr>
                <w:rFonts w:eastAsia="仿宋"/>
                <w:sz w:val="21"/>
                <w:szCs w:val="21"/>
              </w:rPr>
              <w:t>（2.3）《零陵区“十四五”生态环境保护规划（2021-2025）》；</w:t>
            </w:r>
          </w:p>
          <w:p w14:paraId="1C5DFE95">
            <w:pPr>
              <w:pStyle w:val="8"/>
              <w:spacing w:after="0"/>
              <w:rPr>
                <w:rFonts w:eastAsia="仿宋"/>
                <w:sz w:val="21"/>
                <w:szCs w:val="21"/>
              </w:rPr>
            </w:pPr>
            <w:r>
              <w:rPr>
                <w:rFonts w:eastAsia="仿宋"/>
                <w:sz w:val="21"/>
                <w:szCs w:val="21"/>
              </w:rPr>
              <w:t>（3.1）《零陵区“十四五”生态环境保护规划（2021-2025）》；</w:t>
            </w:r>
          </w:p>
          <w:p w14:paraId="1B632C9D">
            <w:pPr>
              <w:pStyle w:val="8"/>
              <w:spacing w:after="0"/>
              <w:rPr>
                <w:rFonts w:eastAsia="仿宋"/>
                <w:sz w:val="21"/>
                <w:szCs w:val="21"/>
              </w:rPr>
            </w:pPr>
            <w:r>
              <w:rPr>
                <w:rFonts w:eastAsia="仿宋"/>
                <w:sz w:val="21"/>
                <w:szCs w:val="21"/>
              </w:rPr>
              <w:t>（4.1）《永州市零陵区生态文明建设示范区规划说明书》；</w:t>
            </w:r>
          </w:p>
          <w:p w14:paraId="74013429">
            <w:pPr>
              <w:pStyle w:val="8"/>
              <w:spacing w:after="0"/>
              <w:rPr>
                <w:rFonts w:eastAsia="仿宋"/>
                <w:sz w:val="21"/>
                <w:szCs w:val="21"/>
              </w:rPr>
            </w:pPr>
            <w:r>
              <w:rPr>
                <w:rFonts w:eastAsia="仿宋"/>
                <w:sz w:val="21"/>
                <w:szCs w:val="21"/>
              </w:rPr>
              <w:t>（4.1.2）《零陵区国民经济和社会发展第十四个五年规划和二0三五年远景目标纲要》；</w:t>
            </w:r>
          </w:p>
          <w:p w14:paraId="5C9FAF15">
            <w:pPr>
              <w:tabs>
                <w:tab w:val="left" w:pos="1021"/>
              </w:tabs>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r>
              <w:rPr>
                <w:rFonts w:ascii="Times New Roman" w:hAnsi="Times New Roman" w:eastAsia="仿宋" w:cs="Times New Roman"/>
                <w:color w:val="000000" w:themeColor="text1"/>
                <w:szCs w:val="21"/>
                <w14:textFill>
                  <w14:solidFill>
                    <w14:schemeClr w14:val="tx1"/>
                  </w14:solidFill>
                </w14:textFill>
              </w:rPr>
              <w:t>；</w:t>
            </w:r>
          </w:p>
          <w:p w14:paraId="4346213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（4.2.2）《零陵区“十四五”生态环境保护规划（2021-2025）》。</w:t>
            </w:r>
          </w:p>
        </w:tc>
      </w:tr>
      <w:tr w14:paraId="628C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jc w:val="center"/>
        </w:trPr>
        <w:tc>
          <w:tcPr>
            <w:tcW w:w="1129" w:type="dxa"/>
            <w:vAlign w:val="center"/>
          </w:tcPr>
          <w:p w14:paraId="05D33FC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865" w:type="dxa"/>
            <w:gridSpan w:val="9"/>
            <w:vAlign w:val="center"/>
          </w:tcPr>
          <w:p w14:paraId="7E4C572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现有规模化畜禽养殖场（小区）根据污染治理需要，配套建设粪便污水贮存、处理、利用设施，配套设施比例达到95%以上；加强畜禽养殖场污水的资源化利用。提升畜禽粪污资源利用水平，到2025年，全区畜禽粪污综合利用率达到90%以上。</w:t>
            </w:r>
          </w:p>
          <w:p w14:paraId="428354B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（2.2）池塘及适宜养殖山塘、水库，全面推行生态养殖、减排增效技术，提高水产养殖生产水平，开展养殖尾水处理，池塘尾水排放应符合《淡水池塘养殖水排放要求》。</w:t>
            </w:r>
          </w:p>
          <w:p w14:paraId="5877300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bCs/>
                <w:szCs w:val="21"/>
              </w:rPr>
              <w:t>（2.3）</w:t>
            </w:r>
            <w:r>
              <w:rPr>
                <w:rFonts w:ascii="Times New Roman" w:hAnsi="Times New Roman" w:eastAsia="仿宋" w:cs="Times New Roman"/>
                <w:szCs w:val="21"/>
              </w:rPr>
              <w:t>建立秸秆综合利用长效机制，全面遏制焚烧秸秆现象。2025年之前，秸秆综合利用率达到85%以上。</w:t>
            </w:r>
          </w:p>
          <w:p w14:paraId="7053159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
                <w:bCs/>
                <w:szCs w:val="21"/>
              </w:rPr>
              <w:t>黄田铺镇、梳子铺乡：</w:t>
            </w:r>
            <w:r>
              <w:rPr>
                <w:rFonts w:ascii="Times New Roman" w:hAnsi="Times New Roman" w:eastAsia="仿宋" w:cs="Times New Roman"/>
                <w:szCs w:val="21"/>
              </w:rPr>
              <w:t>矿山尾泥、废水必须排入经过验收合格的废泥库内，并严格按照尾矿库安全监管规定对废泥库进行安全监管，确保废泥库安全，确保废水不外排。废渣必须进行安全处理并填埋。尾矿库应按规定封场。</w:t>
            </w:r>
          </w:p>
          <w:p w14:paraId="6B1E6D72">
            <w:pPr>
              <w:tabs>
                <w:tab w:val="left" w:pos="1021"/>
              </w:tabs>
              <w:ind w:firstLine="420" w:firstLineChars="200"/>
              <w:rPr>
                <w:rFonts w:ascii="Times New Roman" w:hAnsi="Times New Roman" w:eastAsia="仿宋" w:cs="Times New Roman"/>
                <w:b/>
                <w:bCs/>
                <w:szCs w:val="21"/>
              </w:rPr>
            </w:pPr>
            <w:r>
              <w:rPr>
                <w:rFonts w:ascii="Times New Roman" w:hAnsi="Times New Roman" w:eastAsia="仿宋" w:cs="Times New Roman"/>
                <w:szCs w:val="21"/>
              </w:rPr>
              <w:t>（2.5）</w:t>
            </w:r>
            <w:r>
              <w:rPr>
                <w:rFonts w:ascii="Times New Roman" w:hAnsi="Times New Roman" w:eastAsia="仿宋" w:cs="Times New Roman"/>
                <w:kern w:val="0"/>
                <w:szCs w:val="21"/>
              </w:rPr>
              <w:t>矿山开采应严格落实各项环境保护和水土保持措施。</w:t>
            </w:r>
          </w:p>
        </w:tc>
        <w:tc>
          <w:tcPr>
            <w:tcW w:w="4199" w:type="dxa"/>
            <w:vMerge w:val="continue"/>
            <w:vAlign w:val="center"/>
          </w:tcPr>
          <w:p w14:paraId="1430A0D5">
            <w:pPr>
              <w:widowControl/>
              <w:jc w:val="left"/>
              <w:rPr>
                <w:rFonts w:ascii="Times New Roman" w:hAnsi="Times New Roman" w:eastAsia="仿宋" w:cs="Times New Roman"/>
                <w:szCs w:val="21"/>
              </w:rPr>
            </w:pPr>
          </w:p>
        </w:tc>
      </w:tr>
      <w:tr w14:paraId="0DCC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129" w:type="dxa"/>
            <w:vAlign w:val="center"/>
          </w:tcPr>
          <w:p w14:paraId="643BAC9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865" w:type="dxa"/>
            <w:gridSpan w:val="9"/>
            <w:vAlign w:val="center"/>
          </w:tcPr>
          <w:p w14:paraId="2B3B7B9C">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（3.1）建立冶炼、化工、危险废物等行业环境风险企业台帐，实行一厂一册跟踪监管，严防环境污染事件发生。</w:t>
            </w:r>
          </w:p>
        </w:tc>
        <w:tc>
          <w:tcPr>
            <w:tcW w:w="4199" w:type="dxa"/>
            <w:vMerge w:val="continue"/>
            <w:vAlign w:val="center"/>
          </w:tcPr>
          <w:p w14:paraId="59822498">
            <w:pPr>
              <w:widowControl/>
              <w:jc w:val="left"/>
              <w:rPr>
                <w:rFonts w:ascii="Times New Roman" w:hAnsi="Times New Roman" w:eastAsia="仿宋" w:cs="Times New Roman"/>
                <w:szCs w:val="21"/>
              </w:rPr>
            </w:pPr>
          </w:p>
        </w:tc>
      </w:tr>
      <w:tr w14:paraId="10A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177530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865" w:type="dxa"/>
            <w:gridSpan w:val="9"/>
            <w:vAlign w:val="center"/>
          </w:tcPr>
          <w:p w14:paraId="7C24746D">
            <w:pPr>
              <w:pStyle w:val="8"/>
              <w:spacing w:after="0"/>
              <w:ind w:firstLine="422" w:firstLineChars="200"/>
              <w:rPr>
                <w:rFonts w:eastAsia="仿宋"/>
                <w:b/>
                <w:sz w:val="21"/>
                <w:szCs w:val="21"/>
              </w:rPr>
            </w:pPr>
            <w:r>
              <w:rPr>
                <w:rFonts w:eastAsia="仿宋"/>
                <w:b/>
                <w:sz w:val="21"/>
                <w:szCs w:val="21"/>
              </w:rPr>
              <w:t>（4.1）能源：</w:t>
            </w:r>
          </w:p>
          <w:p w14:paraId="7D25EE46">
            <w:pPr>
              <w:pStyle w:val="8"/>
              <w:spacing w:after="0"/>
              <w:ind w:firstLine="420" w:firstLineChars="200"/>
              <w:rPr>
                <w:rFonts w:eastAsia="仿宋"/>
                <w:sz w:val="21"/>
                <w:szCs w:val="21"/>
              </w:rPr>
            </w:pPr>
            <w:r>
              <w:rPr>
                <w:rFonts w:eastAsia="仿宋"/>
                <w:kern w:val="2"/>
                <w:sz w:val="21"/>
                <w:szCs w:val="21"/>
              </w:rPr>
              <w:t>（4.1.1）</w:t>
            </w:r>
            <w:r>
              <w:rPr>
                <w:rFonts w:eastAsia="仿宋"/>
                <w:sz w:val="21"/>
                <w:szCs w:val="21"/>
              </w:rPr>
              <w:t>实行低硫煤政策，禁止使用含硫量大于1%，含灰量大于20%的燃煤。</w:t>
            </w:r>
          </w:p>
          <w:p w14:paraId="4D8DFC6B">
            <w:pPr>
              <w:pStyle w:val="8"/>
              <w:spacing w:after="0"/>
              <w:ind w:firstLine="420" w:firstLineChars="200"/>
              <w:rPr>
                <w:rFonts w:eastAsia="仿宋"/>
                <w:kern w:val="2"/>
                <w:sz w:val="21"/>
                <w:szCs w:val="21"/>
              </w:rPr>
            </w:pPr>
            <w:r>
              <w:rPr>
                <w:rFonts w:eastAsia="仿宋"/>
                <w:kern w:val="2"/>
                <w:sz w:val="21"/>
                <w:szCs w:val="21"/>
              </w:rPr>
              <w:t>（4.1.2）</w:t>
            </w:r>
            <w:r>
              <w:rPr>
                <w:rFonts w:eastAsia="仿宋"/>
                <w:kern w:val="2"/>
                <w:sz w:val="21"/>
                <w:szCs w:val="21"/>
                <w:lang w:val="zh-TW"/>
              </w:rPr>
              <w:t>实施能源消耗总量和强度双控行动，“十四五”期间全区单位国内生产总值能耗累计降低15%，能耗总量控制在市定标准以内。</w:t>
            </w:r>
          </w:p>
          <w:p w14:paraId="6C2F363D">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（4.2）水资源：</w:t>
            </w:r>
          </w:p>
          <w:p w14:paraId="3FE73A1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（4.2.1）到2025年，零陵区用水总量控制在32676万立方米以内，农业用水总量控制在23251万立方米以内，万元地区生产总值用水量、万元工业增加值用水量分别比2020年降低19.80%、8.87%，农田灌溉水有效利用系数0.548。</w:t>
            </w:r>
          </w:p>
          <w:p w14:paraId="29D823E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（4.2.2）加强生态流量保障。明确闸坝、水库生态调度任务。推进小水电站整治、改造。</w:t>
            </w:r>
          </w:p>
        </w:tc>
        <w:tc>
          <w:tcPr>
            <w:tcW w:w="4199" w:type="dxa"/>
            <w:vMerge w:val="continue"/>
            <w:vAlign w:val="center"/>
          </w:tcPr>
          <w:p w14:paraId="3B30FB29">
            <w:pPr>
              <w:widowControl/>
              <w:jc w:val="left"/>
              <w:rPr>
                <w:rFonts w:ascii="Times New Roman" w:hAnsi="Times New Roman" w:eastAsia="仿宋" w:cs="Times New Roman"/>
                <w:szCs w:val="21"/>
              </w:rPr>
            </w:pPr>
          </w:p>
        </w:tc>
      </w:tr>
    </w:tbl>
    <w:p w14:paraId="3427EDD0">
      <w:pPr>
        <w:widowControl/>
        <w:jc w:val="left"/>
        <w:rPr>
          <w:rFonts w:ascii="Times New Roman" w:hAnsi="Times New Roman" w:eastAsia="仿宋" w:cs="Times New Roman"/>
          <w:szCs w:val="21"/>
        </w:rPr>
        <w:sectPr>
          <w:headerReference r:id="rId5" w:type="default"/>
          <w:footerReference r:id="rId6" w:type="default"/>
          <w:pgSz w:w="16838" w:h="11906" w:orient="landscape"/>
          <w:pgMar w:top="1800" w:right="1440" w:bottom="1800" w:left="1440" w:header="851" w:footer="992" w:gutter="0"/>
          <w:pgNumType w:start="1"/>
          <w:cols w:space="425"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6"/>
        <w:gridCol w:w="44"/>
        <w:gridCol w:w="381"/>
        <w:gridCol w:w="426"/>
        <w:gridCol w:w="425"/>
        <w:gridCol w:w="709"/>
        <w:gridCol w:w="141"/>
        <w:gridCol w:w="993"/>
        <w:gridCol w:w="141"/>
        <w:gridCol w:w="1134"/>
        <w:gridCol w:w="1616"/>
        <w:gridCol w:w="150"/>
        <w:gridCol w:w="640"/>
        <w:gridCol w:w="1492"/>
        <w:gridCol w:w="3496"/>
      </w:tblGrid>
      <w:tr w14:paraId="19FF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3A540CD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20" w:type="dxa"/>
            <w:gridSpan w:val="2"/>
            <w:vMerge w:val="restart"/>
            <w:vAlign w:val="center"/>
          </w:tcPr>
          <w:p w14:paraId="06D1BD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32" w:type="dxa"/>
            <w:gridSpan w:val="3"/>
            <w:vAlign w:val="center"/>
          </w:tcPr>
          <w:p w14:paraId="1D4E7C9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4160C5E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gridSpan w:val="2"/>
            <w:vMerge w:val="restart"/>
            <w:vAlign w:val="center"/>
          </w:tcPr>
          <w:p w14:paraId="798FED3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5" w:type="dxa"/>
            <w:gridSpan w:val="2"/>
            <w:vMerge w:val="restart"/>
            <w:vAlign w:val="center"/>
          </w:tcPr>
          <w:p w14:paraId="7119A6C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616" w:type="dxa"/>
            <w:vMerge w:val="restart"/>
            <w:vAlign w:val="center"/>
          </w:tcPr>
          <w:p w14:paraId="32F90E1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282" w:type="dxa"/>
            <w:gridSpan w:val="3"/>
            <w:vMerge w:val="restart"/>
            <w:vAlign w:val="center"/>
          </w:tcPr>
          <w:p w14:paraId="30E5C18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96" w:type="dxa"/>
            <w:vMerge w:val="restart"/>
            <w:vAlign w:val="center"/>
          </w:tcPr>
          <w:p w14:paraId="60EF5E2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rPr>
              <w:t>①</w:t>
            </w:r>
          </w:p>
        </w:tc>
      </w:tr>
      <w:tr w14:paraId="64DD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06E4D951">
            <w:pPr>
              <w:widowControl/>
              <w:jc w:val="left"/>
              <w:rPr>
                <w:rFonts w:ascii="Times New Roman" w:hAnsi="Times New Roman" w:eastAsia="仿宋" w:cs="Times New Roman"/>
                <w:b/>
                <w:kern w:val="0"/>
                <w:szCs w:val="21"/>
              </w:rPr>
            </w:pPr>
          </w:p>
        </w:tc>
        <w:tc>
          <w:tcPr>
            <w:tcW w:w="1320" w:type="dxa"/>
            <w:gridSpan w:val="2"/>
            <w:vMerge w:val="continue"/>
            <w:vAlign w:val="center"/>
          </w:tcPr>
          <w:p w14:paraId="7F9DCC07">
            <w:pPr>
              <w:widowControl/>
              <w:jc w:val="left"/>
              <w:rPr>
                <w:rFonts w:ascii="Times New Roman" w:hAnsi="Times New Roman" w:eastAsia="仿宋" w:cs="Times New Roman"/>
                <w:b/>
                <w:kern w:val="0"/>
                <w:szCs w:val="21"/>
              </w:rPr>
            </w:pPr>
          </w:p>
        </w:tc>
        <w:tc>
          <w:tcPr>
            <w:tcW w:w="381" w:type="dxa"/>
            <w:vAlign w:val="center"/>
          </w:tcPr>
          <w:p w14:paraId="1CF6FE22">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6" w:type="dxa"/>
            <w:vAlign w:val="center"/>
          </w:tcPr>
          <w:p w14:paraId="75B3B4D6">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6AA70A58">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6062D44F">
            <w:pPr>
              <w:widowControl/>
              <w:jc w:val="left"/>
              <w:rPr>
                <w:rFonts w:ascii="Times New Roman" w:hAnsi="Times New Roman" w:eastAsia="仿宋" w:cs="Times New Roman"/>
                <w:b/>
                <w:kern w:val="0"/>
                <w:szCs w:val="21"/>
              </w:rPr>
            </w:pPr>
          </w:p>
        </w:tc>
        <w:tc>
          <w:tcPr>
            <w:tcW w:w="1134" w:type="dxa"/>
            <w:gridSpan w:val="2"/>
            <w:vMerge w:val="continue"/>
            <w:vAlign w:val="center"/>
          </w:tcPr>
          <w:p w14:paraId="3FA0454C">
            <w:pPr>
              <w:widowControl/>
              <w:jc w:val="left"/>
              <w:rPr>
                <w:rFonts w:ascii="Times New Roman" w:hAnsi="Times New Roman" w:eastAsia="仿宋" w:cs="Times New Roman"/>
                <w:b/>
                <w:kern w:val="0"/>
                <w:szCs w:val="21"/>
              </w:rPr>
            </w:pPr>
          </w:p>
        </w:tc>
        <w:tc>
          <w:tcPr>
            <w:tcW w:w="1275" w:type="dxa"/>
            <w:gridSpan w:val="2"/>
            <w:vMerge w:val="continue"/>
            <w:vAlign w:val="center"/>
          </w:tcPr>
          <w:p w14:paraId="16607B87">
            <w:pPr>
              <w:widowControl/>
              <w:jc w:val="left"/>
              <w:rPr>
                <w:rFonts w:ascii="Times New Roman" w:hAnsi="Times New Roman" w:eastAsia="仿宋" w:cs="Times New Roman"/>
                <w:b/>
                <w:kern w:val="0"/>
                <w:szCs w:val="21"/>
              </w:rPr>
            </w:pPr>
          </w:p>
        </w:tc>
        <w:tc>
          <w:tcPr>
            <w:tcW w:w="1616" w:type="dxa"/>
            <w:vMerge w:val="continue"/>
            <w:vAlign w:val="center"/>
          </w:tcPr>
          <w:p w14:paraId="41DC7D7F">
            <w:pPr>
              <w:widowControl/>
              <w:jc w:val="left"/>
              <w:rPr>
                <w:rFonts w:ascii="Times New Roman" w:hAnsi="Times New Roman" w:eastAsia="仿宋" w:cs="Times New Roman"/>
                <w:b/>
                <w:kern w:val="0"/>
                <w:szCs w:val="21"/>
              </w:rPr>
            </w:pPr>
          </w:p>
        </w:tc>
        <w:tc>
          <w:tcPr>
            <w:tcW w:w="2282" w:type="dxa"/>
            <w:gridSpan w:val="3"/>
            <w:vMerge w:val="continue"/>
            <w:vAlign w:val="center"/>
          </w:tcPr>
          <w:p w14:paraId="7B8B7FF4">
            <w:pPr>
              <w:widowControl/>
              <w:jc w:val="left"/>
              <w:rPr>
                <w:rFonts w:ascii="Times New Roman" w:hAnsi="Times New Roman" w:eastAsia="仿宋" w:cs="Times New Roman"/>
                <w:b/>
                <w:kern w:val="0"/>
                <w:szCs w:val="21"/>
              </w:rPr>
            </w:pPr>
          </w:p>
        </w:tc>
        <w:tc>
          <w:tcPr>
            <w:tcW w:w="3496" w:type="dxa"/>
            <w:vMerge w:val="continue"/>
            <w:vAlign w:val="center"/>
          </w:tcPr>
          <w:p w14:paraId="5F393A71">
            <w:pPr>
              <w:widowControl/>
              <w:jc w:val="left"/>
              <w:rPr>
                <w:rFonts w:ascii="Times New Roman" w:hAnsi="Times New Roman" w:eastAsia="仿宋" w:cs="Times New Roman"/>
                <w:b/>
                <w:kern w:val="0"/>
                <w:szCs w:val="21"/>
              </w:rPr>
            </w:pPr>
          </w:p>
        </w:tc>
      </w:tr>
      <w:tr w14:paraId="4A50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55AD79AB">
            <w:pPr>
              <w:widowControl/>
              <w:jc w:val="center"/>
              <w:rPr>
                <w:rFonts w:ascii="Times New Roman" w:hAnsi="Times New Roman" w:eastAsia="仿宋" w:cs="Times New Roman"/>
                <w:kern w:val="0"/>
                <w:szCs w:val="21"/>
              </w:rPr>
            </w:pPr>
            <w:bookmarkStart w:id="10" w:name="_Hlk58573293"/>
            <w:r>
              <w:rPr>
                <w:rFonts w:ascii="Times New Roman" w:hAnsi="Times New Roman" w:eastAsia="仿宋" w:cs="Times New Roman"/>
                <w:kern w:val="0"/>
                <w:szCs w:val="21"/>
              </w:rPr>
              <w:t>ZH43110230002</w:t>
            </w:r>
            <w:bookmarkEnd w:id="10"/>
          </w:p>
        </w:tc>
        <w:tc>
          <w:tcPr>
            <w:tcW w:w="1320" w:type="dxa"/>
            <w:gridSpan w:val="2"/>
            <w:vAlign w:val="center"/>
          </w:tcPr>
          <w:p w14:paraId="4D54BA42">
            <w:pPr>
              <w:widowControl/>
              <w:jc w:val="center"/>
              <w:rPr>
                <w:rFonts w:ascii="Times New Roman" w:hAnsi="Times New Roman" w:eastAsia="仿宋" w:cs="Times New Roman"/>
                <w:kern w:val="0"/>
                <w:szCs w:val="21"/>
              </w:rPr>
            </w:pPr>
            <w:r>
              <w:rPr>
                <w:rFonts w:ascii="Times New Roman" w:hAnsi="Times New Roman" w:eastAsia="仿宋" w:cs="Times New Roman"/>
                <w:szCs w:val="21"/>
              </w:rPr>
              <w:t>凼底乡/接履桥街道/菱角塘镇/邮亭圩镇</w:t>
            </w:r>
          </w:p>
        </w:tc>
        <w:tc>
          <w:tcPr>
            <w:tcW w:w="381" w:type="dxa"/>
            <w:vAlign w:val="center"/>
          </w:tcPr>
          <w:p w14:paraId="453EADA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23FBB80A">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4FD6C287">
            <w:pPr>
              <w:widowControl/>
              <w:jc w:val="center"/>
              <w:rPr>
                <w:rFonts w:ascii="Times New Roman" w:hAnsi="Times New Roman" w:eastAsia="仿宋" w:cs="Times New Roman"/>
                <w:szCs w:val="21"/>
              </w:rPr>
            </w:pPr>
            <w:r>
              <w:rPr>
                <w:rFonts w:ascii="Times New Roman" w:hAnsi="Times New Roman" w:eastAsia="仿宋" w:cs="Times New Roman"/>
                <w:szCs w:val="21"/>
              </w:rPr>
              <w:t>零陵区</w:t>
            </w:r>
          </w:p>
        </w:tc>
        <w:tc>
          <w:tcPr>
            <w:tcW w:w="709" w:type="dxa"/>
            <w:vAlign w:val="center"/>
          </w:tcPr>
          <w:p w14:paraId="2A7B14A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gridSpan w:val="2"/>
            <w:vAlign w:val="center"/>
          </w:tcPr>
          <w:p w14:paraId="5EC3393B">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665.85</w:t>
            </w:r>
          </w:p>
        </w:tc>
        <w:tc>
          <w:tcPr>
            <w:tcW w:w="1275" w:type="dxa"/>
            <w:gridSpan w:val="2"/>
            <w:vAlign w:val="center"/>
          </w:tcPr>
          <w:p w14:paraId="2C34CC15">
            <w:pPr>
              <w:widowControl/>
              <w:jc w:val="center"/>
              <w:rPr>
                <w:rFonts w:ascii="Times New Roman" w:hAnsi="Times New Roman" w:eastAsia="仿宋" w:cs="Times New Roman"/>
                <w:szCs w:val="21"/>
              </w:rPr>
            </w:pPr>
            <w:r>
              <w:rPr>
                <w:rFonts w:ascii="Times New Roman" w:hAnsi="Times New Roman" w:eastAsia="仿宋" w:cs="Times New Roman"/>
                <w:szCs w:val="21"/>
              </w:rPr>
              <w:t>凼底乡/接履桥街道/菱角塘镇/邮亭圩镇</w:t>
            </w:r>
          </w:p>
        </w:tc>
        <w:tc>
          <w:tcPr>
            <w:tcW w:w="1616" w:type="dxa"/>
            <w:vAlign w:val="center"/>
          </w:tcPr>
          <w:p w14:paraId="488245D1">
            <w:pPr>
              <w:widowControl/>
              <w:jc w:val="center"/>
              <w:rPr>
                <w:rFonts w:ascii="Times New Roman" w:hAnsi="Times New Roman" w:eastAsia="仿宋" w:cs="Times New Roman"/>
                <w:kern w:val="0"/>
                <w:szCs w:val="21"/>
              </w:rPr>
            </w:pPr>
            <w:r>
              <w:rPr>
                <w:rFonts w:ascii="Times New Roman" w:hAnsi="Times New Roman" w:eastAsia="仿宋" w:cs="Times New Roman"/>
                <w:szCs w:val="21"/>
              </w:rPr>
              <w:t>凼底乡/菱角塘镇/邮亭圩镇：</w:t>
            </w:r>
            <w:r>
              <w:rPr>
                <w:rFonts w:ascii="Times New Roman" w:hAnsi="Times New Roman" w:eastAsia="仿宋" w:cs="Times New Roman"/>
                <w:kern w:val="0"/>
                <w:szCs w:val="21"/>
              </w:rPr>
              <w:t>农产品主产区；</w:t>
            </w:r>
            <w:r>
              <w:rPr>
                <w:rFonts w:ascii="Times New Roman" w:hAnsi="Times New Roman" w:eastAsia="仿宋" w:cs="Times New Roman"/>
                <w:szCs w:val="21"/>
              </w:rPr>
              <w:t>接履桥街道：</w:t>
            </w:r>
            <w:r>
              <w:rPr>
                <w:rFonts w:ascii="Times New Roman" w:hAnsi="Times New Roman" w:eastAsia="仿宋" w:cs="Times New Roman"/>
                <w:kern w:val="0"/>
                <w:szCs w:val="21"/>
              </w:rPr>
              <w:t>城市化地区；</w:t>
            </w:r>
          </w:p>
        </w:tc>
        <w:tc>
          <w:tcPr>
            <w:tcW w:w="2282" w:type="dxa"/>
            <w:gridSpan w:val="3"/>
            <w:vAlign w:val="center"/>
          </w:tcPr>
          <w:p w14:paraId="619C5BDC">
            <w:pPr>
              <w:pStyle w:val="8"/>
              <w:spacing w:after="0"/>
              <w:rPr>
                <w:rFonts w:eastAsia="仿宋"/>
                <w:sz w:val="21"/>
                <w:szCs w:val="21"/>
              </w:rPr>
            </w:pPr>
            <w:r>
              <w:rPr>
                <w:rFonts w:eastAsia="仿宋"/>
                <w:b/>
                <w:bCs/>
                <w:sz w:val="21"/>
                <w:szCs w:val="21"/>
              </w:rPr>
              <w:t>凼底乡</w:t>
            </w:r>
            <w:r>
              <w:rPr>
                <w:rFonts w:eastAsia="仿宋"/>
                <w:sz w:val="21"/>
                <w:szCs w:val="21"/>
              </w:rPr>
              <w:t>：农业、旅游业、养殖业、农副产品加工业、风能、光伏发电、水电等新能源。</w:t>
            </w:r>
          </w:p>
          <w:p w14:paraId="219E448B">
            <w:pPr>
              <w:pStyle w:val="8"/>
              <w:spacing w:after="0"/>
              <w:rPr>
                <w:rFonts w:eastAsia="仿宋"/>
                <w:sz w:val="21"/>
                <w:szCs w:val="21"/>
              </w:rPr>
            </w:pPr>
            <w:r>
              <w:rPr>
                <w:rFonts w:eastAsia="仿宋"/>
                <w:b/>
                <w:bCs/>
                <w:sz w:val="21"/>
                <w:szCs w:val="21"/>
              </w:rPr>
              <w:t>接履桥街道：</w:t>
            </w:r>
            <w:r>
              <w:rPr>
                <w:rFonts w:eastAsia="仿宋"/>
                <w:sz w:val="21"/>
                <w:szCs w:val="21"/>
              </w:rPr>
              <w:t>农业、养殖业、旅游业、农副产品加工、物流等。</w:t>
            </w:r>
          </w:p>
          <w:p w14:paraId="3660B24F">
            <w:pPr>
              <w:pStyle w:val="8"/>
              <w:spacing w:after="0"/>
              <w:rPr>
                <w:rFonts w:eastAsia="仿宋"/>
                <w:sz w:val="21"/>
                <w:szCs w:val="21"/>
              </w:rPr>
            </w:pPr>
            <w:r>
              <w:rPr>
                <w:rFonts w:eastAsia="仿宋"/>
                <w:b/>
                <w:bCs/>
                <w:sz w:val="21"/>
                <w:szCs w:val="21"/>
              </w:rPr>
              <w:t>菱角塘镇：</w:t>
            </w:r>
            <w:r>
              <w:rPr>
                <w:rFonts w:eastAsia="仿宋"/>
                <w:sz w:val="21"/>
                <w:szCs w:val="21"/>
              </w:rPr>
              <w:t>农业、旅游业、养殖业、农副食品加工业、竹木加工、建材、采石等。</w:t>
            </w:r>
          </w:p>
          <w:p w14:paraId="1D5CA379">
            <w:pPr>
              <w:pStyle w:val="8"/>
              <w:spacing w:after="0"/>
              <w:rPr>
                <w:rFonts w:eastAsia="仿宋"/>
                <w:sz w:val="21"/>
                <w:szCs w:val="21"/>
              </w:rPr>
            </w:pPr>
            <w:r>
              <w:rPr>
                <w:rFonts w:eastAsia="仿宋"/>
                <w:b/>
                <w:bCs/>
                <w:sz w:val="21"/>
                <w:szCs w:val="21"/>
              </w:rPr>
              <w:t>邮亭圩镇：</w:t>
            </w:r>
            <w:r>
              <w:rPr>
                <w:rFonts w:eastAsia="仿宋"/>
                <w:sz w:val="21"/>
                <w:szCs w:val="21"/>
              </w:rPr>
              <w:t>农业、林业、养殖业、农副食品加工业等。</w:t>
            </w:r>
          </w:p>
        </w:tc>
        <w:tc>
          <w:tcPr>
            <w:tcW w:w="3496" w:type="dxa"/>
            <w:vAlign w:val="center"/>
          </w:tcPr>
          <w:p w14:paraId="67D6DB65">
            <w:pPr>
              <w:pStyle w:val="8"/>
              <w:spacing w:after="0"/>
              <w:rPr>
                <w:rFonts w:eastAsia="仿宋"/>
                <w:sz w:val="21"/>
                <w:szCs w:val="21"/>
              </w:rPr>
            </w:pPr>
            <w:r>
              <w:rPr>
                <w:rFonts w:eastAsia="仿宋"/>
                <w:b/>
                <w:bCs/>
                <w:sz w:val="21"/>
                <w:szCs w:val="21"/>
              </w:rPr>
              <w:t>凼底乡：</w:t>
            </w:r>
            <w:r>
              <w:rPr>
                <w:rFonts w:eastAsia="仿宋"/>
                <w:sz w:val="21"/>
                <w:szCs w:val="21"/>
              </w:rPr>
              <w:t>辖区内小水电站下游流量不足。</w:t>
            </w:r>
          </w:p>
          <w:p w14:paraId="18D173D6">
            <w:pPr>
              <w:pStyle w:val="8"/>
              <w:spacing w:after="0"/>
              <w:rPr>
                <w:rFonts w:eastAsia="仿宋"/>
                <w:sz w:val="21"/>
                <w:szCs w:val="21"/>
              </w:rPr>
            </w:pPr>
            <w:r>
              <w:rPr>
                <w:rFonts w:eastAsia="仿宋"/>
                <w:b/>
                <w:bCs/>
                <w:sz w:val="21"/>
                <w:szCs w:val="21"/>
              </w:rPr>
              <w:t>菱角塘镇：</w:t>
            </w:r>
            <w:r>
              <w:rPr>
                <w:rFonts w:eastAsia="仿宋"/>
                <w:sz w:val="21"/>
                <w:szCs w:val="21"/>
              </w:rPr>
              <w:t>部分畜禽养殖场环保设施不完善。</w:t>
            </w:r>
          </w:p>
          <w:p w14:paraId="024DB4F4">
            <w:pPr>
              <w:pStyle w:val="8"/>
              <w:spacing w:after="0"/>
              <w:rPr>
                <w:rFonts w:eastAsia="仿宋"/>
                <w:sz w:val="21"/>
                <w:szCs w:val="21"/>
              </w:rPr>
            </w:pPr>
            <w:r>
              <w:rPr>
                <w:rFonts w:eastAsia="仿宋"/>
                <w:b/>
                <w:bCs/>
                <w:sz w:val="21"/>
                <w:szCs w:val="21"/>
              </w:rPr>
              <w:t>邮亭圩镇：</w:t>
            </w:r>
            <w:r>
              <w:rPr>
                <w:rFonts w:eastAsia="仿宋"/>
                <w:sz w:val="21"/>
                <w:szCs w:val="21"/>
              </w:rPr>
              <w:t>部分畜禽养殖场环保设施不完善。</w:t>
            </w:r>
          </w:p>
          <w:p w14:paraId="530C9026">
            <w:pPr>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bCs/>
                <w:szCs w:val="21"/>
              </w:rPr>
              <w:t>湖南零陵潇水国家湿地公园、</w:t>
            </w:r>
            <w:r>
              <w:rPr>
                <w:rFonts w:ascii="Times New Roman" w:hAnsi="Times New Roman" w:eastAsia="仿宋" w:cs="Times New Roman"/>
                <w:bCs/>
                <w:kern w:val="0"/>
                <w:szCs w:val="21"/>
              </w:rPr>
              <w:t>永州市零陵区潇水饮用水水源保护区等。</w:t>
            </w:r>
          </w:p>
        </w:tc>
      </w:tr>
      <w:tr w14:paraId="6CD0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D1D927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5"/>
            <w:vAlign w:val="center"/>
          </w:tcPr>
          <w:p w14:paraId="34AF6E48">
            <w:pPr>
              <w:widowControl/>
              <w:jc w:val="left"/>
              <w:rPr>
                <w:rFonts w:ascii="Times New Roman" w:hAnsi="Times New Roman" w:eastAsia="仿宋" w:cs="Times New Roman"/>
                <w:b/>
                <w:bCs/>
                <w:szCs w:val="21"/>
              </w:rPr>
            </w:pPr>
            <w:r>
              <w:rPr>
                <w:rFonts w:ascii="Times New Roman" w:hAnsi="Times New Roman" w:eastAsia="仿宋" w:cs="Times New Roman"/>
                <w:b/>
                <w:bCs/>
                <w:szCs w:val="21"/>
              </w:rPr>
              <w:t>凼底乡：</w:t>
            </w:r>
          </w:p>
          <w:p w14:paraId="50A92DDE">
            <w:pPr>
              <w:widowControl/>
              <w:jc w:val="left"/>
              <w:rPr>
                <w:rFonts w:ascii="Times New Roman" w:hAnsi="Times New Roman" w:eastAsia="仿宋" w:cs="Times New Roman"/>
                <w:szCs w:val="21"/>
              </w:rPr>
            </w:pPr>
            <w:r>
              <w:rPr>
                <w:rFonts w:ascii="Times New Roman" w:hAnsi="Times New Roman" w:eastAsia="仿宋" w:cs="Times New Roman"/>
                <w:kern w:val="0"/>
                <w:szCs w:val="21"/>
              </w:rPr>
              <w:t>红线/一般生态空间（/湿地公园/三区三线生态红线）；水环境优先保护区/水环境一般管控区；大气环境布局敏感重点管控区/大气环境优先保护区/大气环境受体敏感重点管控区；农用地优先保护区/一般管控区</w:t>
            </w:r>
          </w:p>
          <w:p w14:paraId="655172FE">
            <w:pPr>
              <w:widowControl/>
              <w:jc w:val="left"/>
              <w:rPr>
                <w:rFonts w:ascii="Times New Roman" w:hAnsi="Times New Roman" w:eastAsia="仿宋" w:cs="Times New Roman"/>
                <w:b/>
                <w:bCs/>
                <w:szCs w:val="21"/>
              </w:rPr>
            </w:pPr>
            <w:r>
              <w:rPr>
                <w:rFonts w:ascii="Times New Roman" w:hAnsi="Times New Roman" w:eastAsia="仿宋" w:cs="Times New Roman"/>
                <w:b/>
                <w:bCs/>
                <w:szCs w:val="21"/>
              </w:rPr>
              <w:t>接履桥街道：</w:t>
            </w:r>
          </w:p>
          <w:p w14:paraId="1468A1EB">
            <w:pPr>
              <w:widowControl/>
              <w:jc w:val="left"/>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生物多样性保护功能重要区/水土流失敏感区/原生态红线/湿地公园）；水环境优先保护区/水环境一般管控区；大气环境布局敏感重点管控区/大气环境受体敏感重点管控区/大气环境高排放重点管控区/大气环境优先保护区/其他区域；农用地优先保护区/其他重点管控区/一般管控区/建设用地重点管控区</w:t>
            </w:r>
          </w:p>
          <w:p w14:paraId="08249C2F">
            <w:pPr>
              <w:widowControl/>
              <w:rPr>
                <w:rFonts w:ascii="Times New Roman" w:hAnsi="Times New Roman" w:eastAsia="仿宋" w:cs="Times New Roman"/>
                <w:b/>
                <w:bCs/>
                <w:szCs w:val="21"/>
              </w:rPr>
            </w:pPr>
            <w:r>
              <w:rPr>
                <w:rFonts w:ascii="Times New Roman" w:hAnsi="Times New Roman" w:eastAsia="仿宋" w:cs="Times New Roman"/>
                <w:b/>
                <w:bCs/>
                <w:szCs w:val="21"/>
              </w:rPr>
              <w:t>菱角塘镇：</w:t>
            </w:r>
          </w:p>
          <w:p w14:paraId="63602981">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三区三线生态红线/水源涵养重要区/生物多样性保护功能重要区/湿地公园/原生态红线/水土流失敏感区）；水环境优先保护区/水环境一般管控区；大气环境优先保护区/大气环境高排放重点管控区/大气环境受体敏感重点管控区/大气环境布局敏感重点管控区；农用地优先保护区/建设用地重点管控区/其他重点管控区/一般管控区；高污染燃料禁燃区</w:t>
            </w:r>
          </w:p>
          <w:p w14:paraId="6BCF7100">
            <w:pPr>
              <w:widowControl/>
              <w:rPr>
                <w:rFonts w:ascii="Times New Roman" w:hAnsi="Times New Roman" w:eastAsia="仿宋" w:cs="Times New Roman"/>
                <w:b/>
                <w:bCs/>
                <w:szCs w:val="21"/>
              </w:rPr>
            </w:pPr>
            <w:r>
              <w:rPr>
                <w:rFonts w:ascii="Times New Roman" w:hAnsi="Times New Roman" w:eastAsia="仿宋" w:cs="Times New Roman"/>
                <w:b/>
                <w:bCs/>
                <w:szCs w:val="21"/>
              </w:rPr>
              <w:t>邮亭圩镇：</w:t>
            </w:r>
          </w:p>
          <w:p w14:paraId="3C45E10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自然保护区/生物多样性保护功能重要区/原生态红线/水土流失敏感区/森林公园）；水环境一般管控区；大气环境优先保护区/大气环境受体敏感重点管控区；农用地优先保护区/一般管控区</w:t>
            </w:r>
          </w:p>
        </w:tc>
      </w:tr>
      <w:tr w14:paraId="71AC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1088D10">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568" w:type="dxa"/>
            <w:gridSpan w:val="14"/>
            <w:vAlign w:val="center"/>
          </w:tcPr>
          <w:p w14:paraId="0494A356">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496" w:type="dxa"/>
            <w:vAlign w:val="center"/>
          </w:tcPr>
          <w:p w14:paraId="508FBCF4">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448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44761C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568" w:type="dxa"/>
            <w:gridSpan w:val="14"/>
            <w:vAlign w:val="center"/>
          </w:tcPr>
          <w:p w14:paraId="43B9213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b/>
                <w:kern w:val="0"/>
                <w:szCs w:val="21"/>
              </w:rPr>
              <w:t>永州市零陵区潇水饮用水水源保护区：</w:t>
            </w:r>
            <w:r>
              <w:rPr>
                <w:rFonts w:ascii="Times New Roman" w:hAnsi="Times New Roman" w:eastAsia="仿宋" w:cs="Times New Roman"/>
                <w:szCs w:val="21"/>
              </w:rPr>
              <w:t>严格控制旅游、航运、项目建设等开发行为，禁止燃油船舶在饮用水源保护区内游玩，严格控制二级保护区范围内新上旅游开发项目。禁止在南津渡水厂、娘子岭水厂取水口上游1000米，下游200米范围内垂钓、停泊渔船和电鱼捕鱼。</w:t>
            </w:r>
          </w:p>
          <w:p w14:paraId="5D46160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w:t>
            </w:r>
            <w:r>
              <w:rPr>
                <w:rFonts w:ascii="Times New Roman" w:hAnsi="Times New Roman" w:eastAsia="仿宋" w:cs="Times New Roman"/>
                <w:b/>
                <w:szCs w:val="21"/>
              </w:rPr>
              <w:t>湖南零陵潇水国家湿地公园：</w:t>
            </w:r>
            <w:r>
              <w:rPr>
                <w:rFonts w:ascii="Times New Roman" w:hAnsi="Times New Roman" w:eastAsia="仿宋" w:cs="Times New Roman"/>
                <w:szCs w:val="21"/>
              </w:rPr>
              <w:t>湿地公园内不得设立开发区、度假区。</w:t>
            </w:r>
            <w:r>
              <w:rPr>
                <w:rFonts w:ascii="Times New Roman" w:hAnsi="Times New Roman" w:eastAsia="仿宋" w:cs="Times New Roman"/>
                <w:szCs w:val="21"/>
                <w:shd w:val="clear" w:color="auto" w:fill="FFFFFF"/>
              </w:rPr>
              <w:t>禁止擅自在水面设置竹箔等障碍物，禁止非法引进外来物种或擅自放生，确需修建相关工程的，应当进行科学论证、评估，并征求相关部门的意见。已退耕还湿的地域禁止新建居民点或者其他永久性建筑物、构筑物。湿地公园管理局划定的植被恢复区，禁止放牧和种植。</w:t>
            </w:r>
          </w:p>
          <w:p w14:paraId="62A0A2D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（1.3）畜禽养殖布局应符合《零陵区畜禽规模养殖“三区”划定方案》。</w:t>
            </w:r>
          </w:p>
        </w:tc>
        <w:tc>
          <w:tcPr>
            <w:tcW w:w="3496" w:type="dxa"/>
            <w:vMerge w:val="restart"/>
            <w:vAlign w:val="center"/>
          </w:tcPr>
          <w:p w14:paraId="4307E63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（1.1）《永州市零陵区人民政府办公室印发关于零陵区饮用水水源保护区环境整治方案的通知》（零政办发〔2018〕17号）；</w:t>
            </w:r>
          </w:p>
          <w:p w14:paraId="48AA88E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（1.2）（2.1）《湖南零陵潇水国家湿地公园保护管理办法》；</w:t>
            </w:r>
          </w:p>
          <w:p w14:paraId="0990F65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（1.3）永州市零陵区人民政府办公室关于印发《零陵区畜禽规模养殖“三区”划定方案》的通知（零政办发〔2020〕1号）；</w:t>
            </w:r>
          </w:p>
          <w:p w14:paraId="6521C43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（2.2）《零陵区畜禽养殖污染防治规划（2021-2025年）》；</w:t>
            </w:r>
          </w:p>
          <w:p w14:paraId="6123EAE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（2.3）永州市人民政府办公室关于印发《永州市养殖水域滩涂规划2018－2030年）》的通知（永政办函〔2018〕64号）；</w:t>
            </w:r>
          </w:p>
          <w:p w14:paraId="4815A0EB">
            <w:pPr>
              <w:pStyle w:val="8"/>
              <w:spacing w:after="0"/>
              <w:rPr>
                <w:rFonts w:eastAsia="仿宋"/>
                <w:sz w:val="21"/>
                <w:szCs w:val="21"/>
              </w:rPr>
            </w:pPr>
            <w:r>
              <w:rPr>
                <w:rFonts w:eastAsia="仿宋"/>
                <w:sz w:val="21"/>
                <w:szCs w:val="21"/>
              </w:rPr>
              <w:t>（2.5）《零陵区“十四五”生态环境保护规划（2021-2025）》；</w:t>
            </w:r>
          </w:p>
          <w:p w14:paraId="4ED090F7">
            <w:pPr>
              <w:pStyle w:val="8"/>
              <w:rPr>
                <w:rFonts w:eastAsia="仿宋"/>
                <w:sz w:val="21"/>
                <w:szCs w:val="21"/>
              </w:rPr>
            </w:pPr>
            <w:r>
              <w:rPr>
                <w:rFonts w:eastAsia="仿宋"/>
                <w:sz w:val="21"/>
                <w:szCs w:val="21"/>
              </w:rPr>
              <w:t>（2.6）《零陵区畜禽养殖污染防治规划（2021-2025年）》；</w:t>
            </w:r>
          </w:p>
          <w:p w14:paraId="674D5AF1">
            <w:pPr>
              <w:pStyle w:val="8"/>
              <w:rPr>
                <w:rFonts w:eastAsia="仿宋"/>
                <w:sz w:val="21"/>
                <w:szCs w:val="21"/>
              </w:rPr>
            </w:pPr>
            <w:r>
              <w:rPr>
                <w:rFonts w:eastAsia="仿宋"/>
                <w:sz w:val="21"/>
                <w:szCs w:val="21"/>
              </w:rPr>
              <w:t>（3.1）《零陵区“十四五”生态环境保护规划（2021-2025）》；</w:t>
            </w:r>
          </w:p>
          <w:p w14:paraId="096EA936">
            <w:pPr>
              <w:rPr>
                <w:rFonts w:ascii="Times New Roman" w:hAnsi="Times New Roman" w:eastAsia="仿宋" w:cs="Times New Roman"/>
                <w:szCs w:val="21"/>
              </w:rPr>
            </w:pPr>
            <w:r>
              <w:rPr>
                <w:rFonts w:ascii="Times New Roman" w:hAnsi="Times New Roman" w:eastAsia="仿宋" w:cs="Times New Roman"/>
                <w:szCs w:val="21"/>
              </w:rPr>
              <w:t>（4.1.1）《永州市零陵区生态文明建设示范区规划说明书》；</w:t>
            </w:r>
          </w:p>
          <w:p w14:paraId="2A22A86C">
            <w:pPr>
              <w:pStyle w:val="8"/>
              <w:spacing w:after="0"/>
              <w:rPr>
                <w:rFonts w:eastAsia="仿宋"/>
                <w:sz w:val="21"/>
                <w:szCs w:val="21"/>
              </w:rPr>
            </w:pPr>
            <w:r>
              <w:rPr>
                <w:rFonts w:eastAsia="仿宋"/>
                <w:sz w:val="21"/>
                <w:szCs w:val="21"/>
              </w:rPr>
              <w:t>（4.1.2）《零陵区国民经济和社会发展第十四个五年规划和二0三五年远景目标纲要》；（4.1.3）《永州市人民政府关于调整高污染燃料禁燃区的通告》（永政函〔2020〕30号）；</w:t>
            </w:r>
          </w:p>
          <w:p w14:paraId="3B312A9D">
            <w:pPr>
              <w:tabs>
                <w:tab w:val="left" w:pos="1021"/>
              </w:tabs>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6567D4E4">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（4.2.2）《永州市小水电清理整改工作方案》（永水发〔2019〕6号）；零陵区“十四五”生态环境保护规划（2021-2025）》。</w:t>
            </w:r>
          </w:p>
        </w:tc>
      </w:tr>
      <w:tr w14:paraId="00B7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9" w:hRule="atLeast"/>
          <w:jc w:val="center"/>
        </w:trPr>
        <w:tc>
          <w:tcPr>
            <w:tcW w:w="1129" w:type="dxa"/>
            <w:vAlign w:val="center"/>
          </w:tcPr>
          <w:p w14:paraId="0966090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568" w:type="dxa"/>
            <w:gridSpan w:val="14"/>
            <w:vAlign w:val="center"/>
          </w:tcPr>
          <w:p w14:paraId="5C98B0A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
                <w:szCs w:val="21"/>
              </w:rPr>
              <w:t>湖南零陵潇水国家湿地公园：</w:t>
            </w:r>
            <w:r>
              <w:rPr>
                <w:rFonts w:ascii="Times New Roman" w:hAnsi="Times New Roman" w:eastAsia="仿宋" w:cs="Times New Roman"/>
                <w:szCs w:val="21"/>
              </w:rPr>
              <w:t>禁止任意存储固体废弃物，对农用薄膜和渔网等不可降解的废弃物，使用者应当采取回收利用等措施。湿地公园内航行的船舶，应当配置符合国家规定的防污设备，不得排放污染物、生活污水及固体垃圾。</w:t>
            </w:r>
          </w:p>
          <w:p w14:paraId="07D56ED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现有规模化畜禽养殖场（小区）根据污染治理需要，配套建设粪便污水贮存、处理、利用设施，配套设施比例达到95%以上；加强畜禽养殖场污水的资源化利用。提升畜禽粪污资源利用水平，到2025年，全区畜禽粪污综合利用率达到90%以上。</w:t>
            </w:r>
          </w:p>
          <w:p w14:paraId="224FD30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（2.3）池塘及适宜养殖山塘、水库，全面推行生态养殖、减排增效技术，提高水产养殖生产水平，开展养殖尾水处理，池塘尾水排放应符合《淡水池塘养殖水排放要求》。</w:t>
            </w:r>
          </w:p>
          <w:p w14:paraId="41FF090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（2.5）建立秸秆综合利用长效机制，全面遏制焚烧秸秆现象。2025年之前，秸秆综合利用率达到85%以上。</w:t>
            </w:r>
          </w:p>
          <w:p w14:paraId="1FD64E98">
            <w:pPr>
              <w:pStyle w:val="8"/>
              <w:ind w:firstLine="420" w:firstLineChars="200"/>
              <w:rPr>
                <w:rFonts w:eastAsia="仿宋"/>
                <w:sz w:val="21"/>
                <w:szCs w:val="21"/>
              </w:rPr>
            </w:pPr>
            <w:r>
              <w:rPr>
                <w:rFonts w:eastAsia="仿宋"/>
                <w:sz w:val="21"/>
                <w:szCs w:val="21"/>
              </w:rPr>
              <w:t>（2.6）</w:t>
            </w:r>
            <w:r>
              <w:rPr>
                <w:rFonts w:eastAsia="仿宋"/>
                <w:b/>
                <w:bCs/>
                <w:sz w:val="21"/>
                <w:szCs w:val="21"/>
              </w:rPr>
              <w:t>邮亭圩镇：</w:t>
            </w:r>
            <w:r>
              <w:rPr>
                <w:rFonts w:eastAsia="仿宋"/>
                <w:sz w:val="21"/>
                <w:szCs w:val="21"/>
              </w:rPr>
              <w:t>2025年底前，必须完善病死畜禽集中无害化处理公共设施，设立病死畜禽集中收集点，确保2025年规模畜禽养殖病死畜禽集中无害化处理率达到80%以上。</w:t>
            </w:r>
          </w:p>
        </w:tc>
        <w:tc>
          <w:tcPr>
            <w:tcW w:w="3496" w:type="dxa"/>
            <w:vMerge w:val="continue"/>
            <w:vAlign w:val="center"/>
          </w:tcPr>
          <w:p w14:paraId="0E6661DF">
            <w:pPr>
              <w:widowControl/>
              <w:jc w:val="left"/>
              <w:rPr>
                <w:rFonts w:ascii="Times New Roman" w:hAnsi="Times New Roman" w:eastAsia="仿宋" w:cs="Times New Roman"/>
                <w:szCs w:val="21"/>
              </w:rPr>
            </w:pPr>
          </w:p>
        </w:tc>
      </w:tr>
      <w:tr w14:paraId="3E70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DE8B18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568" w:type="dxa"/>
            <w:gridSpan w:val="14"/>
            <w:vAlign w:val="center"/>
          </w:tcPr>
          <w:p w14:paraId="7C8EA117">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（3.1）建立冶炼、化工、危险废物等行业环境风险企业台帐，实行一厂一册跟踪监管，严防环境污染事件发生。</w:t>
            </w:r>
          </w:p>
        </w:tc>
        <w:tc>
          <w:tcPr>
            <w:tcW w:w="3496" w:type="dxa"/>
            <w:vMerge w:val="continue"/>
            <w:vAlign w:val="center"/>
          </w:tcPr>
          <w:p w14:paraId="6FD00DD6">
            <w:pPr>
              <w:widowControl/>
              <w:jc w:val="left"/>
              <w:rPr>
                <w:rFonts w:ascii="Times New Roman" w:hAnsi="Times New Roman" w:eastAsia="仿宋" w:cs="Times New Roman"/>
                <w:szCs w:val="21"/>
              </w:rPr>
            </w:pPr>
          </w:p>
        </w:tc>
      </w:tr>
      <w:tr w14:paraId="749C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7" w:hRule="atLeast"/>
          <w:jc w:val="center"/>
        </w:trPr>
        <w:tc>
          <w:tcPr>
            <w:tcW w:w="1129" w:type="dxa"/>
            <w:vAlign w:val="center"/>
          </w:tcPr>
          <w:p w14:paraId="565C631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568" w:type="dxa"/>
            <w:gridSpan w:val="14"/>
            <w:vAlign w:val="center"/>
          </w:tcPr>
          <w:p w14:paraId="34DC1518">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（4.1）能源：</w:t>
            </w:r>
          </w:p>
          <w:p w14:paraId="555B977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实行低硫煤政策，禁止使用含硫量大于1%，含灰量大于20%的燃煤；零陵城区内禁止新建一切燃煤设施，全区已建1吨/小时以上燃煤锅炉必须全面实施脱硫除尘；1吨/小时以下的锅炉必须全部使用清洁燃料，加强集中供热工程建设。</w:t>
            </w:r>
          </w:p>
          <w:p w14:paraId="66C491B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szCs w:val="21"/>
                <w:lang w:val="zh-TW"/>
              </w:rPr>
              <w:t>实施能源消耗总量和强度双控行动，“十四五”期间全区单位国内生产总值能耗累计降低15%，能耗总量控制在市定标准以内。</w:t>
            </w:r>
          </w:p>
          <w:p w14:paraId="36B7755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（4.1.3）高污染燃料禁燃区严格执行《永州市人民政府关于调整高污染燃料禁燃区的通告》（永政函〔2020〕30号）的规定。</w:t>
            </w:r>
          </w:p>
          <w:p w14:paraId="239F5322">
            <w:pPr>
              <w:tabs>
                <w:tab w:val="left" w:pos="1021"/>
              </w:tabs>
              <w:ind w:firstLine="422" w:firstLineChars="200"/>
              <w:rPr>
                <w:rFonts w:ascii="Times New Roman" w:hAnsi="Times New Roman" w:eastAsia="仿宋" w:cs="Times New Roman"/>
                <w:b/>
                <w:bCs/>
                <w:szCs w:val="21"/>
              </w:rPr>
            </w:pPr>
            <w:bookmarkStart w:id="11" w:name="_Hlk58573271"/>
            <w:r>
              <w:rPr>
                <w:rFonts w:ascii="Times New Roman" w:hAnsi="Times New Roman" w:eastAsia="仿宋" w:cs="Times New Roman"/>
                <w:b/>
                <w:bCs/>
                <w:szCs w:val="21"/>
              </w:rPr>
              <w:t>（4.2）水资源：</w:t>
            </w:r>
          </w:p>
          <w:p w14:paraId="029167D0">
            <w:pPr>
              <w:tabs>
                <w:tab w:val="left" w:pos="1021"/>
              </w:tabs>
              <w:ind w:firstLine="422" w:firstLineChars="200"/>
              <w:rPr>
                <w:rFonts w:ascii="Times New Roman" w:hAnsi="Times New Roman" w:eastAsia="仿宋" w:cs="Times New Roman"/>
                <w:b/>
                <w:bCs/>
                <w:szCs w:val="21"/>
              </w:rPr>
            </w:pPr>
            <w:r>
              <w:rPr>
                <w:rFonts w:ascii="Times New Roman" w:hAnsi="Times New Roman" w:eastAsia="仿宋" w:cs="Times New Roman"/>
                <w:b/>
                <w:bCs/>
                <w:szCs w:val="21"/>
              </w:rPr>
              <w:t>（4.2.1）</w:t>
            </w:r>
            <w:r>
              <w:rPr>
                <w:rFonts w:ascii="Times New Roman" w:hAnsi="Times New Roman" w:eastAsia="仿宋" w:cs="Times New Roman"/>
                <w:szCs w:val="21"/>
              </w:rPr>
              <w:t>到2025年，零陵区用水总量控制在32676万立方米以内，农业用水总量控制在23251万立方米以内，万元地区生产总值用水量、万元工业增加值用水量分别比2020年降低19.80%、8.87%，农田灌溉水有效利用系数为0.548。</w:t>
            </w:r>
          </w:p>
          <w:p w14:paraId="6AE18517">
            <w:pPr>
              <w:tabs>
                <w:tab w:val="left" w:pos="1021"/>
              </w:tabs>
              <w:ind w:firstLine="422" w:firstLineChars="200"/>
              <w:rPr>
                <w:rFonts w:ascii="Times New Roman" w:hAnsi="Times New Roman" w:eastAsia="仿宋" w:cs="Times New Roman"/>
                <w:szCs w:val="21"/>
              </w:rPr>
            </w:pPr>
            <w:r>
              <w:rPr>
                <w:rFonts w:ascii="Times New Roman" w:hAnsi="Times New Roman" w:eastAsia="仿宋" w:cs="Times New Roman"/>
                <w:b/>
                <w:bCs/>
                <w:szCs w:val="21"/>
              </w:rPr>
              <w:t>（4.2.2）</w:t>
            </w:r>
            <w:r>
              <w:rPr>
                <w:rFonts w:ascii="Times New Roman" w:hAnsi="Times New Roman" w:eastAsia="仿宋" w:cs="Times New Roman"/>
                <w:szCs w:val="21"/>
              </w:rPr>
              <w:t>凼底乡按要求进行小水电整治，确保下泄生态流量满足水环境和水生态保护要求。</w:t>
            </w:r>
            <w:bookmarkEnd w:id="11"/>
            <w:r>
              <w:rPr>
                <w:rFonts w:ascii="Times New Roman" w:hAnsi="Times New Roman" w:eastAsia="仿宋" w:cs="Times New Roman"/>
                <w:szCs w:val="21"/>
              </w:rPr>
              <w:t>加强生态流量保障。明确闸坝、水库生态调度任务。推进小水电站整治、改造。</w:t>
            </w:r>
          </w:p>
          <w:p w14:paraId="3E3E403E">
            <w:pPr>
              <w:tabs>
                <w:tab w:val="left" w:pos="1021"/>
              </w:tabs>
              <w:rPr>
                <w:rFonts w:ascii="Times New Roman" w:hAnsi="Times New Roman" w:eastAsia="仿宋" w:cs="Times New Roman"/>
                <w:szCs w:val="21"/>
              </w:rPr>
            </w:pPr>
          </w:p>
        </w:tc>
        <w:tc>
          <w:tcPr>
            <w:tcW w:w="3496" w:type="dxa"/>
            <w:vMerge w:val="continue"/>
            <w:vAlign w:val="center"/>
          </w:tcPr>
          <w:p w14:paraId="1275C5EE">
            <w:pPr>
              <w:widowControl/>
              <w:jc w:val="left"/>
              <w:rPr>
                <w:rFonts w:ascii="Times New Roman" w:hAnsi="Times New Roman" w:eastAsia="仿宋" w:cs="Times New Roman"/>
                <w:szCs w:val="21"/>
              </w:rPr>
            </w:pPr>
          </w:p>
        </w:tc>
      </w:tr>
      <w:tr w14:paraId="54FC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4308960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276" w:type="dxa"/>
            <w:vMerge w:val="restart"/>
            <w:vAlign w:val="center"/>
          </w:tcPr>
          <w:p w14:paraId="6D044D1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4"/>
            <w:vAlign w:val="center"/>
          </w:tcPr>
          <w:p w14:paraId="22AC19B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50" w:type="dxa"/>
            <w:gridSpan w:val="2"/>
            <w:vMerge w:val="restart"/>
            <w:vAlign w:val="center"/>
          </w:tcPr>
          <w:p w14:paraId="32CC053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gridSpan w:val="2"/>
            <w:vMerge w:val="restart"/>
            <w:vAlign w:val="center"/>
          </w:tcPr>
          <w:p w14:paraId="158B042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40BC025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66" w:type="dxa"/>
            <w:gridSpan w:val="2"/>
            <w:vMerge w:val="restart"/>
            <w:vAlign w:val="center"/>
          </w:tcPr>
          <w:p w14:paraId="5A5DC6F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132" w:type="dxa"/>
            <w:gridSpan w:val="2"/>
            <w:vMerge w:val="restart"/>
            <w:vAlign w:val="center"/>
          </w:tcPr>
          <w:p w14:paraId="4ED5EF5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96" w:type="dxa"/>
            <w:vMerge w:val="restart"/>
            <w:vAlign w:val="center"/>
          </w:tcPr>
          <w:p w14:paraId="06BD04B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B9E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29DCD9F5">
            <w:pPr>
              <w:widowControl/>
              <w:jc w:val="left"/>
              <w:rPr>
                <w:rFonts w:ascii="Times New Roman" w:hAnsi="Times New Roman" w:eastAsia="仿宋" w:cs="Times New Roman"/>
                <w:b/>
                <w:kern w:val="0"/>
                <w:szCs w:val="21"/>
              </w:rPr>
            </w:pPr>
          </w:p>
        </w:tc>
        <w:tc>
          <w:tcPr>
            <w:tcW w:w="1276" w:type="dxa"/>
            <w:vMerge w:val="continue"/>
            <w:vAlign w:val="center"/>
          </w:tcPr>
          <w:p w14:paraId="141FA0E5">
            <w:pPr>
              <w:widowControl/>
              <w:jc w:val="left"/>
              <w:rPr>
                <w:rFonts w:ascii="Times New Roman" w:hAnsi="Times New Roman" w:eastAsia="仿宋" w:cs="Times New Roman"/>
                <w:b/>
                <w:kern w:val="0"/>
                <w:szCs w:val="21"/>
              </w:rPr>
            </w:pPr>
          </w:p>
        </w:tc>
        <w:tc>
          <w:tcPr>
            <w:tcW w:w="425" w:type="dxa"/>
            <w:gridSpan w:val="2"/>
            <w:vAlign w:val="center"/>
          </w:tcPr>
          <w:p w14:paraId="5997414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58DEA10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517F2CC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50" w:type="dxa"/>
            <w:gridSpan w:val="2"/>
            <w:vMerge w:val="continue"/>
            <w:vAlign w:val="center"/>
          </w:tcPr>
          <w:p w14:paraId="7B1983E4">
            <w:pPr>
              <w:widowControl/>
              <w:jc w:val="left"/>
              <w:rPr>
                <w:rFonts w:ascii="Times New Roman" w:hAnsi="Times New Roman" w:eastAsia="仿宋" w:cs="Times New Roman"/>
                <w:b/>
                <w:kern w:val="0"/>
                <w:szCs w:val="21"/>
              </w:rPr>
            </w:pPr>
          </w:p>
        </w:tc>
        <w:tc>
          <w:tcPr>
            <w:tcW w:w="1134" w:type="dxa"/>
            <w:gridSpan w:val="2"/>
            <w:vMerge w:val="continue"/>
            <w:vAlign w:val="center"/>
          </w:tcPr>
          <w:p w14:paraId="5D57BB3D">
            <w:pPr>
              <w:widowControl/>
              <w:jc w:val="left"/>
              <w:rPr>
                <w:rFonts w:ascii="Times New Roman" w:hAnsi="Times New Roman" w:eastAsia="仿宋" w:cs="Times New Roman"/>
                <w:b/>
                <w:kern w:val="0"/>
                <w:szCs w:val="21"/>
              </w:rPr>
            </w:pPr>
          </w:p>
        </w:tc>
        <w:tc>
          <w:tcPr>
            <w:tcW w:w="1134" w:type="dxa"/>
            <w:vMerge w:val="continue"/>
            <w:vAlign w:val="center"/>
          </w:tcPr>
          <w:p w14:paraId="0820E01D">
            <w:pPr>
              <w:widowControl/>
              <w:jc w:val="left"/>
              <w:rPr>
                <w:rFonts w:ascii="Times New Roman" w:hAnsi="Times New Roman" w:eastAsia="仿宋" w:cs="Times New Roman"/>
                <w:b/>
                <w:kern w:val="0"/>
                <w:szCs w:val="21"/>
              </w:rPr>
            </w:pPr>
          </w:p>
        </w:tc>
        <w:tc>
          <w:tcPr>
            <w:tcW w:w="1766" w:type="dxa"/>
            <w:gridSpan w:val="2"/>
            <w:vMerge w:val="continue"/>
            <w:vAlign w:val="center"/>
          </w:tcPr>
          <w:p w14:paraId="1B205E70">
            <w:pPr>
              <w:widowControl/>
              <w:jc w:val="left"/>
              <w:rPr>
                <w:rFonts w:ascii="Times New Roman" w:hAnsi="Times New Roman" w:eastAsia="仿宋" w:cs="Times New Roman"/>
                <w:b/>
                <w:kern w:val="0"/>
                <w:szCs w:val="21"/>
              </w:rPr>
            </w:pPr>
          </w:p>
        </w:tc>
        <w:tc>
          <w:tcPr>
            <w:tcW w:w="2132" w:type="dxa"/>
            <w:gridSpan w:val="2"/>
            <w:vMerge w:val="continue"/>
            <w:vAlign w:val="center"/>
          </w:tcPr>
          <w:p w14:paraId="32FF26F7">
            <w:pPr>
              <w:widowControl/>
              <w:jc w:val="left"/>
              <w:rPr>
                <w:rFonts w:ascii="Times New Roman" w:hAnsi="Times New Roman" w:eastAsia="仿宋" w:cs="Times New Roman"/>
                <w:b/>
                <w:kern w:val="0"/>
                <w:szCs w:val="21"/>
              </w:rPr>
            </w:pPr>
          </w:p>
        </w:tc>
        <w:tc>
          <w:tcPr>
            <w:tcW w:w="3496" w:type="dxa"/>
            <w:vMerge w:val="continue"/>
            <w:vAlign w:val="center"/>
          </w:tcPr>
          <w:p w14:paraId="0CE59FE5">
            <w:pPr>
              <w:widowControl/>
              <w:jc w:val="left"/>
              <w:rPr>
                <w:rFonts w:ascii="Times New Roman" w:hAnsi="Times New Roman" w:eastAsia="仿宋" w:cs="Times New Roman"/>
                <w:b/>
                <w:kern w:val="0"/>
                <w:szCs w:val="21"/>
              </w:rPr>
            </w:pPr>
          </w:p>
        </w:tc>
      </w:tr>
      <w:tr w14:paraId="47A1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3DDC636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ZH43110230003</w:t>
            </w:r>
          </w:p>
        </w:tc>
        <w:tc>
          <w:tcPr>
            <w:tcW w:w="1276" w:type="dxa"/>
            <w:vAlign w:val="center"/>
          </w:tcPr>
          <w:p w14:paraId="4C60016C">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大庆坪乡/石岩头镇/水口山镇/珠山镇</w:t>
            </w:r>
          </w:p>
        </w:tc>
        <w:tc>
          <w:tcPr>
            <w:tcW w:w="425" w:type="dxa"/>
            <w:gridSpan w:val="2"/>
            <w:vAlign w:val="center"/>
          </w:tcPr>
          <w:p w14:paraId="0F5CB2C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w:t>
            </w:r>
          </w:p>
          <w:p w14:paraId="0BAB63F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省</w:t>
            </w:r>
          </w:p>
        </w:tc>
        <w:tc>
          <w:tcPr>
            <w:tcW w:w="426" w:type="dxa"/>
            <w:vAlign w:val="center"/>
          </w:tcPr>
          <w:p w14:paraId="0EE4574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3E13631A">
            <w:pPr>
              <w:widowControl/>
              <w:jc w:val="center"/>
              <w:rPr>
                <w:rFonts w:ascii="Times New Roman" w:hAnsi="Times New Roman" w:eastAsia="仿宋" w:cs="Times New Roman"/>
                <w:szCs w:val="21"/>
              </w:rPr>
            </w:pPr>
            <w:r>
              <w:rPr>
                <w:rFonts w:ascii="Times New Roman" w:hAnsi="Times New Roman" w:eastAsia="仿宋" w:cs="Times New Roman"/>
                <w:szCs w:val="21"/>
              </w:rPr>
              <w:t>零陵区</w:t>
            </w:r>
          </w:p>
        </w:tc>
        <w:tc>
          <w:tcPr>
            <w:tcW w:w="850" w:type="dxa"/>
            <w:gridSpan w:val="2"/>
            <w:vAlign w:val="center"/>
          </w:tcPr>
          <w:p w14:paraId="178A1B3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gridSpan w:val="2"/>
            <w:vAlign w:val="center"/>
          </w:tcPr>
          <w:p w14:paraId="0F1E46C0">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584.73</w:t>
            </w:r>
          </w:p>
        </w:tc>
        <w:tc>
          <w:tcPr>
            <w:tcW w:w="1134" w:type="dxa"/>
            <w:vAlign w:val="center"/>
          </w:tcPr>
          <w:p w14:paraId="51AD0F6F">
            <w:pPr>
              <w:widowControl/>
              <w:jc w:val="center"/>
              <w:rPr>
                <w:rFonts w:ascii="Times New Roman" w:hAnsi="Times New Roman" w:eastAsia="仿宋" w:cs="Times New Roman"/>
                <w:szCs w:val="21"/>
              </w:rPr>
            </w:pPr>
            <w:r>
              <w:rPr>
                <w:rFonts w:ascii="Times New Roman" w:hAnsi="Times New Roman" w:eastAsia="仿宋" w:cs="Times New Roman"/>
                <w:szCs w:val="21"/>
              </w:rPr>
              <w:t>大庆坪乡/石岩头镇/水口山镇/珠山镇</w:t>
            </w:r>
          </w:p>
        </w:tc>
        <w:tc>
          <w:tcPr>
            <w:tcW w:w="1766" w:type="dxa"/>
            <w:gridSpan w:val="2"/>
            <w:vAlign w:val="center"/>
          </w:tcPr>
          <w:p w14:paraId="004D96DB">
            <w:pPr>
              <w:widowControl/>
              <w:jc w:val="left"/>
              <w:rPr>
                <w:rFonts w:ascii="Times New Roman" w:hAnsi="Times New Roman" w:eastAsia="仿宋" w:cs="Times New Roman"/>
                <w:kern w:val="0"/>
                <w:szCs w:val="21"/>
              </w:rPr>
            </w:pPr>
            <w:r>
              <w:rPr>
                <w:rFonts w:ascii="Times New Roman" w:hAnsi="Times New Roman" w:eastAsia="仿宋" w:cs="Times New Roman"/>
                <w:szCs w:val="21"/>
              </w:rPr>
              <w:t>大庆坪乡：</w:t>
            </w:r>
            <w:r>
              <w:rPr>
                <w:rFonts w:ascii="Times New Roman" w:hAnsi="Times New Roman" w:eastAsia="仿宋" w:cs="Times New Roman"/>
                <w:kern w:val="0"/>
                <w:szCs w:val="21"/>
              </w:rPr>
              <w:t>农产品主产区/历史文化资源富集区；</w:t>
            </w:r>
            <w:r>
              <w:rPr>
                <w:rFonts w:ascii="Times New Roman" w:hAnsi="Times New Roman" w:eastAsia="仿宋" w:cs="Times New Roman"/>
                <w:szCs w:val="21"/>
              </w:rPr>
              <w:t>石岩头镇：</w:t>
            </w:r>
            <w:r>
              <w:rPr>
                <w:rFonts w:ascii="Times New Roman" w:hAnsi="Times New Roman" w:eastAsia="仿宋" w:cs="Times New Roman"/>
                <w:kern w:val="0"/>
                <w:szCs w:val="21"/>
              </w:rPr>
              <w:t>农产品主产区；</w:t>
            </w:r>
            <w:r>
              <w:rPr>
                <w:rFonts w:ascii="Times New Roman" w:hAnsi="Times New Roman" w:eastAsia="仿宋" w:cs="Times New Roman"/>
                <w:szCs w:val="21"/>
              </w:rPr>
              <w:t>水口山镇：</w:t>
            </w:r>
            <w:r>
              <w:rPr>
                <w:rFonts w:ascii="Times New Roman" w:hAnsi="Times New Roman" w:eastAsia="仿宋" w:cs="Times New Roman"/>
                <w:kern w:val="0"/>
                <w:szCs w:val="21"/>
              </w:rPr>
              <w:t>城市化地区/历史文化资源富集区/能源资源富集区；</w:t>
            </w:r>
            <w:r>
              <w:rPr>
                <w:rFonts w:ascii="Times New Roman" w:hAnsi="Times New Roman" w:eastAsia="仿宋" w:cs="Times New Roman"/>
                <w:szCs w:val="21"/>
              </w:rPr>
              <w:t>珠山镇：</w:t>
            </w:r>
            <w:r>
              <w:rPr>
                <w:rFonts w:ascii="Times New Roman" w:hAnsi="Times New Roman" w:eastAsia="仿宋" w:cs="Times New Roman"/>
                <w:kern w:val="0"/>
                <w:szCs w:val="21"/>
              </w:rPr>
              <w:t>城市化地区</w:t>
            </w:r>
          </w:p>
        </w:tc>
        <w:tc>
          <w:tcPr>
            <w:tcW w:w="2132" w:type="dxa"/>
            <w:gridSpan w:val="2"/>
            <w:vAlign w:val="center"/>
          </w:tcPr>
          <w:p w14:paraId="1E614688">
            <w:pPr>
              <w:pStyle w:val="8"/>
              <w:spacing w:after="0"/>
              <w:rPr>
                <w:rFonts w:eastAsia="仿宋"/>
                <w:sz w:val="21"/>
                <w:szCs w:val="21"/>
              </w:rPr>
            </w:pPr>
            <w:r>
              <w:rPr>
                <w:rFonts w:eastAsia="仿宋"/>
                <w:b/>
                <w:bCs/>
                <w:sz w:val="21"/>
                <w:szCs w:val="21"/>
              </w:rPr>
              <w:t>大庆坪乡：</w:t>
            </w:r>
            <w:r>
              <w:rPr>
                <w:rFonts w:eastAsia="仿宋"/>
                <w:sz w:val="21"/>
                <w:szCs w:val="21"/>
              </w:rPr>
              <w:t>农业、林业、旅游业、商贸、采石、石材加工、水电开发等。</w:t>
            </w:r>
          </w:p>
          <w:p w14:paraId="3B1E45FE">
            <w:pPr>
              <w:pStyle w:val="8"/>
              <w:spacing w:after="0"/>
              <w:rPr>
                <w:rFonts w:eastAsia="仿宋"/>
                <w:sz w:val="21"/>
                <w:szCs w:val="21"/>
              </w:rPr>
            </w:pPr>
            <w:r>
              <w:rPr>
                <w:rFonts w:eastAsia="仿宋"/>
                <w:b/>
                <w:bCs/>
                <w:sz w:val="21"/>
                <w:szCs w:val="21"/>
              </w:rPr>
              <w:t>石岩头镇：</w:t>
            </w:r>
            <w:r>
              <w:rPr>
                <w:rFonts w:eastAsia="仿宋"/>
                <w:sz w:val="21"/>
                <w:szCs w:val="21"/>
              </w:rPr>
              <w:t>农业、旅游业、养殖业等。</w:t>
            </w:r>
          </w:p>
          <w:p w14:paraId="46CA06A8">
            <w:pPr>
              <w:pStyle w:val="8"/>
              <w:spacing w:after="0"/>
              <w:rPr>
                <w:rFonts w:eastAsia="仿宋"/>
                <w:sz w:val="21"/>
                <w:szCs w:val="21"/>
              </w:rPr>
            </w:pPr>
            <w:r>
              <w:rPr>
                <w:rFonts w:eastAsia="仿宋"/>
                <w:b/>
                <w:bCs/>
                <w:sz w:val="21"/>
                <w:szCs w:val="21"/>
              </w:rPr>
              <w:t>水口山镇：</w:t>
            </w:r>
            <w:r>
              <w:rPr>
                <w:rFonts w:eastAsia="仿宋"/>
                <w:sz w:val="21"/>
                <w:szCs w:val="21"/>
              </w:rPr>
              <w:t>采矿业、矿产品加工、农业、养殖业、林业、旅游业、农副产品加工、商贸等。</w:t>
            </w:r>
          </w:p>
          <w:p w14:paraId="66639FC8">
            <w:pPr>
              <w:pStyle w:val="8"/>
              <w:spacing w:after="0"/>
              <w:rPr>
                <w:rFonts w:eastAsia="仿宋"/>
                <w:sz w:val="21"/>
                <w:szCs w:val="21"/>
              </w:rPr>
            </w:pPr>
            <w:r>
              <w:rPr>
                <w:rFonts w:eastAsia="仿宋"/>
                <w:b/>
                <w:bCs/>
                <w:sz w:val="21"/>
                <w:szCs w:val="21"/>
              </w:rPr>
              <w:t>珠山镇：</w:t>
            </w:r>
            <w:r>
              <w:rPr>
                <w:rFonts w:eastAsia="仿宋"/>
                <w:sz w:val="21"/>
                <w:szCs w:val="21"/>
              </w:rPr>
              <w:t>农业、旅游业、农副食品加工业、商贸、采矿业、养殖业、矿产品加工业等。</w:t>
            </w:r>
          </w:p>
        </w:tc>
        <w:tc>
          <w:tcPr>
            <w:tcW w:w="3496" w:type="dxa"/>
            <w:vAlign w:val="center"/>
          </w:tcPr>
          <w:p w14:paraId="145E12CD">
            <w:pPr>
              <w:rPr>
                <w:rFonts w:ascii="Times New Roman" w:hAnsi="Times New Roman" w:eastAsia="仿宋" w:cs="Times New Roman"/>
                <w:szCs w:val="21"/>
              </w:rPr>
            </w:pPr>
            <w:r>
              <w:rPr>
                <w:rFonts w:ascii="Times New Roman" w:hAnsi="Times New Roman" w:eastAsia="仿宋" w:cs="Times New Roman"/>
                <w:b/>
                <w:bCs/>
                <w:kern w:val="0"/>
                <w:szCs w:val="21"/>
              </w:rPr>
              <w:t>大庆坪乡：</w:t>
            </w:r>
            <w:r>
              <w:rPr>
                <w:rFonts w:ascii="Times New Roman" w:hAnsi="Times New Roman" w:eastAsia="仿宋" w:cs="Times New Roman"/>
                <w:kern w:val="0"/>
                <w:szCs w:val="21"/>
              </w:rPr>
              <w:t>农村畜禽养殖污染；</w:t>
            </w:r>
            <w:r>
              <w:rPr>
                <w:rFonts w:ascii="Times New Roman" w:hAnsi="Times New Roman" w:eastAsia="仿宋" w:cs="Times New Roman"/>
                <w:szCs w:val="21"/>
              </w:rPr>
              <w:t>秸秆焚烧。</w:t>
            </w:r>
          </w:p>
          <w:p w14:paraId="67C12D78">
            <w:pPr>
              <w:rPr>
                <w:rFonts w:ascii="Times New Roman" w:hAnsi="Times New Roman" w:eastAsia="仿宋" w:cs="Times New Roman"/>
                <w:kern w:val="0"/>
                <w:szCs w:val="21"/>
              </w:rPr>
            </w:pPr>
            <w:r>
              <w:rPr>
                <w:rFonts w:ascii="Times New Roman" w:hAnsi="Times New Roman" w:eastAsia="仿宋" w:cs="Times New Roman"/>
                <w:b/>
                <w:bCs/>
                <w:kern w:val="0"/>
                <w:szCs w:val="21"/>
              </w:rPr>
              <w:t>各乡镇：</w:t>
            </w:r>
            <w:r>
              <w:rPr>
                <w:rFonts w:ascii="Times New Roman" w:hAnsi="Times New Roman" w:eastAsia="仿宋" w:cs="Times New Roman"/>
                <w:szCs w:val="21"/>
              </w:rPr>
              <w:t>1、</w:t>
            </w:r>
            <w:r>
              <w:rPr>
                <w:rFonts w:ascii="Times New Roman" w:hAnsi="Times New Roman" w:eastAsia="仿宋" w:cs="Times New Roman"/>
                <w:bCs/>
                <w:szCs w:val="21"/>
              </w:rPr>
              <w:t>关闭矿山、企业遗留的含重金属废渣、尾矿未得到彻底集中、安全处置，</w:t>
            </w:r>
            <w:r>
              <w:rPr>
                <w:rFonts w:ascii="Times New Roman" w:hAnsi="Times New Roman" w:eastAsia="仿宋" w:cs="Times New Roman"/>
                <w:kern w:val="0"/>
                <w:szCs w:val="21"/>
              </w:rPr>
              <w:t>部分尾矿库未安全封场，</w:t>
            </w:r>
            <w:r>
              <w:rPr>
                <w:rFonts w:ascii="Times New Roman" w:hAnsi="Times New Roman" w:eastAsia="仿宋" w:cs="Times New Roman"/>
                <w:bCs/>
                <w:szCs w:val="21"/>
              </w:rPr>
              <w:t>对地表水、地下水产生污染风险；2、</w:t>
            </w:r>
            <w:r>
              <w:rPr>
                <w:rFonts w:ascii="Times New Roman" w:hAnsi="Times New Roman" w:eastAsia="仿宋" w:cs="Times New Roman"/>
                <w:szCs w:val="21"/>
              </w:rPr>
              <w:t>部分</w:t>
            </w:r>
            <w:r>
              <w:rPr>
                <w:rFonts w:ascii="Times New Roman" w:hAnsi="Times New Roman" w:eastAsia="仿宋" w:cs="Times New Roman"/>
                <w:kern w:val="0"/>
                <w:szCs w:val="21"/>
              </w:rPr>
              <w:t>矿山开采未严格落实环保和水土保持措施，造成扬尘污染、水土流失；3、少量矿山废水收集、处理措施不完善，初期雨水没有得到有效处理。</w:t>
            </w:r>
          </w:p>
        </w:tc>
      </w:tr>
      <w:tr w14:paraId="0F56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E64B3A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5"/>
            <w:vAlign w:val="center"/>
          </w:tcPr>
          <w:p w14:paraId="5D2E3BCB">
            <w:pPr>
              <w:widowControl/>
              <w:jc w:val="left"/>
              <w:rPr>
                <w:rFonts w:ascii="Times New Roman" w:hAnsi="Times New Roman" w:eastAsia="仿宋" w:cs="Times New Roman"/>
                <w:b/>
                <w:bCs/>
                <w:kern w:val="0"/>
                <w:szCs w:val="21"/>
              </w:rPr>
            </w:pPr>
            <w:r>
              <w:rPr>
                <w:rFonts w:ascii="Times New Roman" w:hAnsi="Times New Roman" w:eastAsia="仿宋" w:cs="Times New Roman"/>
                <w:b/>
                <w:bCs/>
                <w:kern w:val="0"/>
                <w:szCs w:val="21"/>
              </w:rPr>
              <w:t>大庆坪乡：</w:t>
            </w:r>
          </w:p>
          <w:p w14:paraId="18B57C12">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生物多样性保护功能重要区/水土流失敏感区/原生态红线/水土保持功能重要区/石漠化敏感区）；水环境一般管控区；大气环境受体敏感重点管控区；农用地优先保护区/建设用地重点管控区/其他重点管控区 /一般管控区</w:t>
            </w:r>
          </w:p>
          <w:p w14:paraId="2706D4E6">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石岩头镇：</w:t>
            </w:r>
          </w:p>
          <w:p w14:paraId="229E6DAD">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红线/一般生态空间（三区三线生态红线/水源涵养重要区/生物多样性保护功能重要区/原生态红线/水土流失敏感区/水土保持功能重要区）；水环境其他重点管控区 /水环境一般管控区；大气环境受体敏感重点管控区；农用地优先保护区/建设用地重点管控区/其他重点管控区/一般管控区</w:t>
            </w:r>
          </w:p>
          <w:p w14:paraId="19F4C461">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水口山镇：</w:t>
            </w:r>
            <w:r>
              <w:rPr>
                <w:rFonts w:ascii="Times New Roman" w:hAnsi="Times New Roman" w:eastAsia="仿宋" w:cs="Times New Roman"/>
                <w:kern w:val="0"/>
                <w:szCs w:val="21"/>
              </w:rPr>
              <w:t xml:space="preserve"> </w:t>
            </w:r>
          </w:p>
          <w:p w14:paraId="100FAAE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生物多样性保护功能重要区/石漠化敏感区/水土保持功能重要区/水土流失敏感区/水源涵养重要区/三区三线生态红线/原生态红线）；水环境其他重点管控区/水环境一般管控区；大气环境高排放重点管控区/大气环境受体敏感重点管控区/其他区域；农用地优先保护区/其他重点管控区/一般管控区/建设用地重点管控区</w:t>
            </w:r>
          </w:p>
          <w:p w14:paraId="33430312">
            <w:pPr>
              <w:widowControl/>
              <w:rPr>
                <w:rFonts w:ascii="Times New Roman" w:hAnsi="Times New Roman" w:eastAsia="仿宋" w:cs="Times New Roman"/>
                <w:b/>
                <w:bCs/>
                <w:szCs w:val="21"/>
              </w:rPr>
            </w:pPr>
            <w:r>
              <w:rPr>
                <w:rFonts w:ascii="Times New Roman" w:hAnsi="Times New Roman" w:eastAsia="仿宋" w:cs="Times New Roman"/>
                <w:b/>
                <w:bCs/>
                <w:szCs w:val="21"/>
              </w:rPr>
              <w:t>珠山镇：</w:t>
            </w:r>
          </w:p>
          <w:p w14:paraId="63F9C5A0">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森林公园/原生态红线/水土流失敏感区/生物多样性保护功能重要区）；水环境工业污染重点管控区/水环境其他重点管控区/水环境一般管控区；大气环境优先保护区/大气环境高排放重点管控区/大气环境受体敏感重点管控区；农用地优先保护区/建设用地重点管控区/其他重点管控区 /一般管控区</w:t>
            </w:r>
          </w:p>
        </w:tc>
      </w:tr>
      <w:tr w14:paraId="6038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68FDBCD">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76" w:type="dxa"/>
            <w:gridSpan w:val="13"/>
            <w:vAlign w:val="center"/>
          </w:tcPr>
          <w:p w14:paraId="72319264">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988" w:type="dxa"/>
            <w:gridSpan w:val="2"/>
            <w:vAlign w:val="center"/>
          </w:tcPr>
          <w:p w14:paraId="46775D7A">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2A67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vAlign w:val="center"/>
          </w:tcPr>
          <w:p w14:paraId="4511789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76" w:type="dxa"/>
            <w:gridSpan w:val="13"/>
            <w:vAlign w:val="center"/>
          </w:tcPr>
          <w:p w14:paraId="5B72E84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bCs/>
                <w:szCs w:val="21"/>
              </w:rPr>
              <w:t>（1.1）</w:t>
            </w:r>
            <w:r>
              <w:rPr>
                <w:rFonts w:ascii="Times New Roman" w:hAnsi="Times New Roman" w:eastAsia="仿宋" w:cs="Times New Roman"/>
                <w:szCs w:val="21"/>
              </w:rPr>
              <w:t>畜禽养殖布局应符合《零陵区畜禽规模养殖“三区”划定方案》。</w:t>
            </w:r>
          </w:p>
          <w:p w14:paraId="7394442C">
            <w:pPr>
              <w:pStyle w:val="8"/>
              <w:spacing w:after="0"/>
              <w:ind w:firstLine="420" w:firstLineChars="200"/>
              <w:rPr>
                <w:rFonts w:eastAsia="仿宋"/>
                <w:sz w:val="21"/>
                <w:szCs w:val="21"/>
              </w:rPr>
            </w:pPr>
            <w:r>
              <w:rPr>
                <w:rFonts w:eastAsia="仿宋"/>
                <w:bCs/>
                <w:sz w:val="21"/>
                <w:szCs w:val="21"/>
              </w:rPr>
              <w:t>（1.2）</w:t>
            </w:r>
            <w:r>
              <w:rPr>
                <w:rFonts w:eastAsia="仿宋"/>
                <w:kern w:val="2"/>
                <w:sz w:val="21"/>
                <w:szCs w:val="21"/>
              </w:rPr>
              <w:t>依法取缔非法采矿、采石和采砂企业，禁止在铁路、公路两侧可视范围内等区域新建砂石等露天矿山建设项目。</w:t>
            </w:r>
          </w:p>
        </w:tc>
        <w:tc>
          <w:tcPr>
            <w:tcW w:w="4988" w:type="dxa"/>
            <w:gridSpan w:val="2"/>
            <w:vMerge w:val="restart"/>
            <w:vAlign w:val="center"/>
          </w:tcPr>
          <w:p w14:paraId="15766B9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（1.1）永州市零陵区人民政府办公室关于印发《零陵区畜禽规模养殖“三区”划定方案》的通知（零政办发〔2020〕1号）；</w:t>
            </w:r>
          </w:p>
          <w:p w14:paraId="589CD6DC">
            <w:pPr>
              <w:tabs>
                <w:tab w:val="left" w:pos="1021"/>
              </w:tabs>
              <w:ind w:hanging="1"/>
              <w:jc w:val="left"/>
              <w:rPr>
                <w:rFonts w:ascii="Times New Roman" w:hAnsi="Times New Roman" w:eastAsia="仿宋" w:cs="Times New Roman"/>
                <w:szCs w:val="21"/>
              </w:rPr>
            </w:pPr>
            <w:r>
              <w:rPr>
                <w:rFonts w:ascii="Times New Roman" w:hAnsi="Times New Roman" w:eastAsia="仿宋" w:cs="Times New Roman"/>
                <w:szCs w:val="21"/>
              </w:rPr>
              <w:t>（1.2）（2.4）《零陵区“十四五”生态环境保护规划》（2021-2025）；</w:t>
            </w:r>
          </w:p>
          <w:p w14:paraId="6BEACB9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（2.1）《零陵区畜禽养殖污染防治规划（2021-2025年）》；《零陵区“十四五”生态环境保护规划（2021-2025）》；</w:t>
            </w:r>
          </w:p>
          <w:p w14:paraId="7D19B65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（2.2）永州市人民政府办公室关于印发《永州市养殖水域滩涂规划2018－2030年）》的通知（永政办函〔2018〕64号）；</w:t>
            </w:r>
          </w:p>
          <w:p w14:paraId="267C3376">
            <w:pPr>
              <w:tabs>
                <w:tab w:val="left" w:pos="1021"/>
              </w:tabs>
              <w:rPr>
                <w:rFonts w:ascii="Times New Roman" w:hAnsi="Times New Roman" w:eastAsia="仿宋" w:cs="Times New Roman"/>
                <w:szCs w:val="21"/>
              </w:rPr>
            </w:pPr>
            <w:r>
              <w:rPr>
                <w:rFonts w:ascii="Times New Roman" w:hAnsi="Times New Roman" w:eastAsia="仿宋" w:cs="Times New Roman"/>
                <w:szCs w:val="21"/>
              </w:rPr>
              <w:t>（2.3）《零陵区“十四五”生态环境保护规划（2021-2025）》；</w:t>
            </w:r>
            <w:r>
              <w:rPr>
                <w:rFonts w:ascii="Times New Roman" w:hAnsi="Times New Roman" w:eastAsia="仿宋" w:cs="Times New Roman"/>
                <w:szCs w:val="21"/>
              </w:rPr>
              <w:br w:type="textWrapping"/>
            </w:r>
            <w:r>
              <w:rPr>
                <w:rFonts w:ascii="Times New Roman" w:hAnsi="Times New Roman" w:eastAsia="仿宋" w:cs="Times New Roman"/>
                <w:szCs w:val="21"/>
              </w:rPr>
              <w:t>（2.5）《零陵区畜禽养殖污染防治规划（2021-2025年）》；</w:t>
            </w:r>
          </w:p>
          <w:p w14:paraId="3C72EF3A">
            <w:pPr>
              <w:tabs>
                <w:tab w:val="left" w:pos="1021"/>
              </w:tabs>
              <w:rPr>
                <w:rFonts w:ascii="Times New Roman" w:hAnsi="Times New Roman" w:eastAsia="仿宋" w:cs="Times New Roman"/>
                <w:szCs w:val="21"/>
              </w:rPr>
            </w:pPr>
            <w:r>
              <w:rPr>
                <w:rFonts w:ascii="Times New Roman" w:hAnsi="Times New Roman" w:eastAsia="仿宋" w:cs="Times New Roman"/>
                <w:szCs w:val="21"/>
              </w:rPr>
              <w:t>（2.6）《零陵区“十四五”生态环境保护规划（2021-2025）》</w:t>
            </w:r>
            <w:r>
              <w:rPr>
                <w:rFonts w:ascii="Times New Roman" w:hAnsi="Times New Roman" w:eastAsia="仿宋" w:cs="Times New Roman"/>
                <w:kern w:val="0"/>
                <w:szCs w:val="21"/>
              </w:rPr>
              <w:t>；</w:t>
            </w:r>
          </w:p>
          <w:p w14:paraId="72F2C22C">
            <w:pPr>
              <w:tabs>
                <w:tab w:val="left" w:pos="1021"/>
              </w:tabs>
              <w:ind w:hanging="1"/>
              <w:jc w:val="left"/>
              <w:rPr>
                <w:rFonts w:ascii="Times New Roman" w:hAnsi="Times New Roman" w:eastAsia="仿宋" w:cs="Times New Roman"/>
                <w:szCs w:val="21"/>
              </w:rPr>
            </w:pPr>
            <w:r>
              <w:rPr>
                <w:rFonts w:ascii="Times New Roman" w:hAnsi="Times New Roman" w:eastAsia="仿宋" w:cs="Times New Roman"/>
                <w:szCs w:val="21"/>
              </w:rPr>
              <w:t>（3.1）《零陵区“十四五”生态环境保护规划（2021-2025）》；</w:t>
            </w:r>
          </w:p>
          <w:p w14:paraId="6D6A4277">
            <w:pPr>
              <w:rPr>
                <w:rFonts w:ascii="Times New Roman" w:hAnsi="Times New Roman" w:eastAsia="仿宋" w:cs="Times New Roman"/>
                <w:szCs w:val="21"/>
              </w:rPr>
            </w:pPr>
            <w:r>
              <w:rPr>
                <w:rFonts w:ascii="Times New Roman" w:hAnsi="Times New Roman" w:eastAsia="仿宋" w:cs="Times New Roman"/>
                <w:szCs w:val="21"/>
              </w:rPr>
              <w:t>（4.1.1）《永州市零陵区生态文明建设示范区规划说明书》；</w:t>
            </w:r>
          </w:p>
          <w:p w14:paraId="57691454">
            <w:pPr>
              <w:pStyle w:val="8"/>
              <w:spacing w:after="0"/>
              <w:rPr>
                <w:rFonts w:eastAsia="仿宋"/>
                <w:sz w:val="21"/>
                <w:szCs w:val="21"/>
              </w:rPr>
            </w:pPr>
            <w:r>
              <w:rPr>
                <w:rFonts w:eastAsia="仿宋"/>
                <w:sz w:val="21"/>
                <w:szCs w:val="21"/>
              </w:rPr>
              <w:t>（4.1.2）《零陵区国民经济和社会发展第十四个五年规划和二0三五年远景目标纲要》；</w:t>
            </w:r>
          </w:p>
          <w:p w14:paraId="35DAC114">
            <w:pPr>
              <w:tabs>
                <w:tab w:val="left" w:pos="1021"/>
              </w:tabs>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66F3ED6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（4.2.2）《零陵区“十四五”生态环境保护规划（2021-2025）》。</w:t>
            </w:r>
          </w:p>
        </w:tc>
      </w:tr>
      <w:tr w14:paraId="4219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591D2D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76" w:type="dxa"/>
            <w:gridSpan w:val="13"/>
            <w:vAlign w:val="center"/>
          </w:tcPr>
          <w:p w14:paraId="68A0705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现有规模化畜禽养殖场（小区）根据污染治理需要，配套建设粪便污水贮存、处理、利用设施，配套设施比例达到95%以上；加强畜禽养殖场污水的资源化利用。提升畜禽粪污资源利用水平，到2025年，全区畜禽粪污综合利用率达到90%以上。</w:t>
            </w:r>
          </w:p>
          <w:p w14:paraId="0B065088">
            <w:pPr>
              <w:pStyle w:val="8"/>
              <w:spacing w:after="0"/>
              <w:ind w:firstLine="420" w:firstLineChars="200"/>
              <w:rPr>
                <w:rFonts w:eastAsia="仿宋"/>
                <w:sz w:val="21"/>
                <w:szCs w:val="21"/>
              </w:rPr>
            </w:pPr>
            <w:r>
              <w:rPr>
                <w:rFonts w:eastAsia="仿宋"/>
                <w:sz w:val="21"/>
                <w:szCs w:val="21"/>
              </w:rPr>
              <w:t>（2.2）池塘及适宜养殖山塘、水库，全面推行生态养殖、减排增效技术，提高水产养殖生产水平，开展养殖尾水处理，池塘尾水排放应符合《淡水池塘养殖水排放要求》。</w:t>
            </w:r>
          </w:p>
          <w:p w14:paraId="7D59460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bCs/>
                <w:szCs w:val="21"/>
              </w:rPr>
              <w:t>（2.3）</w:t>
            </w:r>
            <w:r>
              <w:rPr>
                <w:rFonts w:ascii="Times New Roman" w:hAnsi="Times New Roman" w:eastAsia="仿宋" w:cs="Times New Roman"/>
                <w:szCs w:val="21"/>
              </w:rPr>
              <w:t>严格控制全市砖瓦、水泥、锰矿等产能严重过剩行业的新增产能项目，积极化解水泥、砖瓦、锰矿、有色等过剩行业产能，依法淘汰落后产能。</w:t>
            </w:r>
          </w:p>
          <w:p w14:paraId="1BA3AD6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
                <w:bCs/>
                <w:kern w:val="0"/>
                <w:szCs w:val="21"/>
              </w:rPr>
              <w:t>石岩头镇、水口山镇、</w:t>
            </w:r>
            <w:r>
              <w:rPr>
                <w:rFonts w:ascii="Times New Roman" w:hAnsi="Times New Roman" w:eastAsia="仿宋" w:cs="Times New Roman"/>
                <w:b/>
                <w:bCs/>
                <w:szCs w:val="21"/>
              </w:rPr>
              <w:t>珠山镇：</w:t>
            </w:r>
            <w:r>
              <w:rPr>
                <w:rFonts w:ascii="Times New Roman" w:hAnsi="Times New Roman" w:eastAsia="仿宋" w:cs="Times New Roman"/>
                <w:szCs w:val="21"/>
              </w:rPr>
              <w:t>矿山尾泥、废水必须排入经过验收合格的废泥库内，并严格按照尾矿库安全监管规定对废泥库进行安全监管，确保废泥库安全，确保废水不外排。废渣必须进行安全处理并填埋。</w:t>
            </w:r>
          </w:p>
          <w:p w14:paraId="287C4DBE">
            <w:pPr>
              <w:pStyle w:val="8"/>
              <w:spacing w:after="0"/>
              <w:ind w:firstLine="420" w:firstLineChars="200"/>
              <w:rPr>
                <w:rFonts w:eastAsia="仿宋"/>
                <w:sz w:val="21"/>
                <w:szCs w:val="21"/>
              </w:rPr>
            </w:pPr>
            <w:r>
              <w:rPr>
                <w:rFonts w:eastAsia="仿宋"/>
                <w:sz w:val="21"/>
                <w:szCs w:val="21"/>
              </w:rPr>
              <w:t>（2.5）珠山镇：2025年底前，必须完善病死畜禽集中无害化处理公共设施，设立病死畜禽集中收集点，确保2025年规模畜禽养殖病死畜禽集中无害化处理率达到80%以上。</w:t>
            </w:r>
          </w:p>
          <w:p w14:paraId="047B6FB3">
            <w:pPr>
              <w:ind w:firstLine="420" w:firstLineChars="200"/>
              <w:rPr>
                <w:rFonts w:ascii="Times New Roman" w:hAnsi="Times New Roman" w:eastAsia="仿宋" w:cs="Times New Roman"/>
                <w:szCs w:val="21"/>
              </w:rPr>
            </w:pPr>
            <w:r>
              <w:rPr>
                <w:rFonts w:ascii="Times New Roman" w:hAnsi="Times New Roman" w:eastAsia="仿宋" w:cs="Times New Roman"/>
                <w:szCs w:val="21"/>
              </w:rPr>
              <w:t>（2.6）</w:t>
            </w:r>
            <w:r>
              <w:rPr>
                <w:rFonts w:ascii="Times New Roman" w:hAnsi="Times New Roman" w:eastAsia="仿宋" w:cs="Times New Roman"/>
                <w:kern w:val="0"/>
                <w:szCs w:val="21"/>
              </w:rPr>
              <w:t>加大重金属污染治理力度，依法关闭、淘汰不能稳定达标排放的涉重金属污染企业。强化土壤重金属污染源头控制。将所有涉重金属企业纳入重点污染源进行管理，加强监管重要粮食生产区域周边的工矿企业的重金属排放。</w:t>
            </w:r>
          </w:p>
        </w:tc>
        <w:tc>
          <w:tcPr>
            <w:tcW w:w="4988" w:type="dxa"/>
            <w:gridSpan w:val="2"/>
            <w:vMerge w:val="continue"/>
            <w:vAlign w:val="center"/>
          </w:tcPr>
          <w:p w14:paraId="69234C8A">
            <w:pPr>
              <w:widowControl/>
              <w:jc w:val="left"/>
              <w:rPr>
                <w:rFonts w:ascii="Times New Roman" w:hAnsi="Times New Roman" w:eastAsia="仿宋" w:cs="Times New Roman"/>
                <w:szCs w:val="21"/>
              </w:rPr>
            </w:pPr>
          </w:p>
        </w:tc>
      </w:tr>
      <w:tr w14:paraId="27F5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3EADD1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76" w:type="dxa"/>
            <w:gridSpan w:val="13"/>
            <w:vAlign w:val="center"/>
          </w:tcPr>
          <w:p w14:paraId="3F37DD78">
            <w:pPr>
              <w:ind w:firstLine="420" w:firstLineChars="200"/>
              <w:rPr>
                <w:rFonts w:ascii="Times New Roman" w:hAnsi="Times New Roman" w:eastAsia="仿宋" w:cs="Times New Roman"/>
                <w:szCs w:val="21"/>
              </w:rPr>
            </w:pPr>
            <w:r>
              <w:rPr>
                <w:rFonts w:ascii="Times New Roman" w:hAnsi="Times New Roman" w:eastAsia="仿宋" w:cs="Times New Roman"/>
                <w:bCs/>
                <w:szCs w:val="21"/>
              </w:rPr>
              <w:t>（3.1）</w:t>
            </w:r>
            <w:r>
              <w:rPr>
                <w:rFonts w:ascii="Times New Roman" w:hAnsi="Times New Roman" w:eastAsia="仿宋" w:cs="Times New Roman"/>
                <w:szCs w:val="21"/>
              </w:rPr>
              <w:t>建立冶炼、化工、危险废物等行业环境风险企业台帐，实行一厂一册跟踪监管，严防环境污染事件发生。</w:t>
            </w:r>
          </w:p>
        </w:tc>
        <w:tc>
          <w:tcPr>
            <w:tcW w:w="4988" w:type="dxa"/>
            <w:gridSpan w:val="2"/>
            <w:vMerge w:val="continue"/>
            <w:vAlign w:val="center"/>
          </w:tcPr>
          <w:p w14:paraId="29C34CE6">
            <w:pPr>
              <w:widowControl/>
              <w:jc w:val="left"/>
              <w:rPr>
                <w:rFonts w:ascii="Times New Roman" w:hAnsi="Times New Roman" w:eastAsia="仿宋" w:cs="Times New Roman"/>
                <w:szCs w:val="21"/>
              </w:rPr>
            </w:pPr>
          </w:p>
        </w:tc>
      </w:tr>
      <w:tr w14:paraId="5232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08D225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76" w:type="dxa"/>
            <w:gridSpan w:val="13"/>
            <w:vAlign w:val="center"/>
          </w:tcPr>
          <w:p w14:paraId="56D39AEA">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（4.1）能源：</w:t>
            </w:r>
          </w:p>
          <w:p w14:paraId="12B1E01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实行低硫煤政策，禁止使用含硫量大于1%，含灰量大于20%的燃煤；零陵城区内禁止新建一切燃煤设施，全区已建1吨/小时以上燃煤锅炉必须全面实施脱硫除尘；1吨/小时以下的锅炉必须全部使用清洁燃料，加强集中供热工程建设。</w:t>
            </w:r>
          </w:p>
          <w:p w14:paraId="61266107">
            <w:pPr>
              <w:pStyle w:val="8"/>
              <w:spacing w:after="0"/>
              <w:ind w:firstLine="420" w:firstLineChars="200"/>
              <w:rPr>
                <w:rFonts w:eastAsia="仿宋"/>
                <w:kern w:val="2"/>
                <w:sz w:val="21"/>
                <w:szCs w:val="21"/>
              </w:rPr>
            </w:pPr>
            <w:r>
              <w:rPr>
                <w:rFonts w:eastAsia="仿宋"/>
                <w:kern w:val="2"/>
                <w:sz w:val="21"/>
                <w:szCs w:val="21"/>
              </w:rPr>
              <w:t>（4.1.2）</w:t>
            </w:r>
            <w:r>
              <w:rPr>
                <w:rFonts w:eastAsia="仿宋"/>
                <w:kern w:val="2"/>
                <w:sz w:val="21"/>
                <w:szCs w:val="21"/>
                <w:lang w:val="zh-TW"/>
              </w:rPr>
              <w:t>实施能源消耗总量和强度双控行动，“十四五”期间全区单位国内生产总值能耗累计降低15%，能耗总量控制在市定标准以内。</w:t>
            </w:r>
          </w:p>
          <w:p w14:paraId="70DF2489">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（4.2）水资源：</w:t>
            </w:r>
          </w:p>
          <w:p w14:paraId="374EBD7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4.2.1）到2025年，零陵区用水总量控制在32676万立方米以内，农业用水总量控制在23251万立方米以内，万元地区生产总值用水量、万元工业增加值用水量分别比2020年降低19.80%、8.87%，农田灌溉水有效利用系数为0.548。</w:t>
            </w:r>
          </w:p>
          <w:p w14:paraId="532BAD1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（4.2.2）加强生态流量保障。明确闸坝、水库生态调度任务。推进小水电站整治、改造。</w:t>
            </w:r>
          </w:p>
        </w:tc>
        <w:tc>
          <w:tcPr>
            <w:tcW w:w="4988" w:type="dxa"/>
            <w:gridSpan w:val="2"/>
            <w:vMerge w:val="continue"/>
            <w:vAlign w:val="center"/>
          </w:tcPr>
          <w:p w14:paraId="1DA014D4">
            <w:pPr>
              <w:widowControl/>
              <w:jc w:val="left"/>
              <w:rPr>
                <w:rFonts w:ascii="Times New Roman" w:hAnsi="Times New Roman" w:eastAsia="仿宋" w:cs="Times New Roman"/>
                <w:szCs w:val="21"/>
              </w:rPr>
            </w:pPr>
          </w:p>
        </w:tc>
      </w:tr>
    </w:tbl>
    <w:p w14:paraId="548F9704">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3E723458">
      <w:pPr>
        <w:spacing w:line="348" w:lineRule="auto"/>
        <w:jc w:val="center"/>
        <w:outlineLvl w:val="0"/>
        <w:rPr>
          <w:rFonts w:ascii="Times New Roman" w:hAnsi="Times New Roman" w:eastAsia="仿宋" w:cs="Times New Roman"/>
          <w:b/>
          <w:szCs w:val="21"/>
        </w:rPr>
      </w:pPr>
      <w:bookmarkStart w:id="12" w:name="_Toc7663"/>
      <w:bookmarkStart w:id="13" w:name="_Toc14419463"/>
      <w:bookmarkStart w:id="14" w:name="_Toc58452420"/>
      <w:bookmarkStart w:id="15" w:name="_Toc160709111"/>
      <w:bookmarkStart w:id="16" w:name="_Toc20484768"/>
      <w:r>
        <w:rPr>
          <w:rFonts w:ascii="Times New Roman" w:hAnsi="Times New Roman" w:eastAsia="仿宋" w:cs="Times New Roman"/>
          <w:b/>
          <w:szCs w:val="21"/>
        </w:rPr>
        <w:t>2  冷水滩区</w:t>
      </w:r>
      <w:bookmarkEnd w:id="12"/>
      <w:bookmarkEnd w:id="13"/>
      <w:bookmarkEnd w:id="14"/>
      <w:bookmarkEnd w:id="15"/>
      <w:bookmarkEnd w:id="16"/>
    </w:p>
    <w:tbl>
      <w:tblPr>
        <w:tblStyle w:val="20"/>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812"/>
        <w:gridCol w:w="406"/>
        <w:gridCol w:w="388"/>
        <w:gridCol w:w="425"/>
        <w:gridCol w:w="1657"/>
        <w:gridCol w:w="947"/>
        <w:gridCol w:w="1391"/>
        <w:gridCol w:w="1762"/>
        <w:gridCol w:w="2464"/>
        <w:gridCol w:w="2665"/>
      </w:tblGrid>
      <w:tr w14:paraId="22F3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Merge w:val="restart"/>
            <w:vAlign w:val="center"/>
          </w:tcPr>
          <w:p w14:paraId="065EEE5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12" w:type="dxa"/>
            <w:vMerge w:val="restart"/>
            <w:vAlign w:val="center"/>
          </w:tcPr>
          <w:p w14:paraId="2D42546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19" w:type="dxa"/>
            <w:gridSpan w:val="3"/>
            <w:vAlign w:val="center"/>
          </w:tcPr>
          <w:p w14:paraId="354B8E7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657" w:type="dxa"/>
            <w:vMerge w:val="restart"/>
            <w:vAlign w:val="center"/>
          </w:tcPr>
          <w:p w14:paraId="3D119B8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7" w:type="dxa"/>
            <w:vMerge w:val="restart"/>
            <w:vAlign w:val="center"/>
          </w:tcPr>
          <w:p w14:paraId="4A3F874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391" w:type="dxa"/>
            <w:vMerge w:val="restart"/>
            <w:vAlign w:val="center"/>
          </w:tcPr>
          <w:p w14:paraId="5DE7B7F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62" w:type="dxa"/>
            <w:vMerge w:val="restart"/>
            <w:vAlign w:val="center"/>
          </w:tcPr>
          <w:p w14:paraId="6582DBE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464" w:type="dxa"/>
            <w:vMerge w:val="restart"/>
            <w:vAlign w:val="center"/>
          </w:tcPr>
          <w:p w14:paraId="44C71B2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65" w:type="dxa"/>
            <w:vMerge w:val="restart"/>
            <w:vAlign w:val="center"/>
          </w:tcPr>
          <w:p w14:paraId="73F6711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rPr>
              <w:t>①</w:t>
            </w:r>
          </w:p>
        </w:tc>
      </w:tr>
      <w:tr w14:paraId="33BE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1083" w:type="dxa"/>
            <w:vMerge w:val="continue"/>
            <w:vAlign w:val="center"/>
          </w:tcPr>
          <w:p w14:paraId="03CA9496">
            <w:pPr>
              <w:widowControl/>
              <w:rPr>
                <w:rFonts w:ascii="Times New Roman" w:hAnsi="Times New Roman" w:eastAsia="仿宋" w:cs="Times New Roman"/>
                <w:b/>
                <w:kern w:val="0"/>
                <w:szCs w:val="21"/>
              </w:rPr>
            </w:pPr>
          </w:p>
        </w:tc>
        <w:tc>
          <w:tcPr>
            <w:tcW w:w="812" w:type="dxa"/>
            <w:vMerge w:val="continue"/>
            <w:vAlign w:val="center"/>
          </w:tcPr>
          <w:p w14:paraId="2A3A4A2E">
            <w:pPr>
              <w:widowControl/>
              <w:rPr>
                <w:rFonts w:ascii="Times New Roman" w:hAnsi="Times New Roman" w:eastAsia="仿宋" w:cs="Times New Roman"/>
                <w:b/>
                <w:kern w:val="0"/>
                <w:szCs w:val="21"/>
              </w:rPr>
            </w:pPr>
          </w:p>
        </w:tc>
        <w:tc>
          <w:tcPr>
            <w:tcW w:w="406" w:type="dxa"/>
            <w:vAlign w:val="center"/>
          </w:tcPr>
          <w:p w14:paraId="508E488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388" w:type="dxa"/>
            <w:vAlign w:val="center"/>
          </w:tcPr>
          <w:p w14:paraId="0239495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2567320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657" w:type="dxa"/>
            <w:vMerge w:val="continue"/>
            <w:vAlign w:val="center"/>
          </w:tcPr>
          <w:p w14:paraId="42673DE4">
            <w:pPr>
              <w:widowControl/>
              <w:rPr>
                <w:rFonts w:ascii="Times New Roman" w:hAnsi="Times New Roman" w:eastAsia="仿宋" w:cs="Times New Roman"/>
                <w:b/>
                <w:kern w:val="0"/>
                <w:szCs w:val="21"/>
              </w:rPr>
            </w:pPr>
          </w:p>
        </w:tc>
        <w:tc>
          <w:tcPr>
            <w:tcW w:w="947" w:type="dxa"/>
            <w:vMerge w:val="continue"/>
            <w:vAlign w:val="center"/>
          </w:tcPr>
          <w:p w14:paraId="2B82994C">
            <w:pPr>
              <w:widowControl/>
              <w:rPr>
                <w:rFonts w:ascii="Times New Roman" w:hAnsi="Times New Roman" w:eastAsia="仿宋" w:cs="Times New Roman"/>
                <w:b/>
                <w:kern w:val="0"/>
                <w:szCs w:val="21"/>
              </w:rPr>
            </w:pPr>
          </w:p>
        </w:tc>
        <w:tc>
          <w:tcPr>
            <w:tcW w:w="1391" w:type="dxa"/>
            <w:vMerge w:val="continue"/>
            <w:vAlign w:val="center"/>
          </w:tcPr>
          <w:p w14:paraId="14C2223A">
            <w:pPr>
              <w:widowControl/>
              <w:rPr>
                <w:rFonts w:ascii="Times New Roman" w:hAnsi="Times New Roman" w:eastAsia="仿宋" w:cs="Times New Roman"/>
                <w:b/>
                <w:kern w:val="0"/>
                <w:szCs w:val="21"/>
              </w:rPr>
            </w:pPr>
          </w:p>
        </w:tc>
        <w:tc>
          <w:tcPr>
            <w:tcW w:w="1762" w:type="dxa"/>
            <w:vMerge w:val="continue"/>
            <w:vAlign w:val="center"/>
          </w:tcPr>
          <w:p w14:paraId="2BE4412E">
            <w:pPr>
              <w:widowControl/>
              <w:rPr>
                <w:rFonts w:ascii="Times New Roman" w:hAnsi="Times New Roman" w:eastAsia="仿宋" w:cs="Times New Roman"/>
                <w:b/>
                <w:kern w:val="0"/>
                <w:szCs w:val="21"/>
              </w:rPr>
            </w:pPr>
          </w:p>
        </w:tc>
        <w:tc>
          <w:tcPr>
            <w:tcW w:w="2464" w:type="dxa"/>
            <w:vMerge w:val="continue"/>
            <w:vAlign w:val="center"/>
          </w:tcPr>
          <w:p w14:paraId="416DFE59">
            <w:pPr>
              <w:widowControl/>
              <w:rPr>
                <w:rFonts w:ascii="Times New Roman" w:hAnsi="Times New Roman" w:eastAsia="仿宋" w:cs="Times New Roman"/>
                <w:b/>
                <w:kern w:val="0"/>
                <w:szCs w:val="21"/>
              </w:rPr>
            </w:pPr>
          </w:p>
        </w:tc>
        <w:tc>
          <w:tcPr>
            <w:tcW w:w="2665" w:type="dxa"/>
            <w:vMerge w:val="continue"/>
            <w:vAlign w:val="center"/>
          </w:tcPr>
          <w:p w14:paraId="30F1EDC3">
            <w:pPr>
              <w:widowControl/>
              <w:rPr>
                <w:rFonts w:ascii="Times New Roman" w:hAnsi="Times New Roman" w:eastAsia="仿宋" w:cs="Times New Roman"/>
                <w:b/>
                <w:kern w:val="0"/>
                <w:szCs w:val="21"/>
              </w:rPr>
            </w:pPr>
          </w:p>
        </w:tc>
      </w:tr>
      <w:tr w14:paraId="4341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83" w:type="dxa"/>
            <w:vAlign w:val="center"/>
          </w:tcPr>
          <w:p w14:paraId="731F22FC">
            <w:pPr>
              <w:rPr>
                <w:rFonts w:ascii="Times New Roman" w:hAnsi="Times New Roman" w:eastAsia="仿宋" w:cs="Times New Roman"/>
                <w:szCs w:val="21"/>
              </w:rPr>
            </w:pPr>
            <w:r>
              <w:rPr>
                <w:rFonts w:ascii="Times New Roman" w:hAnsi="Times New Roman" w:eastAsia="仿宋" w:cs="Times New Roman"/>
                <w:szCs w:val="21"/>
              </w:rPr>
              <w:t>ZH43110310001</w:t>
            </w:r>
          </w:p>
        </w:tc>
        <w:tc>
          <w:tcPr>
            <w:tcW w:w="812" w:type="dxa"/>
            <w:vAlign w:val="center"/>
          </w:tcPr>
          <w:p w14:paraId="792BA58F">
            <w:pPr>
              <w:jc w:val="center"/>
              <w:rPr>
                <w:rFonts w:ascii="Times New Roman" w:hAnsi="Times New Roman" w:eastAsia="仿宋" w:cs="Times New Roman"/>
                <w:szCs w:val="21"/>
              </w:rPr>
            </w:pPr>
            <w:r>
              <w:rPr>
                <w:rFonts w:ascii="Times New Roman" w:hAnsi="Times New Roman" w:eastAsia="仿宋" w:cs="Times New Roman"/>
                <w:szCs w:val="21"/>
              </w:rPr>
              <w:t>高溪市镇</w:t>
            </w:r>
          </w:p>
        </w:tc>
        <w:tc>
          <w:tcPr>
            <w:tcW w:w="406" w:type="dxa"/>
            <w:vAlign w:val="center"/>
          </w:tcPr>
          <w:p w14:paraId="1A8FB68D">
            <w:pPr>
              <w:widowControl/>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388" w:type="dxa"/>
            <w:vAlign w:val="center"/>
          </w:tcPr>
          <w:p w14:paraId="6E03EE33">
            <w:pPr>
              <w:widowControl/>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3107AD09">
            <w:pPr>
              <w:widowControl/>
              <w:rPr>
                <w:rFonts w:ascii="Times New Roman" w:hAnsi="Times New Roman" w:eastAsia="仿宋" w:cs="Times New Roman"/>
                <w:i/>
                <w:kern w:val="0"/>
                <w:szCs w:val="21"/>
              </w:rPr>
            </w:pPr>
            <w:r>
              <w:rPr>
                <w:rFonts w:ascii="Times New Roman" w:hAnsi="Times New Roman" w:eastAsia="仿宋" w:cs="Times New Roman"/>
                <w:szCs w:val="21"/>
              </w:rPr>
              <w:t>冷水滩区</w:t>
            </w:r>
          </w:p>
        </w:tc>
        <w:tc>
          <w:tcPr>
            <w:tcW w:w="1657" w:type="dxa"/>
            <w:vAlign w:val="center"/>
          </w:tcPr>
          <w:p w14:paraId="15BBF6D1">
            <w:pPr>
              <w:widowControl/>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47" w:type="dxa"/>
            <w:vAlign w:val="center"/>
          </w:tcPr>
          <w:p w14:paraId="3DDCBCE9">
            <w:pPr>
              <w:widowControl/>
              <w:jc w:val="center"/>
              <w:rPr>
                <w:rFonts w:ascii="Times New Roman" w:hAnsi="Times New Roman" w:eastAsia="仿宋" w:cs="Times New Roman"/>
                <w:strike/>
                <w:szCs w:val="21"/>
              </w:rPr>
            </w:pPr>
            <w:r>
              <w:rPr>
                <w:rFonts w:ascii="Times New Roman" w:hAnsi="Times New Roman" w:eastAsia="仿宋" w:cs="Times New Roman"/>
                <w:szCs w:val="21"/>
              </w:rPr>
              <w:t>75.20</w:t>
            </w:r>
          </w:p>
        </w:tc>
        <w:tc>
          <w:tcPr>
            <w:tcW w:w="1391" w:type="dxa"/>
            <w:vAlign w:val="center"/>
          </w:tcPr>
          <w:p w14:paraId="6803DEEC">
            <w:pPr>
              <w:jc w:val="center"/>
              <w:rPr>
                <w:rFonts w:ascii="Times New Roman" w:hAnsi="Times New Roman" w:eastAsia="仿宋" w:cs="Times New Roman"/>
                <w:szCs w:val="21"/>
              </w:rPr>
            </w:pPr>
            <w:r>
              <w:rPr>
                <w:rFonts w:ascii="Times New Roman" w:hAnsi="Times New Roman" w:eastAsia="仿宋" w:cs="Times New Roman"/>
                <w:szCs w:val="21"/>
              </w:rPr>
              <w:t>高溪市镇</w:t>
            </w:r>
          </w:p>
        </w:tc>
        <w:tc>
          <w:tcPr>
            <w:tcW w:w="1762" w:type="dxa"/>
            <w:vAlign w:val="center"/>
          </w:tcPr>
          <w:p w14:paraId="787256A0">
            <w:pPr>
              <w:widowControl/>
              <w:rPr>
                <w:rFonts w:ascii="Times New Roman" w:hAnsi="Times New Roman" w:eastAsia="仿宋" w:cs="Times New Roman"/>
                <w:kern w:val="0"/>
                <w:szCs w:val="21"/>
              </w:rPr>
            </w:pPr>
            <w:r>
              <w:rPr>
                <w:rFonts w:ascii="Times New Roman" w:hAnsi="Times New Roman" w:eastAsia="仿宋" w:cs="Times New Roman"/>
                <w:kern w:val="0"/>
                <w:szCs w:val="21"/>
              </w:rPr>
              <w:t>农产品主产区</w:t>
            </w:r>
          </w:p>
        </w:tc>
        <w:tc>
          <w:tcPr>
            <w:tcW w:w="2464" w:type="dxa"/>
            <w:vAlign w:val="center"/>
          </w:tcPr>
          <w:p w14:paraId="5043D08B">
            <w:pPr>
              <w:widowControl/>
              <w:rPr>
                <w:rFonts w:ascii="Times New Roman" w:hAnsi="Times New Roman" w:eastAsia="仿宋" w:cs="Times New Roman"/>
                <w:kern w:val="0"/>
                <w:szCs w:val="21"/>
              </w:rPr>
            </w:pPr>
            <w:r>
              <w:rPr>
                <w:rFonts w:ascii="Times New Roman" w:hAnsi="Times New Roman" w:eastAsia="仿宋" w:cs="Times New Roman"/>
                <w:kern w:val="0"/>
                <w:szCs w:val="21"/>
                <w:lang w:val="zh-CN"/>
              </w:rPr>
              <w:t>以农业、生态旅游、农产品加工业等为主，高科园范围以工业为主</w:t>
            </w:r>
            <w:r>
              <w:rPr>
                <w:rFonts w:ascii="Times New Roman" w:hAnsi="Times New Roman" w:eastAsia="仿宋" w:cs="Times New Roman"/>
                <w:i/>
                <w:kern w:val="0"/>
                <w:szCs w:val="21"/>
                <w:lang w:val="zh-CN"/>
              </w:rPr>
              <w:t>。</w:t>
            </w:r>
          </w:p>
        </w:tc>
        <w:tc>
          <w:tcPr>
            <w:tcW w:w="2665" w:type="dxa"/>
            <w:vAlign w:val="center"/>
          </w:tcPr>
          <w:p w14:paraId="39862E3F">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环保目标：湖南冷水滩湘江湿地公园。</w:t>
            </w:r>
          </w:p>
        </w:tc>
      </w:tr>
      <w:tr w14:paraId="3B08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83" w:type="dxa"/>
            <w:vAlign w:val="center"/>
          </w:tcPr>
          <w:p w14:paraId="78FBAAD1">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17" w:type="dxa"/>
            <w:gridSpan w:val="10"/>
            <w:vAlign w:val="center"/>
          </w:tcPr>
          <w:p w14:paraId="1C5ACC7B">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原生态红线/水土流失敏感区）；水环境优先保护区/水环境一般管控区；大气环境优先保护区/大气环境受体敏感重点管控区/大气环境布局敏感重点管控区；农用地优先保护区/其他重点管控区/一般管控区；高污染燃料禁燃区</w:t>
            </w:r>
          </w:p>
        </w:tc>
      </w:tr>
      <w:tr w14:paraId="14C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Align w:val="center"/>
          </w:tcPr>
          <w:p w14:paraId="290A088D">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788" w:type="dxa"/>
            <w:gridSpan w:val="8"/>
            <w:vAlign w:val="center"/>
          </w:tcPr>
          <w:p w14:paraId="20A1B5F7">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129" w:type="dxa"/>
            <w:gridSpan w:val="2"/>
            <w:vAlign w:val="center"/>
          </w:tcPr>
          <w:p w14:paraId="2B09445D">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9A1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83" w:type="dxa"/>
            <w:vAlign w:val="center"/>
          </w:tcPr>
          <w:p w14:paraId="718CE41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788" w:type="dxa"/>
            <w:gridSpan w:val="8"/>
            <w:vAlign w:val="center"/>
          </w:tcPr>
          <w:p w14:paraId="0642BB32">
            <w:pPr>
              <w:pStyle w:val="55"/>
              <w:numPr>
                <w:ilvl w:val="1"/>
                <w:numId w:val="1"/>
              </w:numPr>
              <w:ind w:firstLine="420"/>
              <w:rPr>
                <w:rFonts w:eastAsia="仿宋"/>
                <w:szCs w:val="21"/>
              </w:rPr>
            </w:pPr>
            <w:r>
              <w:rPr>
                <w:rFonts w:eastAsia="仿宋"/>
                <w:szCs w:val="21"/>
              </w:rPr>
              <w:t>永州经济开发区调区扩区原则上不应超出省级主管部门确定的拓展空间；对园区外的现有企业加强环境监管，确保污染物达标排放。</w:t>
            </w:r>
          </w:p>
          <w:p w14:paraId="462232AB">
            <w:pPr>
              <w:pStyle w:val="55"/>
              <w:rPr>
                <w:rFonts w:eastAsia="仿宋"/>
                <w:szCs w:val="21"/>
              </w:rPr>
            </w:pPr>
            <w:r>
              <w:rPr>
                <w:rFonts w:eastAsia="仿宋"/>
                <w:szCs w:val="21"/>
              </w:rPr>
              <w:t>（1.2）砂石土矿的开采严格遵照《永州市冷水滩区普通建筑材料用砂石土矿专项规划（2019-2025年）》规定。禁止开采区不得设置砂石土矿，已有采矿权应立即退出。</w:t>
            </w:r>
          </w:p>
        </w:tc>
        <w:tc>
          <w:tcPr>
            <w:tcW w:w="5129" w:type="dxa"/>
            <w:gridSpan w:val="2"/>
            <w:vMerge w:val="restart"/>
            <w:vAlign w:val="center"/>
          </w:tcPr>
          <w:p w14:paraId="517660D3">
            <w:pPr>
              <w:tabs>
                <w:tab w:val="left" w:pos="1021"/>
              </w:tabs>
              <w:rPr>
                <w:rFonts w:ascii="Times New Roman" w:hAnsi="Times New Roman" w:eastAsia="仿宋" w:cs="Times New Roman"/>
                <w:szCs w:val="21"/>
              </w:rPr>
            </w:pPr>
            <w:r>
              <w:rPr>
                <w:rFonts w:ascii="Times New Roman" w:hAnsi="Times New Roman" w:eastAsia="仿宋" w:cs="Times New Roman"/>
                <w:szCs w:val="21"/>
              </w:rPr>
              <w:t>（1.2）《永州市冷水滩区普通建筑材料用砂石土矿专项规划（2019-2025年）》；</w:t>
            </w:r>
          </w:p>
          <w:p w14:paraId="30FDB67C">
            <w:pPr>
              <w:tabs>
                <w:tab w:val="left" w:pos="1021"/>
              </w:tabs>
              <w:rPr>
                <w:rFonts w:ascii="Times New Roman" w:hAnsi="Times New Roman" w:eastAsia="仿宋" w:cs="Times New Roman"/>
                <w:szCs w:val="21"/>
              </w:rPr>
            </w:pPr>
            <w:r>
              <w:rPr>
                <w:rFonts w:ascii="Times New Roman" w:hAnsi="Times New Roman" w:eastAsia="仿宋" w:cs="Times New Roman"/>
                <w:szCs w:val="21"/>
              </w:rPr>
              <w:t>（2.1）《永州市冷水滩区“十四五”生态环境保护规划》；</w:t>
            </w:r>
          </w:p>
          <w:p w14:paraId="16EF9838">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（2.2）《永州市冷水滩区“十四五”生态环境保护规划》；</w:t>
            </w:r>
          </w:p>
          <w:p w14:paraId="681E0E92">
            <w:pPr>
              <w:tabs>
                <w:tab w:val="left" w:pos="1021"/>
              </w:tabs>
              <w:rPr>
                <w:rFonts w:ascii="Times New Roman" w:hAnsi="Times New Roman" w:eastAsia="仿宋" w:cs="Times New Roman"/>
                <w:szCs w:val="21"/>
              </w:rPr>
            </w:pPr>
            <w:r>
              <w:rPr>
                <w:rFonts w:ascii="Times New Roman" w:hAnsi="Times New Roman" w:eastAsia="仿宋" w:cs="Times New Roman"/>
                <w:szCs w:val="21"/>
              </w:rPr>
              <w:t>（3.1）《永州市冷水滩区“十四五”生态环境保护规划》；</w:t>
            </w:r>
          </w:p>
          <w:p w14:paraId="7E4ACA9F">
            <w:pPr>
              <w:adjustRightInd w:val="0"/>
              <w:snapToGrid w:val="0"/>
              <w:rPr>
                <w:rFonts w:ascii="Times New Roman" w:hAnsi="Times New Roman" w:eastAsia="仿宋" w:cs="Times New Roman"/>
                <w:szCs w:val="21"/>
              </w:rPr>
            </w:pPr>
            <w:r>
              <w:rPr>
                <w:rFonts w:ascii="Times New Roman" w:hAnsi="Times New Roman" w:eastAsia="仿宋" w:cs="Times New Roman"/>
                <w:szCs w:val="21"/>
              </w:rPr>
              <w:t>（4.1）《永州市冷水滩区“十四五”生态环境保护规划》；</w:t>
            </w:r>
          </w:p>
          <w:p w14:paraId="77DA93B8">
            <w:pPr>
              <w:adjustRightInd w:val="0"/>
              <w:snapToGrid w:val="0"/>
              <w:rPr>
                <w:rFonts w:ascii="Times New Roman" w:hAnsi="Times New Roman" w:eastAsia="仿宋" w:cs="Times New Roman"/>
                <w:szCs w:val="21"/>
              </w:rPr>
            </w:pPr>
            <w:r>
              <w:rPr>
                <w:rFonts w:ascii="Times New Roman" w:hAnsi="Times New Roman" w:eastAsia="仿宋" w:cs="Times New Roman"/>
                <w:szCs w:val="21"/>
              </w:rPr>
              <w:t>（4.2.）《关于调整永州市“十四五”用水总量和强度双控目标的通知》（永水发〔2024〕1号）</w:t>
            </w:r>
            <w:r>
              <w:rPr>
                <w:rFonts w:ascii="Times New Roman" w:hAnsi="Times New Roman" w:eastAsia="仿宋" w:cs="Times New Roman"/>
                <w:kern w:val="0"/>
                <w:szCs w:val="21"/>
              </w:rPr>
              <w:t>。</w:t>
            </w:r>
          </w:p>
        </w:tc>
      </w:tr>
      <w:tr w14:paraId="5AFB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0FB58B8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788" w:type="dxa"/>
            <w:gridSpan w:val="8"/>
            <w:vAlign w:val="center"/>
          </w:tcPr>
          <w:p w14:paraId="5B7BEC5B">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2.1）建立健全符合农村实际、方式多样的生活垃圾收运处置体系，鼓励实行城乡垃圾处理一体化。到2025年，农村生活垃圾收集处置体系实现乡镇全覆盖，生活垃圾定点存放清运率100%，垃圾分类减量85%以上，集镇生活垃圾无害化处置率达90%。</w:t>
            </w:r>
          </w:p>
          <w:p w14:paraId="314DCED4">
            <w:pPr>
              <w:pStyle w:val="55"/>
              <w:rPr>
                <w:rFonts w:eastAsia="仿宋"/>
                <w:szCs w:val="21"/>
              </w:rPr>
            </w:pPr>
            <w:r>
              <w:rPr>
                <w:rFonts w:eastAsia="仿宋"/>
                <w:szCs w:val="21"/>
              </w:rPr>
              <w:t>（2.2）严格控制烟花爆竹，全区禁止露天焚烧秸秆，支持秸秆回收利用。</w:t>
            </w:r>
          </w:p>
        </w:tc>
        <w:tc>
          <w:tcPr>
            <w:tcW w:w="5129" w:type="dxa"/>
            <w:gridSpan w:val="2"/>
            <w:vMerge w:val="continue"/>
            <w:vAlign w:val="center"/>
          </w:tcPr>
          <w:p w14:paraId="6CB75552">
            <w:pPr>
              <w:widowControl/>
              <w:rPr>
                <w:rFonts w:ascii="Times New Roman" w:hAnsi="Times New Roman" w:eastAsia="仿宋" w:cs="Times New Roman"/>
                <w:szCs w:val="21"/>
              </w:rPr>
            </w:pPr>
          </w:p>
        </w:tc>
      </w:tr>
      <w:tr w14:paraId="3079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1D21194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788" w:type="dxa"/>
            <w:gridSpan w:val="8"/>
            <w:vAlign w:val="center"/>
          </w:tcPr>
          <w:p w14:paraId="19334A72">
            <w:pPr>
              <w:tabs>
                <w:tab w:val="left" w:pos="1021"/>
              </w:tabs>
              <w:rPr>
                <w:rFonts w:ascii="Times New Roman" w:hAnsi="Times New Roman" w:eastAsia="仿宋" w:cs="Times New Roman"/>
                <w:kern w:val="0"/>
                <w:szCs w:val="21"/>
              </w:rPr>
            </w:pPr>
            <w:r>
              <w:rPr>
                <w:rFonts w:ascii="Times New Roman" w:hAnsi="Times New Roman" w:eastAsia="仿宋" w:cs="Times New Roman"/>
                <w:szCs w:val="21"/>
              </w:rPr>
              <w:t>（3.1）企业应定期开展环境应急培训，加大应急预案演练频次和力度， 提高预案的可操作性和有效性。建设区域环境应急联防联控体系，建立紧密协同、快速反应的工作机制。</w:t>
            </w:r>
          </w:p>
        </w:tc>
        <w:tc>
          <w:tcPr>
            <w:tcW w:w="5129" w:type="dxa"/>
            <w:gridSpan w:val="2"/>
            <w:vMerge w:val="continue"/>
            <w:vAlign w:val="center"/>
          </w:tcPr>
          <w:p w14:paraId="6C151A5F">
            <w:pPr>
              <w:widowControl/>
              <w:rPr>
                <w:rFonts w:ascii="Times New Roman" w:hAnsi="Times New Roman" w:eastAsia="仿宋" w:cs="Times New Roman"/>
                <w:szCs w:val="21"/>
              </w:rPr>
            </w:pPr>
          </w:p>
        </w:tc>
      </w:tr>
      <w:tr w14:paraId="420F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83" w:type="dxa"/>
            <w:vAlign w:val="center"/>
          </w:tcPr>
          <w:p w14:paraId="208DBC4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788" w:type="dxa"/>
            <w:gridSpan w:val="8"/>
            <w:vAlign w:val="center"/>
          </w:tcPr>
          <w:p w14:paraId="5BE8569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249EA88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推动高耗能燃煤锅炉全面淘汰退出。</w:t>
            </w:r>
          </w:p>
          <w:p w14:paraId="1CD09F2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5990254A">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2025年，冷水滩区用水总量控制在32162万立方米以内，农业用水总量控制在15328万立方米以内，万元地区生产总值用水量、万元工业增加值用水量分别比2020年降低30.00%、8.87%，农田灌溉水有效利用系数为0.540。</w:t>
            </w:r>
          </w:p>
        </w:tc>
        <w:tc>
          <w:tcPr>
            <w:tcW w:w="5129" w:type="dxa"/>
            <w:gridSpan w:val="2"/>
            <w:vMerge w:val="continue"/>
            <w:vAlign w:val="center"/>
          </w:tcPr>
          <w:p w14:paraId="6EDC117A">
            <w:pPr>
              <w:widowControl/>
              <w:rPr>
                <w:rFonts w:ascii="Times New Roman" w:hAnsi="Times New Roman" w:eastAsia="仿宋" w:cs="Times New Roman"/>
                <w:szCs w:val="21"/>
              </w:rPr>
            </w:pPr>
          </w:p>
        </w:tc>
      </w:tr>
    </w:tbl>
    <w:p w14:paraId="2685499B">
      <w:pPr>
        <w:rPr>
          <w:rFonts w:ascii="Times New Roman" w:hAnsi="Times New Roman" w:eastAsia="仿宋" w:cs="Times New Roman"/>
          <w:b/>
          <w:szCs w:val="21"/>
        </w:rPr>
      </w:pPr>
    </w:p>
    <w:p w14:paraId="1CD285D6">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180"/>
        <w:gridCol w:w="426"/>
        <w:gridCol w:w="425"/>
        <w:gridCol w:w="709"/>
        <w:gridCol w:w="850"/>
        <w:gridCol w:w="992"/>
        <w:gridCol w:w="1134"/>
        <w:gridCol w:w="1504"/>
        <w:gridCol w:w="422"/>
        <w:gridCol w:w="1902"/>
        <w:gridCol w:w="3373"/>
      </w:tblGrid>
      <w:tr w14:paraId="3550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Merge w:val="restart"/>
            <w:vAlign w:val="center"/>
          </w:tcPr>
          <w:p w14:paraId="7A2B63C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80" w:type="dxa"/>
            <w:vMerge w:val="restart"/>
            <w:vAlign w:val="center"/>
          </w:tcPr>
          <w:p w14:paraId="7F68F35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60" w:type="dxa"/>
            <w:gridSpan w:val="3"/>
            <w:vAlign w:val="center"/>
          </w:tcPr>
          <w:p w14:paraId="3BEFF73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50" w:type="dxa"/>
            <w:vMerge w:val="restart"/>
            <w:vAlign w:val="center"/>
          </w:tcPr>
          <w:p w14:paraId="7435D84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5789F5C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1DA4F39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04" w:type="dxa"/>
            <w:vMerge w:val="restart"/>
            <w:vAlign w:val="center"/>
          </w:tcPr>
          <w:p w14:paraId="731E956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324" w:type="dxa"/>
            <w:gridSpan w:val="2"/>
            <w:vMerge w:val="restart"/>
            <w:vAlign w:val="center"/>
          </w:tcPr>
          <w:p w14:paraId="6107181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373" w:type="dxa"/>
            <w:vMerge w:val="restart"/>
            <w:vAlign w:val="center"/>
          </w:tcPr>
          <w:p w14:paraId="617EB94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7182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1083" w:type="dxa"/>
            <w:vMerge w:val="continue"/>
            <w:vAlign w:val="center"/>
          </w:tcPr>
          <w:p w14:paraId="75E37527">
            <w:pPr>
              <w:widowControl/>
              <w:jc w:val="left"/>
              <w:rPr>
                <w:rFonts w:ascii="Times New Roman" w:hAnsi="Times New Roman" w:eastAsia="仿宋" w:cs="Times New Roman"/>
                <w:b/>
                <w:kern w:val="0"/>
                <w:szCs w:val="21"/>
              </w:rPr>
            </w:pPr>
          </w:p>
        </w:tc>
        <w:tc>
          <w:tcPr>
            <w:tcW w:w="1180" w:type="dxa"/>
            <w:vMerge w:val="continue"/>
            <w:vAlign w:val="center"/>
          </w:tcPr>
          <w:p w14:paraId="38F75C8C">
            <w:pPr>
              <w:widowControl/>
              <w:jc w:val="left"/>
              <w:rPr>
                <w:rFonts w:ascii="Times New Roman" w:hAnsi="Times New Roman" w:eastAsia="仿宋" w:cs="Times New Roman"/>
                <w:b/>
                <w:kern w:val="0"/>
                <w:szCs w:val="21"/>
              </w:rPr>
            </w:pPr>
          </w:p>
        </w:tc>
        <w:tc>
          <w:tcPr>
            <w:tcW w:w="426" w:type="dxa"/>
            <w:vAlign w:val="center"/>
          </w:tcPr>
          <w:p w14:paraId="03F1C28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795667B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09" w:type="dxa"/>
            <w:vAlign w:val="center"/>
          </w:tcPr>
          <w:p w14:paraId="427ADEC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50" w:type="dxa"/>
            <w:vMerge w:val="continue"/>
            <w:vAlign w:val="center"/>
          </w:tcPr>
          <w:p w14:paraId="7CBF78F6">
            <w:pPr>
              <w:widowControl/>
              <w:jc w:val="left"/>
              <w:rPr>
                <w:rFonts w:ascii="Times New Roman" w:hAnsi="Times New Roman" w:eastAsia="仿宋" w:cs="Times New Roman"/>
                <w:b/>
                <w:kern w:val="0"/>
                <w:szCs w:val="21"/>
              </w:rPr>
            </w:pPr>
          </w:p>
        </w:tc>
        <w:tc>
          <w:tcPr>
            <w:tcW w:w="992" w:type="dxa"/>
            <w:vMerge w:val="continue"/>
            <w:vAlign w:val="center"/>
          </w:tcPr>
          <w:p w14:paraId="1FADC465">
            <w:pPr>
              <w:widowControl/>
              <w:jc w:val="left"/>
              <w:rPr>
                <w:rFonts w:ascii="Times New Roman" w:hAnsi="Times New Roman" w:eastAsia="仿宋" w:cs="Times New Roman"/>
                <w:b/>
                <w:kern w:val="0"/>
                <w:szCs w:val="21"/>
              </w:rPr>
            </w:pPr>
          </w:p>
        </w:tc>
        <w:tc>
          <w:tcPr>
            <w:tcW w:w="1134" w:type="dxa"/>
            <w:vMerge w:val="continue"/>
            <w:vAlign w:val="center"/>
          </w:tcPr>
          <w:p w14:paraId="7E642126">
            <w:pPr>
              <w:widowControl/>
              <w:jc w:val="left"/>
              <w:rPr>
                <w:rFonts w:ascii="Times New Roman" w:hAnsi="Times New Roman" w:eastAsia="仿宋" w:cs="Times New Roman"/>
                <w:b/>
                <w:kern w:val="0"/>
                <w:szCs w:val="21"/>
              </w:rPr>
            </w:pPr>
          </w:p>
        </w:tc>
        <w:tc>
          <w:tcPr>
            <w:tcW w:w="1504" w:type="dxa"/>
            <w:vMerge w:val="continue"/>
            <w:vAlign w:val="center"/>
          </w:tcPr>
          <w:p w14:paraId="37AC9717">
            <w:pPr>
              <w:widowControl/>
              <w:jc w:val="left"/>
              <w:rPr>
                <w:rFonts w:ascii="Times New Roman" w:hAnsi="Times New Roman" w:eastAsia="仿宋" w:cs="Times New Roman"/>
                <w:b/>
                <w:kern w:val="0"/>
                <w:szCs w:val="21"/>
              </w:rPr>
            </w:pPr>
          </w:p>
        </w:tc>
        <w:tc>
          <w:tcPr>
            <w:tcW w:w="2324" w:type="dxa"/>
            <w:gridSpan w:val="2"/>
            <w:vMerge w:val="continue"/>
            <w:vAlign w:val="center"/>
          </w:tcPr>
          <w:p w14:paraId="0A696BF3">
            <w:pPr>
              <w:widowControl/>
              <w:jc w:val="left"/>
              <w:rPr>
                <w:rFonts w:ascii="Times New Roman" w:hAnsi="Times New Roman" w:eastAsia="仿宋" w:cs="Times New Roman"/>
                <w:b/>
                <w:kern w:val="0"/>
                <w:szCs w:val="21"/>
              </w:rPr>
            </w:pPr>
          </w:p>
        </w:tc>
        <w:tc>
          <w:tcPr>
            <w:tcW w:w="3373" w:type="dxa"/>
            <w:vMerge w:val="continue"/>
            <w:vAlign w:val="center"/>
          </w:tcPr>
          <w:p w14:paraId="4DC233B0">
            <w:pPr>
              <w:widowControl/>
              <w:jc w:val="left"/>
              <w:rPr>
                <w:rFonts w:ascii="Times New Roman" w:hAnsi="Times New Roman" w:eastAsia="仿宋" w:cs="Times New Roman"/>
                <w:b/>
                <w:kern w:val="0"/>
                <w:szCs w:val="21"/>
              </w:rPr>
            </w:pPr>
          </w:p>
        </w:tc>
      </w:tr>
      <w:tr w14:paraId="13D7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83" w:type="dxa"/>
            <w:vAlign w:val="center"/>
          </w:tcPr>
          <w:p w14:paraId="144C9BE1">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ZH43110310002</w:t>
            </w:r>
          </w:p>
        </w:tc>
        <w:tc>
          <w:tcPr>
            <w:tcW w:w="1180" w:type="dxa"/>
            <w:vAlign w:val="center"/>
          </w:tcPr>
          <w:p w14:paraId="476F3CF1">
            <w:pPr>
              <w:jc w:val="center"/>
              <w:rPr>
                <w:rFonts w:ascii="Times New Roman" w:hAnsi="Times New Roman" w:eastAsia="仿宋" w:cs="Times New Roman"/>
                <w:szCs w:val="21"/>
              </w:rPr>
            </w:pPr>
            <w:r>
              <w:rPr>
                <w:rFonts w:ascii="Times New Roman" w:hAnsi="Times New Roman" w:eastAsia="仿宋" w:cs="Times New Roman"/>
                <w:szCs w:val="21"/>
              </w:rPr>
              <w:t>杨村甸乡</w:t>
            </w:r>
          </w:p>
        </w:tc>
        <w:tc>
          <w:tcPr>
            <w:tcW w:w="426" w:type="dxa"/>
            <w:vAlign w:val="center"/>
          </w:tcPr>
          <w:p w14:paraId="1FB2B0A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4EFE216F">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09" w:type="dxa"/>
            <w:vAlign w:val="center"/>
          </w:tcPr>
          <w:p w14:paraId="23284B48">
            <w:pPr>
              <w:widowControl/>
              <w:jc w:val="center"/>
              <w:rPr>
                <w:rFonts w:ascii="Times New Roman" w:hAnsi="Times New Roman" w:eastAsia="仿宋" w:cs="Times New Roman"/>
                <w:i/>
                <w:kern w:val="0"/>
                <w:szCs w:val="21"/>
              </w:rPr>
            </w:pPr>
            <w:r>
              <w:rPr>
                <w:rFonts w:ascii="Times New Roman" w:hAnsi="Times New Roman" w:eastAsia="仿宋" w:cs="Times New Roman"/>
                <w:szCs w:val="21"/>
              </w:rPr>
              <w:t>冷水滩区</w:t>
            </w:r>
          </w:p>
        </w:tc>
        <w:tc>
          <w:tcPr>
            <w:tcW w:w="850" w:type="dxa"/>
            <w:vAlign w:val="center"/>
          </w:tcPr>
          <w:p w14:paraId="42D74DA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3B7CE7A5">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82.86</w:t>
            </w:r>
          </w:p>
        </w:tc>
        <w:tc>
          <w:tcPr>
            <w:tcW w:w="1134" w:type="dxa"/>
            <w:vAlign w:val="center"/>
          </w:tcPr>
          <w:p w14:paraId="2B9973B9">
            <w:pPr>
              <w:jc w:val="center"/>
              <w:rPr>
                <w:rFonts w:ascii="Times New Roman" w:hAnsi="Times New Roman" w:eastAsia="仿宋" w:cs="Times New Roman"/>
                <w:szCs w:val="21"/>
              </w:rPr>
            </w:pPr>
            <w:r>
              <w:rPr>
                <w:rFonts w:ascii="Times New Roman" w:hAnsi="Times New Roman" w:eastAsia="仿宋" w:cs="Times New Roman"/>
                <w:szCs w:val="21"/>
              </w:rPr>
              <w:t>杨村甸乡</w:t>
            </w:r>
          </w:p>
        </w:tc>
        <w:tc>
          <w:tcPr>
            <w:tcW w:w="1504" w:type="dxa"/>
            <w:vAlign w:val="center"/>
          </w:tcPr>
          <w:p w14:paraId="5ECD81E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农产品主产区/生态农旅发展区</w:t>
            </w:r>
          </w:p>
        </w:tc>
        <w:tc>
          <w:tcPr>
            <w:tcW w:w="2324" w:type="dxa"/>
            <w:gridSpan w:val="2"/>
            <w:vAlign w:val="center"/>
          </w:tcPr>
          <w:p w14:paraId="29613423">
            <w:pPr>
              <w:pStyle w:val="8"/>
              <w:jc w:val="left"/>
              <w:rPr>
                <w:rFonts w:eastAsia="仿宋"/>
                <w:i/>
                <w:sz w:val="21"/>
                <w:szCs w:val="21"/>
                <w:lang w:val="zh-CN"/>
              </w:rPr>
            </w:pPr>
            <w:r>
              <w:rPr>
                <w:rFonts w:eastAsia="仿宋"/>
                <w:sz w:val="21"/>
                <w:szCs w:val="21"/>
                <w:lang w:val="zh-CN"/>
              </w:rPr>
              <w:t>种植业、养殖业、</w:t>
            </w:r>
            <w:r>
              <w:rPr>
                <w:rFonts w:eastAsia="仿宋"/>
                <w:sz w:val="21"/>
                <w:szCs w:val="21"/>
              </w:rPr>
              <w:t>旅游业</w:t>
            </w:r>
            <w:r>
              <w:rPr>
                <w:rFonts w:eastAsia="仿宋"/>
                <w:sz w:val="21"/>
                <w:szCs w:val="21"/>
                <w:lang w:val="zh-CN"/>
              </w:rPr>
              <w:t>等</w:t>
            </w:r>
            <w:r>
              <w:rPr>
                <w:rFonts w:eastAsia="仿宋"/>
                <w:i/>
                <w:sz w:val="21"/>
                <w:szCs w:val="21"/>
                <w:lang w:val="zh-CN"/>
              </w:rPr>
              <w:t>。</w:t>
            </w:r>
          </w:p>
        </w:tc>
        <w:tc>
          <w:tcPr>
            <w:tcW w:w="3373" w:type="dxa"/>
            <w:vAlign w:val="center"/>
          </w:tcPr>
          <w:p w14:paraId="51AC77C2">
            <w:pPr>
              <w:widowControl/>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1F0629A4">
            <w:pPr>
              <w:widowControl/>
              <w:rPr>
                <w:rFonts w:ascii="Times New Roman" w:hAnsi="Times New Roman" w:eastAsia="仿宋" w:cs="Times New Roman"/>
                <w:kern w:val="0"/>
                <w:szCs w:val="21"/>
              </w:rPr>
            </w:pPr>
            <w:r>
              <w:rPr>
                <w:rFonts w:ascii="Times New Roman" w:hAnsi="Times New Roman" w:eastAsia="仿宋" w:cs="Times New Roman"/>
                <w:kern w:val="0"/>
                <w:szCs w:val="21"/>
              </w:rPr>
              <w:t>环保目标：湖南冷水滩省级湿地公园。</w:t>
            </w:r>
          </w:p>
        </w:tc>
      </w:tr>
      <w:tr w14:paraId="3BE2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83" w:type="dxa"/>
            <w:vAlign w:val="center"/>
          </w:tcPr>
          <w:p w14:paraId="264497B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17" w:type="dxa"/>
            <w:gridSpan w:val="11"/>
            <w:vAlign w:val="center"/>
          </w:tcPr>
          <w:p w14:paraId="38113089">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森林公园/水源涵养重要区/三区三线生态红线/湿地公园/水土流失敏感区/原生态红线/生物多样性保护功能重要区）；水环境优先保护区/水环境一般管控区；大气环境优先保护区/大气环境受体敏感重点管控区；农用地优先保护区/一般管控区</w:t>
            </w:r>
          </w:p>
        </w:tc>
      </w:tr>
      <w:tr w14:paraId="0D3E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Align w:val="center"/>
          </w:tcPr>
          <w:p w14:paraId="42AEFE01">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642" w:type="dxa"/>
            <w:gridSpan w:val="9"/>
            <w:vAlign w:val="center"/>
          </w:tcPr>
          <w:p w14:paraId="2B4C26C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275" w:type="dxa"/>
            <w:gridSpan w:val="2"/>
            <w:vAlign w:val="center"/>
          </w:tcPr>
          <w:p w14:paraId="4EC8EF90">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BC1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vAlign w:val="center"/>
          </w:tcPr>
          <w:p w14:paraId="3DB9536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642" w:type="dxa"/>
            <w:gridSpan w:val="9"/>
            <w:vAlign w:val="center"/>
          </w:tcPr>
          <w:p w14:paraId="1C5E631B">
            <w:pPr>
              <w:pStyle w:val="55"/>
              <w:numPr>
                <w:ilvl w:val="1"/>
                <w:numId w:val="2"/>
              </w:numPr>
              <w:ind w:firstLine="420"/>
              <w:rPr>
                <w:rFonts w:eastAsia="仿宋"/>
                <w:szCs w:val="21"/>
              </w:rPr>
            </w:pPr>
            <w:r>
              <w:rPr>
                <w:rFonts w:eastAsia="仿宋"/>
                <w:szCs w:val="21"/>
              </w:rPr>
              <w:t>畜禽养殖产业布局应符合《冷水滩区畜禽养殖规模“三区”划定方案》的规定。</w:t>
            </w:r>
          </w:p>
          <w:p w14:paraId="133CB32F">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（1.2）砂石土矿的开采严格遵照《永州市冷水滩区普通建筑材料用砂石土矿专项规划（2019-2025年）》规定。禁止开采区不得设置砂石土矿，已有采矿权应立即退出。</w:t>
            </w:r>
          </w:p>
        </w:tc>
        <w:tc>
          <w:tcPr>
            <w:tcW w:w="5275" w:type="dxa"/>
            <w:gridSpan w:val="2"/>
            <w:vMerge w:val="restart"/>
            <w:vAlign w:val="center"/>
          </w:tcPr>
          <w:p w14:paraId="30583784">
            <w:pPr>
              <w:numPr>
                <w:ilvl w:val="1"/>
                <w:numId w:val="3"/>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永州市冷水滩区人民政府办公室关于印发《冷水滩区畜禽养殖规模“三区”划定方案》的通知（冷政办发〔2020〕2号）；</w:t>
            </w:r>
          </w:p>
          <w:p w14:paraId="37B75695">
            <w:pPr>
              <w:numPr>
                <w:ilvl w:val="1"/>
                <w:numId w:val="3"/>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《永州市冷水滩区普通建筑材料用砂石土矿专项规划（2019-2025年）》；</w:t>
            </w:r>
          </w:p>
          <w:p w14:paraId="57C6E768">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（2.1）《永州市冷水滩区“十四五”生态环境保护规划》；</w:t>
            </w:r>
          </w:p>
          <w:p w14:paraId="7841E44F">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（2.2）《永州市冷水滩区“十四五”生态环境保护规划》；</w:t>
            </w:r>
          </w:p>
          <w:p w14:paraId="0A6EE8E8">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（2.3）《永州市冷水滩区普通建筑材料用砂石土矿专项规划（2019-2025年）》；</w:t>
            </w:r>
          </w:p>
          <w:p w14:paraId="1DAB54EE">
            <w:pPr>
              <w:tabs>
                <w:tab w:val="left" w:pos="1021"/>
              </w:tabs>
              <w:rPr>
                <w:rFonts w:ascii="Times New Roman" w:hAnsi="Times New Roman" w:eastAsia="仿宋" w:cs="Times New Roman"/>
                <w:szCs w:val="21"/>
              </w:rPr>
            </w:pPr>
            <w:r>
              <w:rPr>
                <w:rFonts w:ascii="Times New Roman" w:hAnsi="Times New Roman" w:eastAsia="仿宋" w:cs="Times New Roman"/>
                <w:szCs w:val="21"/>
              </w:rPr>
              <w:t>（3.1）《永州市冷水滩区“十四五”生态环境保护规划》；</w:t>
            </w:r>
          </w:p>
          <w:p w14:paraId="669A3D56">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（4.1）《永州市冷水滩区大气污染防治攻坚行动计划（2023-2025）》；</w:t>
            </w:r>
          </w:p>
          <w:p w14:paraId="5B2BE259">
            <w:pPr>
              <w:adjustRightInd w:val="0"/>
              <w:snapToGrid w:val="0"/>
              <w:rPr>
                <w:rFonts w:ascii="Times New Roman" w:hAnsi="Times New Roman" w:eastAsia="仿宋" w:cs="Times New Roman"/>
                <w:szCs w:val="21"/>
              </w:rPr>
            </w:pPr>
            <w:r>
              <w:rPr>
                <w:rFonts w:ascii="Times New Roman" w:hAnsi="Times New Roman" w:eastAsia="仿宋" w:cs="Times New Roman"/>
                <w:szCs w:val="21"/>
              </w:rPr>
              <w:t>（4.2.）《关于调整永州市“十四五”用水总量和强度双控目标的通知》（永水发〔2024〕1号）。</w:t>
            </w:r>
          </w:p>
        </w:tc>
      </w:tr>
      <w:tr w14:paraId="6F6B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7BA90DA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642" w:type="dxa"/>
            <w:gridSpan w:val="9"/>
            <w:vAlign w:val="center"/>
          </w:tcPr>
          <w:p w14:paraId="69478AC2">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2.1）建立健全符合农村实际、方式多样的生活垃圾收运处置体系，鼓励实行城乡垃圾处理一体化。鼓励实行城乡垃圾处理一体化。到2025年，农村生活垃圾收集处置体系实现乡镇全覆盖，生活垃圾定点存放清运率100%，垃圾分类减量85%以上，集镇生活垃圾无害化处置率达90%。</w:t>
            </w:r>
          </w:p>
          <w:p w14:paraId="2FBF075F">
            <w:pPr>
              <w:pStyle w:val="55"/>
              <w:rPr>
                <w:rFonts w:eastAsia="仿宋"/>
                <w:szCs w:val="21"/>
              </w:rPr>
            </w:pPr>
            <w:r>
              <w:rPr>
                <w:rFonts w:eastAsia="仿宋"/>
                <w:szCs w:val="21"/>
              </w:rPr>
              <w:t>（2.2）严格控制烟花爆竹，全区禁止露天焚烧秸秆，支持秸秆回收利用。</w:t>
            </w:r>
          </w:p>
          <w:p w14:paraId="505837D5">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（2.3）新建矿山和改扩建矿山严格执行矿山准入条件，按照矿山地质环境综合防治方案及水土保持方案，履行环境恢复治理与土地复垦义务。</w:t>
            </w:r>
          </w:p>
          <w:p w14:paraId="7BA47ED7">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强化矿山废水、废石、废渣综合利用，坚持“三废”达标排放，鼓励采用先进的设备、工艺，实行清洁生产，实现矿山废弃物的减量化、再利用化和资源化。</w:t>
            </w:r>
          </w:p>
        </w:tc>
        <w:tc>
          <w:tcPr>
            <w:tcW w:w="5275" w:type="dxa"/>
            <w:gridSpan w:val="2"/>
            <w:vMerge w:val="continue"/>
            <w:vAlign w:val="center"/>
          </w:tcPr>
          <w:p w14:paraId="49713FF9">
            <w:pPr>
              <w:widowControl/>
              <w:jc w:val="left"/>
              <w:rPr>
                <w:rFonts w:ascii="Times New Roman" w:hAnsi="Times New Roman" w:eastAsia="仿宋" w:cs="Times New Roman"/>
                <w:szCs w:val="21"/>
              </w:rPr>
            </w:pPr>
          </w:p>
        </w:tc>
      </w:tr>
      <w:tr w14:paraId="376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18ADC8E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642" w:type="dxa"/>
            <w:gridSpan w:val="9"/>
            <w:vAlign w:val="center"/>
          </w:tcPr>
          <w:p w14:paraId="31371F4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（3.1）企业应定期开展环境应急培训，加大应急预案演练频次和力度， 提高预案的可操作性和有效性。建设区域环境应急联防联控体系，建立紧密协同、快速反应的工作机制。</w:t>
            </w:r>
          </w:p>
        </w:tc>
        <w:tc>
          <w:tcPr>
            <w:tcW w:w="5275" w:type="dxa"/>
            <w:gridSpan w:val="2"/>
            <w:vMerge w:val="continue"/>
            <w:vAlign w:val="center"/>
          </w:tcPr>
          <w:p w14:paraId="3F6C7B8B">
            <w:pPr>
              <w:widowControl/>
              <w:jc w:val="left"/>
              <w:rPr>
                <w:rFonts w:ascii="Times New Roman" w:hAnsi="Times New Roman" w:eastAsia="仿宋" w:cs="Times New Roman"/>
                <w:szCs w:val="21"/>
              </w:rPr>
            </w:pPr>
          </w:p>
        </w:tc>
      </w:tr>
      <w:tr w14:paraId="0756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83" w:type="dxa"/>
            <w:vAlign w:val="center"/>
          </w:tcPr>
          <w:p w14:paraId="2BE1DCB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642" w:type="dxa"/>
            <w:gridSpan w:val="9"/>
            <w:vAlign w:val="center"/>
          </w:tcPr>
          <w:p w14:paraId="332373B2">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（4.1）能源：</w:t>
            </w:r>
          </w:p>
          <w:p w14:paraId="082353DB">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严格控制煤炭消费总量，提高电煤消费占比。有序推进“煤改气”“煤改电”，加快天然气在工业领域的应用，加快实施电能替代，推广使用工业电锅窑炉、电热釜等设备。</w:t>
            </w:r>
          </w:p>
          <w:p w14:paraId="0A54C18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37EF4B8E">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2025年，冷水滩区用水总量控制在32162万立方米以内，农业用水总量控制在15328万立方米以内，万元地区生产总值用水量、万元工业增加值用水量分别比2020年降低30.00%、8.87%，农田灌溉水有效利用系数为0.540。</w:t>
            </w:r>
          </w:p>
        </w:tc>
        <w:tc>
          <w:tcPr>
            <w:tcW w:w="5275" w:type="dxa"/>
            <w:gridSpan w:val="2"/>
            <w:vMerge w:val="continue"/>
            <w:vAlign w:val="center"/>
          </w:tcPr>
          <w:p w14:paraId="3B839646">
            <w:pPr>
              <w:widowControl/>
              <w:jc w:val="left"/>
              <w:rPr>
                <w:rFonts w:ascii="Times New Roman" w:hAnsi="Times New Roman" w:eastAsia="仿宋" w:cs="Times New Roman"/>
                <w:szCs w:val="21"/>
              </w:rPr>
            </w:pPr>
          </w:p>
        </w:tc>
      </w:tr>
    </w:tbl>
    <w:p w14:paraId="3E35F8A0">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215"/>
        <w:gridCol w:w="450"/>
        <w:gridCol w:w="533"/>
        <w:gridCol w:w="533"/>
        <w:gridCol w:w="850"/>
        <w:gridCol w:w="1467"/>
        <w:gridCol w:w="1517"/>
        <w:gridCol w:w="1127"/>
        <w:gridCol w:w="606"/>
        <w:gridCol w:w="2000"/>
        <w:gridCol w:w="2619"/>
      </w:tblGrid>
      <w:tr w14:paraId="7BAE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Merge w:val="restart"/>
            <w:vAlign w:val="center"/>
          </w:tcPr>
          <w:p w14:paraId="613C1B2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215" w:type="dxa"/>
            <w:vMerge w:val="restart"/>
            <w:vAlign w:val="center"/>
          </w:tcPr>
          <w:p w14:paraId="5255A5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16" w:type="dxa"/>
            <w:gridSpan w:val="3"/>
            <w:vAlign w:val="center"/>
          </w:tcPr>
          <w:p w14:paraId="3C56FF5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50" w:type="dxa"/>
            <w:vMerge w:val="restart"/>
            <w:vAlign w:val="center"/>
          </w:tcPr>
          <w:p w14:paraId="4997B25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467" w:type="dxa"/>
            <w:vMerge w:val="restart"/>
            <w:vAlign w:val="center"/>
          </w:tcPr>
          <w:p w14:paraId="6907F22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517" w:type="dxa"/>
            <w:vMerge w:val="restart"/>
            <w:vAlign w:val="center"/>
          </w:tcPr>
          <w:p w14:paraId="679AECE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33" w:type="dxa"/>
            <w:gridSpan w:val="2"/>
            <w:vMerge w:val="restart"/>
            <w:vAlign w:val="center"/>
          </w:tcPr>
          <w:p w14:paraId="155704A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000" w:type="dxa"/>
            <w:vMerge w:val="restart"/>
            <w:vAlign w:val="center"/>
          </w:tcPr>
          <w:p w14:paraId="4898D00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19" w:type="dxa"/>
            <w:vMerge w:val="restart"/>
            <w:vAlign w:val="center"/>
          </w:tcPr>
          <w:p w14:paraId="495B03D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6C4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1083" w:type="dxa"/>
            <w:vMerge w:val="continue"/>
          </w:tcPr>
          <w:p w14:paraId="22EE9716">
            <w:pPr>
              <w:widowControl/>
              <w:rPr>
                <w:rFonts w:ascii="Times New Roman" w:hAnsi="Times New Roman" w:eastAsia="仿宋" w:cs="Times New Roman"/>
                <w:b/>
                <w:kern w:val="0"/>
                <w:szCs w:val="21"/>
              </w:rPr>
            </w:pPr>
          </w:p>
        </w:tc>
        <w:tc>
          <w:tcPr>
            <w:tcW w:w="1215" w:type="dxa"/>
            <w:vMerge w:val="continue"/>
          </w:tcPr>
          <w:p w14:paraId="0BF8CE40">
            <w:pPr>
              <w:widowControl/>
              <w:rPr>
                <w:rFonts w:ascii="Times New Roman" w:hAnsi="Times New Roman" w:eastAsia="仿宋" w:cs="Times New Roman"/>
                <w:b/>
                <w:kern w:val="0"/>
                <w:szCs w:val="21"/>
              </w:rPr>
            </w:pPr>
          </w:p>
        </w:tc>
        <w:tc>
          <w:tcPr>
            <w:tcW w:w="450" w:type="dxa"/>
          </w:tcPr>
          <w:p w14:paraId="19DF85C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33" w:type="dxa"/>
          </w:tcPr>
          <w:p w14:paraId="65B9C5F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33" w:type="dxa"/>
          </w:tcPr>
          <w:p w14:paraId="1CBEC09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50" w:type="dxa"/>
            <w:vMerge w:val="continue"/>
          </w:tcPr>
          <w:p w14:paraId="240B8AAA">
            <w:pPr>
              <w:widowControl/>
              <w:rPr>
                <w:rFonts w:ascii="Times New Roman" w:hAnsi="Times New Roman" w:eastAsia="仿宋" w:cs="Times New Roman"/>
                <w:b/>
                <w:kern w:val="0"/>
                <w:szCs w:val="21"/>
              </w:rPr>
            </w:pPr>
          </w:p>
        </w:tc>
        <w:tc>
          <w:tcPr>
            <w:tcW w:w="1467" w:type="dxa"/>
            <w:vMerge w:val="continue"/>
          </w:tcPr>
          <w:p w14:paraId="56691862">
            <w:pPr>
              <w:widowControl/>
              <w:rPr>
                <w:rFonts w:ascii="Times New Roman" w:hAnsi="Times New Roman" w:eastAsia="仿宋" w:cs="Times New Roman"/>
                <w:b/>
                <w:kern w:val="0"/>
                <w:szCs w:val="21"/>
              </w:rPr>
            </w:pPr>
          </w:p>
        </w:tc>
        <w:tc>
          <w:tcPr>
            <w:tcW w:w="1517" w:type="dxa"/>
            <w:vMerge w:val="continue"/>
          </w:tcPr>
          <w:p w14:paraId="295B46AB">
            <w:pPr>
              <w:widowControl/>
              <w:rPr>
                <w:rFonts w:ascii="Times New Roman" w:hAnsi="Times New Roman" w:eastAsia="仿宋" w:cs="Times New Roman"/>
                <w:b/>
                <w:kern w:val="0"/>
                <w:szCs w:val="21"/>
              </w:rPr>
            </w:pPr>
          </w:p>
        </w:tc>
        <w:tc>
          <w:tcPr>
            <w:tcW w:w="1733" w:type="dxa"/>
            <w:gridSpan w:val="2"/>
            <w:vMerge w:val="continue"/>
          </w:tcPr>
          <w:p w14:paraId="08BF1F87">
            <w:pPr>
              <w:widowControl/>
              <w:rPr>
                <w:rFonts w:ascii="Times New Roman" w:hAnsi="Times New Roman" w:eastAsia="仿宋" w:cs="Times New Roman"/>
                <w:b/>
                <w:kern w:val="0"/>
                <w:szCs w:val="21"/>
              </w:rPr>
            </w:pPr>
          </w:p>
        </w:tc>
        <w:tc>
          <w:tcPr>
            <w:tcW w:w="2000" w:type="dxa"/>
            <w:vMerge w:val="continue"/>
          </w:tcPr>
          <w:p w14:paraId="14A0C62C">
            <w:pPr>
              <w:widowControl/>
              <w:rPr>
                <w:rFonts w:ascii="Times New Roman" w:hAnsi="Times New Roman" w:eastAsia="仿宋" w:cs="Times New Roman"/>
                <w:b/>
                <w:kern w:val="0"/>
                <w:szCs w:val="21"/>
              </w:rPr>
            </w:pPr>
          </w:p>
        </w:tc>
        <w:tc>
          <w:tcPr>
            <w:tcW w:w="2619" w:type="dxa"/>
            <w:vMerge w:val="continue"/>
          </w:tcPr>
          <w:p w14:paraId="217FF97B">
            <w:pPr>
              <w:widowControl/>
              <w:rPr>
                <w:rFonts w:ascii="Times New Roman" w:hAnsi="Times New Roman" w:eastAsia="仿宋" w:cs="Times New Roman"/>
                <w:b/>
                <w:kern w:val="0"/>
                <w:szCs w:val="21"/>
              </w:rPr>
            </w:pPr>
          </w:p>
        </w:tc>
      </w:tr>
      <w:tr w14:paraId="0C65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2" w:hRule="atLeast"/>
          <w:jc w:val="center"/>
        </w:trPr>
        <w:tc>
          <w:tcPr>
            <w:tcW w:w="1083" w:type="dxa"/>
            <w:vAlign w:val="center"/>
          </w:tcPr>
          <w:p w14:paraId="71A71662">
            <w:pPr>
              <w:jc w:val="center"/>
              <w:rPr>
                <w:rFonts w:ascii="Times New Roman" w:hAnsi="Times New Roman" w:eastAsia="仿宋" w:cs="Times New Roman"/>
                <w:szCs w:val="21"/>
              </w:rPr>
            </w:pPr>
            <w:r>
              <w:rPr>
                <w:rFonts w:ascii="Times New Roman" w:hAnsi="Times New Roman" w:eastAsia="仿宋" w:cs="Times New Roman"/>
                <w:szCs w:val="21"/>
              </w:rPr>
              <w:t>ZH43110320001</w:t>
            </w:r>
          </w:p>
        </w:tc>
        <w:tc>
          <w:tcPr>
            <w:tcW w:w="1215" w:type="dxa"/>
            <w:vAlign w:val="center"/>
          </w:tcPr>
          <w:p w14:paraId="4BBB7C25">
            <w:pPr>
              <w:jc w:val="center"/>
              <w:rPr>
                <w:rFonts w:ascii="Times New Roman" w:hAnsi="Times New Roman" w:eastAsia="仿宋" w:cs="Times New Roman"/>
                <w:szCs w:val="21"/>
              </w:rPr>
            </w:pPr>
            <w:r>
              <w:rPr>
                <w:rFonts w:ascii="Times New Roman" w:hAnsi="Times New Roman" w:eastAsia="仿宋" w:cs="Times New Roman"/>
                <w:szCs w:val="21"/>
              </w:rPr>
              <w:t>仁湾街道/珊瑚街道/凤凰街道/高溪市镇/岚角山街道/菱角山街道/梅湾街道/曲河街道/上岭桥镇/梧桐街道/肖家园街道/杨家桥街道/伊塘镇</w:t>
            </w:r>
          </w:p>
        </w:tc>
        <w:tc>
          <w:tcPr>
            <w:tcW w:w="450" w:type="dxa"/>
            <w:vAlign w:val="center"/>
          </w:tcPr>
          <w:p w14:paraId="0F51FB6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33" w:type="dxa"/>
            <w:vAlign w:val="center"/>
          </w:tcPr>
          <w:p w14:paraId="14EC6FB8">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33" w:type="dxa"/>
            <w:vAlign w:val="center"/>
          </w:tcPr>
          <w:p w14:paraId="6AA83744">
            <w:pPr>
              <w:widowControl/>
              <w:jc w:val="center"/>
              <w:rPr>
                <w:rFonts w:ascii="Times New Roman" w:hAnsi="Times New Roman" w:eastAsia="仿宋" w:cs="Times New Roman"/>
                <w:i/>
                <w:kern w:val="0"/>
                <w:szCs w:val="21"/>
              </w:rPr>
            </w:pPr>
            <w:r>
              <w:rPr>
                <w:rFonts w:ascii="Times New Roman" w:hAnsi="Times New Roman" w:eastAsia="仿宋" w:cs="Times New Roman"/>
                <w:szCs w:val="21"/>
              </w:rPr>
              <w:t>冷水滩区</w:t>
            </w:r>
          </w:p>
        </w:tc>
        <w:tc>
          <w:tcPr>
            <w:tcW w:w="850" w:type="dxa"/>
            <w:vAlign w:val="center"/>
          </w:tcPr>
          <w:p w14:paraId="0186B6B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467" w:type="dxa"/>
            <w:vAlign w:val="center"/>
          </w:tcPr>
          <w:p w14:paraId="38F0688E">
            <w:pPr>
              <w:widowControl/>
              <w:jc w:val="center"/>
              <w:rPr>
                <w:rFonts w:ascii="Times New Roman" w:hAnsi="Times New Roman" w:eastAsia="仿宋" w:cs="Times New Roman"/>
                <w:strike/>
                <w:szCs w:val="21"/>
              </w:rPr>
            </w:pPr>
            <w:r>
              <w:rPr>
                <w:rFonts w:ascii="Times New Roman" w:hAnsi="Times New Roman" w:eastAsia="仿宋" w:cs="Times New Roman"/>
                <w:szCs w:val="21"/>
              </w:rPr>
              <w:t>312.64</w:t>
            </w:r>
          </w:p>
        </w:tc>
        <w:tc>
          <w:tcPr>
            <w:tcW w:w="1517" w:type="dxa"/>
            <w:vAlign w:val="center"/>
          </w:tcPr>
          <w:p w14:paraId="6C7ED3B3">
            <w:pPr>
              <w:jc w:val="center"/>
              <w:rPr>
                <w:rFonts w:ascii="Times New Roman" w:hAnsi="Times New Roman" w:eastAsia="仿宋" w:cs="Times New Roman"/>
                <w:szCs w:val="21"/>
              </w:rPr>
            </w:pPr>
            <w:r>
              <w:rPr>
                <w:rFonts w:ascii="Times New Roman" w:hAnsi="Times New Roman" w:eastAsia="仿宋" w:cs="Times New Roman"/>
                <w:szCs w:val="21"/>
              </w:rPr>
              <w:t>仁湾街道/珊瑚街道/凤凰街道/高溪市镇/岚角山街道/菱角山街道/梅湾街道/曲河街道/上岭桥镇/梧桐街道/肖家园街道/杨家桥街道/伊塘镇</w:t>
            </w:r>
          </w:p>
        </w:tc>
        <w:tc>
          <w:tcPr>
            <w:tcW w:w="1733" w:type="dxa"/>
            <w:gridSpan w:val="2"/>
            <w:vAlign w:val="center"/>
          </w:tcPr>
          <w:p w14:paraId="31C80E45">
            <w:pPr>
              <w:jc w:val="center"/>
              <w:rPr>
                <w:rFonts w:ascii="Times New Roman" w:hAnsi="Times New Roman" w:eastAsia="仿宋" w:cs="Times New Roman"/>
                <w:szCs w:val="21"/>
              </w:rPr>
            </w:pPr>
            <w:r>
              <w:rPr>
                <w:rFonts w:ascii="Times New Roman" w:hAnsi="Times New Roman" w:eastAsia="仿宋" w:cs="Times New Roman"/>
                <w:b/>
                <w:bCs/>
                <w:szCs w:val="21"/>
              </w:rPr>
              <w:t>仁湾街道、珊瑚街道、凤凰街道、岚角山街道、菱角山街道、梅湾街道、曲河街道、上岭桥镇、梧桐街道、肖家园街道、杨家桥街道：</w:t>
            </w:r>
            <w:r>
              <w:rPr>
                <w:rFonts w:ascii="Times New Roman" w:hAnsi="Times New Roman" w:eastAsia="仿宋" w:cs="Times New Roman"/>
                <w:kern w:val="0"/>
                <w:szCs w:val="21"/>
              </w:rPr>
              <w:t>城市化地区；</w:t>
            </w:r>
            <w:r>
              <w:rPr>
                <w:rFonts w:ascii="Times New Roman" w:hAnsi="Times New Roman" w:eastAsia="仿宋" w:cs="Times New Roman"/>
                <w:b/>
                <w:bCs/>
                <w:szCs w:val="21"/>
              </w:rPr>
              <w:t>高溪市镇：</w:t>
            </w:r>
            <w:r>
              <w:rPr>
                <w:rFonts w:ascii="Times New Roman" w:hAnsi="Times New Roman" w:eastAsia="仿宋" w:cs="Times New Roman"/>
                <w:kern w:val="0"/>
                <w:szCs w:val="21"/>
              </w:rPr>
              <w:t>农产品主产区；</w:t>
            </w:r>
            <w:r>
              <w:rPr>
                <w:rFonts w:ascii="Times New Roman" w:hAnsi="Times New Roman" w:eastAsia="仿宋" w:cs="Times New Roman"/>
                <w:b/>
                <w:bCs/>
                <w:szCs w:val="21"/>
              </w:rPr>
              <w:t>伊塘镇：</w:t>
            </w:r>
            <w:r>
              <w:rPr>
                <w:rFonts w:ascii="Times New Roman" w:hAnsi="Times New Roman" w:eastAsia="仿宋" w:cs="Times New Roman"/>
                <w:kern w:val="0"/>
                <w:szCs w:val="21"/>
              </w:rPr>
              <w:t>农产品主产区/特色农业发展区</w:t>
            </w:r>
          </w:p>
        </w:tc>
        <w:tc>
          <w:tcPr>
            <w:tcW w:w="2000" w:type="dxa"/>
            <w:vAlign w:val="center"/>
          </w:tcPr>
          <w:p w14:paraId="4274CCF3">
            <w:pPr>
              <w:rPr>
                <w:rFonts w:ascii="Times New Roman" w:hAnsi="Times New Roman" w:eastAsia="仿宋" w:cs="Times New Roman"/>
                <w:szCs w:val="21"/>
              </w:rPr>
            </w:pPr>
            <w:r>
              <w:rPr>
                <w:rFonts w:ascii="Times New Roman" w:hAnsi="Times New Roman" w:eastAsia="仿宋" w:cs="Times New Roman"/>
                <w:b/>
                <w:bCs/>
                <w:szCs w:val="21"/>
              </w:rPr>
              <w:t>仁湾街道</w:t>
            </w:r>
            <w:r>
              <w:rPr>
                <w:rFonts w:ascii="Times New Roman" w:hAnsi="Times New Roman" w:eastAsia="仿宋" w:cs="Times New Roman"/>
                <w:szCs w:val="21"/>
              </w:rPr>
              <w:t>：建材加工、生态农业、农产品加工业</w:t>
            </w:r>
          </w:p>
          <w:p w14:paraId="2E3F3810">
            <w:pPr>
              <w:rPr>
                <w:rFonts w:ascii="Times New Roman" w:hAnsi="Times New Roman" w:eastAsia="仿宋" w:cs="Times New Roman"/>
                <w:szCs w:val="21"/>
              </w:rPr>
            </w:pPr>
            <w:r>
              <w:rPr>
                <w:rFonts w:ascii="Times New Roman" w:hAnsi="Times New Roman" w:eastAsia="仿宋" w:cs="Times New Roman"/>
                <w:b/>
                <w:bCs/>
                <w:szCs w:val="21"/>
              </w:rPr>
              <w:t>珊瑚街道（含马坪）：</w:t>
            </w:r>
            <w:r>
              <w:rPr>
                <w:rFonts w:ascii="Times New Roman" w:hAnsi="Times New Roman" w:eastAsia="仿宋" w:cs="Times New Roman"/>
                <w:szCs w:val="21"/>
              </w:rPr>
              <w:t>工业</w:t>
            </w:r>
            <w:r>
              <w:rPr>
                <w:rFonts w:ascii="Times New Roman" w:hAnsi="Times New Roman" w:eastAsia="仿宋" w:cs="Times New Roman"/>
                <w:szCs w:val="21"/>
                <w:u w:val="single"/>
              </w:rPr>
              <w:t>兼顾</w:t>
            </w:r>
            <w:r>
              <w:rPr>
                <w:rFonts w:ascii="Times New Roman" w:hAnsi="Times New Roman" w:eastAsia="仿宋" w:cs="Times New Roman"/>
                <w:szCs w:val="21"/>
              </w:rPr>
              <w:t>物流服务业</w:t>
            </w:r>
          </w:p>
          <w:p w14:paraId="138F97C6">
            <w:pPr>
              <w:rPr>
                <w:rFonts w:ascii="Times New Roman" w:hAnsi="Times New Roman" w:eastAsia="仿宋" w:cs="Times New Roman"/>
                <w:szCs w:val="21"/>
              </w:rPr>
            </w:pPr>
            <w:r>
              <w:rPr>
                <w:rFonts w:ascii="Times New Roman" w:hAnsi="Times New Roman" w:eastAsia="仿宋" w:cs="Times New Roman"/>
                <w:b/>
                <w:bCs/>
                <w:szCs w:val="21"/>
              </w:rPr>
              <w:t>凤凰街道：</w:t>
            </w:r>
            <w:r>
              <w:rPr>
                <w:rFonts w:ascii="Times New Roman" w:hAnsi="Times New Roman" w:eastAsia="仿宋" w:cs="Times New Roman"/>
                <w:szCs w:val="21"/>
              </w:rPr>
              <w:t>与工业园配套的物流、等。</w:t>
            </w:r>
          </w:p>
          <w:p w14:paraId="415D3607">
            <w:pPr>
              <w:rPr>
                <w:rFonts w:ascii="Times New Roman" w:hAnsi="Times New Roman" w:eastAsia="仿宋" w:cs="Times New Roman"/>
                <w:szCs w:val="21"/>
              </w:rPr>
            </w:pPr>
            <w:r>
              <w:rPr>
                <w:rFonts w:ascii="Times New Roman" w:hAnsi="Times New Roman" w:eastAsia="仿宋" w:cs="Times New Roman"/>
                <w:b/>
                <w:bCs/>
                <w:szCs w:val="21"/>
              </w:rPr>
              <w:t>菱角山街道、梅湾街道、曲河街道、梧桐街道、肖家园街道、杨家桥街道：</w:t>
            </w:r>
            <w:r>
              <w:rPr>
                <w:rFonts w:ascii="Times New Roman" w:hAnsi="Times New Roman" w:eastAsia="仿宋" w:cs="Times New Roman"/>
                <w:szCs w:val="21"/>
              </w:rPr>
              <w:t>服务业。</w:t>
            </w:r>
          </w:p>
          <w:p w14:paraId="17305599">
            <w:pPr>
              <w:pStyle w:val="8"/>
              <w:spacing w:after="0"/>
              <w:rPr>
                <w:rFonts w:eastAsia="仿宋"/>
                <w:sz w:val="21"/>
                <w:szCs w:val="21"/>
                <w:lang w:val="zh-CN"/>
              </w:rPr>
            </w:pPr>
            <w:r>
              <w:rPr>
                <w:rFonts w:eastAsia="仿宋"/>
                <w:b/>
                <w:bCs/>
                <w:sz w:val="21"/>
                <w:szCs w:val="21"/>
              </w:rPr>
              <w:t>高溪市镇、岚角山街道、上岭桥镇：</w:t>
            </w:r>
            <w:r>
              <w:rPr>
                <w:rFonts w:eastAsia="仿宋"/>
                <w:sz w:val="21"/>
                <w:szCs w:val="21"/>
                <w:lang w:val="zh-CN"/>
              </w:rPr>
              <w:t>农业、生态旅游、农产品加工业等；高科园范围内以工业为主。</w:t>
            </w:r>
          </w:p>
          <w:p w14:paraId="77B28E76">
            <w:pPr>
              <w:pStyle w:val="8"/>
              <w:spacing w:after="0"/>
              <w:rPr>
                <w:rFonts w:eastAsia="仿宋"/>
                <w:sz w:val="21"/>
                <w:szCs w:val="21"/>
                <w:lang w:val="zh-CN"/>
              </w:rPr>
            </w:pPr>
            <w:r>
              <w:rPr>
                <w:rFonts w:eastAsia="仿宋"/>
                <w:b/>
                <w:bCs/>
                <w:sz w:val="21"/>
                <w:szCs w:val="21"/>
              </w:rPr>
              <w:t>伊塘镇：</w:t>
            </w:r>
            <w:r>
              <w:rPr>
                <w:rFonts w:eastAsia="仿宋"/>
                <w:sz w:val="21"/>
                <w:szCs w:val="21"/>
                <w:lang w:val="zh-CN"/>
              </w:rPr>
              <w:t>农产品主产区/特色农业发展区</w:t>
            </w:r>
            <w:r>
              <w:rPr>
                <w:rFonts w:eastAsia="仿宋"/>
                <w:i/>
                <w:sz w:val="21"/>
                <w:szCs w:val="21"/>
                <w:lang w:val="zh-CN"/>
              </w:rPr>
              <w:t>。</w:t>
            </w:r>
          </w:p>
        </w:tc>
        <w:tc>
          <w:tcPr>
            <w:tcW w:w="2619" w:type="dxa"/>
            <w:vAlign w:val="center"/>
          </w:tcPr>
          <w:p w14:paraId="3DABFC99">
            <w:pPr>
              <w:widowControl/>
              <w:rPr>
                <w:rFonts w:ascii="Times New Roman" w:hAnsi="Times New Roman" w:eastAsia="仿宋" w:cs="Times New Roman"/>
                <w:szCs w:val="21"/>
              </w:rPr>
            </w:pPr>
            <w:r>
              <w:rPr>
                <w:rFonts w:ascii="Times New Roman" w:hAnsi="Times New Roman" w:eastAsia="仿宋" w:cs="Times New Roman"/>
                <w:szCs w:val="21"/>
              </w:rPr>
              <w:t>无明显环境问题。</w:t>
            </w:r>
          </w:p>
          <w:p w14:paraId="65130835">
            <w:pPr>
              <w:widowControl/>
              <w:rPr>
                <w:rFonts w:ascii="Times New Roman" w:hAnsi="Times New Roman" w:eastAsia="仿宋" w:cs="Times New Roman"/>
                <w:szCs w:val="21"/>
              </w:rPr>
            </w:pPr>
            <w:r>
              <w:rPr>
                <w:rFonts w:ascii="Times New Roman" w:hAnsi="Times New Roman" w:eastAsia="仿宋" w:cs="Times New Roman"/>
                <w:kern w:val="0"/>
                <w:szCs w:val="21"/>
              </w:rPr>
              <w:t>环保目标：湖南冷水滩省级湿地公园。</w:t>
            </w:r>
          </w:p>
        </w:tc>
      </w:tr>
      <w:tr w14:paraId="2F50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83" w:type="dxa"/>
          </w:tcPr>
          <w:p w14:paraId="405581BE">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17" w:type="dxa"/>
            <w:gridSpan w:val="11"/>
          </w:tcPr>
          <w:p w14:paraId="35FB7219">
            <w:pPr>
              <w:rPr>
                <w:rFonts w:ascii="Times New Roman" w:hAnsi="Times New Roman" w:eastAsia="仿宋" w:cs="Times New Roman"/>
                <w:b/>
                <w:kern w:val="0"/>
                <w:szCs w:val="21"/>
              </w:rPr>
            </w:pPr>
            <w:r>
              <w:rPr>
                <w:rFonts w:ascii="Times New Roman" w:hAnsi="Times New Roman" w:eastAsia="仿宋" w:cs="Times New Roman"/>
                <w:b/>
                <w:kern w:val="0"/>
                <w:szCs w:val="21"/>
              </w:rPr>
              <w:t>仁湾街道：</w:t>
            </w:r>
          </w:p>
          <w:p w14:paraId="451BF21B">
            <w:pPr>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原生态红线/生物多样性保护功能重要区/三区三线生态红线/水土流失敏感区）；水环境优先保护区/水环境工业污染重点管控区/水环境城镇生活污染重点管控区/水环境一般管控区；大气环境优先保护区/大气环境受体敏感重点管控区/大气环境高排放重点管控区；农用地优先保护区/建设用地重点管控区/其他重点管控区 /一般管控区；高污染燃料禁燃区</w:t>
            </w:r>
          </w:p>
          <w:p w14:paraId="634D3DB9">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珊瑚街道：</w:t>
            </w:r>
          </w:p>
          <w:p w14:paraId="5E3285E8">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湿地公园/原生态红线/生物多样性保护功能重要区）；水环境优先保护区/水环境城镇生活污染重点管控区/水环境工业污染重点管控区/水环境一般管控区；大气环境优先保护区/大气环境受体敏感重点管控区/大气环境高排放重点管控区；农用地优先保护区/建设用地重点管控区/其他重点管控区 /一般管控区；高污染燃料禁燃区</w:t>
            </w:r>
          </w:p>
          <w:p w14:paraId="20EE9D6B">
            <w:pPr>
              <w:rPr>
                <w:rFonts w:ascii="Times New Roman" w:hAnsi="Times New Roman" w:eastAsia="仿宋" w:cs="Times New Roman"/>
                <w:b/>
                <w:kern w:val="0"/>
                <w:szCs w:val="21"/>
              </w:rPr>
            </w:pPr>
            <w:r>
              <w:rPr>
                <w:rFonts w:ascii="Times New Roman" w:hAnsi="Times New Roman" w:eastAsia="仿宋" w:cs="Times New Roman"/>
                <w:b/>
                <w:kern w:val="0"/>
                <w:szCs w:val="21"/>
              </w:rPr>
              <w:t>凤凰街道：</w:t>
            </w:r>
          </w:p>
          <w:p w14:paraId="06D35701">
            <w:pPr>
              <w:rPr>
                <w:rFonts w:ascii="Times New Roman" w:hAnsi="Times New Roman" w:eastAsia="仿宋" w:cs="Times New Roman"/>
                <w:kern w:val="0"/>
                <w:szCs w:val="21"/>
              </w:rPr>
            </w:pPr>
            <w:r>
              <w:rPr>
                <w:rFonts w:ascii="Times New Roman" w:hAnsi="Times New Roman" w:eastAsia="仿宋" w:cs="Times New Roman"/>
                <w:kern w:val="0"/>
                <w:szCs w:val="21"/>
              </w:rPr>
              <w:t>红线（湿地公园）；水环境优先保护区 /水环境城镇生活污染重点管控区/水环境工业污染重点管控区；大气环境优先保护区/大气环境高排放重点管控区/大气环境受体敏感重点管控区/大气环境布局敏感重点管控区；农用地优先保护区/建设用地重点管控区/一般管控区；高污染燃料禁燃区</w:t>
            </w:r>
          </w:p>
          <w:p w14:paraId="59CE6DAA">
            <w:pPr>
              <w:tabs>
                <w:tab w:val="left" w:pos="1021"/>
              </w:tabs>
              <w:rPr>
                <w:rFonts w:ascii="Times New Roman" w:hAnsi="Times New Roman" w:eastAsia="仿宋" w:cs="Times New Roman"/>
                <w:b/>
                <w:bCs/>
                <w:kern w:val="0"/>
                <w:szCs w:val="21"/>
              </w:rPr>
            </w:pPr>
            <w:r>
              <w:rPr>
                <w:rFonts w:ascii="Times New Roman" w:hAnsi="Times New Roman" w:eastAsia="仿宋" w:cs="Times New Roman"/>
                <w:b/>
                <w:bCs/>
                <w:kern w:val="0"/>
                <w:szCs w:val="21"/>
              </w:rPr>
              <w:t>高溪市镇：</w:t>
            </w:r>
          </w:p>
          <w:p w14:paraId="46F15440">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原生态红线/水土流失敏感区）；水环境优先保护区/水环境一般管控区；大气环境优先保护区/大气环境布局敏感重点管控区/大气环境受体敏感重点管控区；农用地优先保护区/其他重点管控区/一般管控区；高污染燃料禁燃区</w:t>
            </w:r>
          </w:p>
          <w:p w14:paraId="7FD9894F">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岚角山街道：</w:t>
            </w:r>
          </w:p>
          <w:p w14:paraId="6C00286B">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湿地公园/生物多样性保护功能重要区/原生态红线/水土流失敏感区）；水环境优先保护区/水环境工业污染重点管控区/水环境一般管控区；大气环境优先保护区/大气环境受体敏感重点管控区/大气环境高排放重点管控区；农用地优先保护区/建设用地重点管控区/一般管控区；高污染燃料禁燃区</w:t>
            </w:r>
          </w:p>
          <w:p w14:paraId="2554FB3E">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菱角山街道：</w:t>
            </w:r>
          </w:p>
          <w:p w14:paraId="065427E6">
            <w:pPr>
              <w:tabs>
                <w:tab w:val="left" w:pos="1021"/>
              </w:tabs>
              <w:rPr>
                <w:rFonts w:ascii="Times New Roman" w:hAnsi="Times New Roman" w:eastAsia="仿宋" w:cs="Times New Roman"/>
                <w:b/>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一般生态空间（湿地公园/生物多样性保护功能重要区/水源涵养重要区/三区三线生态红线）；水环境优先保护区 /水环境城镇生活污染重点管控区；大气环境优先保护区/大气环境高排放重点管控区/大气环境受体敏感重点管控区/大气环境布局敏感重点管控区；农用地优先保护区/建设用地重点管控区/一般管控区；高污染燃料禁燃区</w:t>
            </w:r>
          </w:p>
          <w:p w14:paraId="071C1319">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梅湾街道：</w:t>
            </w:r>
          </w:p>
          <w:p w14:paraId="4746FA00">
            <w:pPr>
              <w:tabs>
                <w:tab w:val="left" w:pos="1021"/>
              </w:tabs>
              <w:rPr>
                <w:rFonts w:ascii="Times New Roman" w:hAnsi="Times New Roman" w:eastAsia="仿宋" w:cs="Times New Roman"/>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生物多样性保护功能重要区/三区三线生态红线/湿地公园/水源涵养重要区/水土流失敏感区）；水环境优先保护区；大气环境优先保护区/大气环境受体敏感重点管控区/大气环境布局敏感重点管控区；农用地优先保护区/一般管控区；高污染燃料禁燃区</w:t>
            </w:r>
          </w:p>
          <w:p w14:paraId="3C00749C">
            <w:pPr>
              <w:rPr>
                <w:rFonts w:ascii="Times New Roman" w:hAnsi="Times New Roman" w:eastAsia="仿宋" w:cs="Times New Roman"/>
                <w:b/>
                <w:kern w:val="0"/>
                <w:szCs w:val="21"/>
              </w:rPr>
            </w:pPr>
            <w:r>
              <w:rPr>
                <w:rFonts w:ascii="Times New Roman" w:hAnsi="Times New Roman" w:eastAsia="仿宋" w:cs="Times New Roman"/>
                <w:b/>
                <w:kern w:val="0"/>
                <w:szCs w:val="21"/>
              </w:rPr>
              <w:t>曲河街道：</w:t>
            </w:r>
          </w:p>
          <w:p w14:paraId="3C27B783">
            <w:pPr>
              <w:rPr>
                <w:rFonts w:ascii="Times New Roman" w:hAnsi="Times New Roman" w:eastAsia="仿宋" w:cs="Times New Roman"/>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湿地公园/生物多样性保护功能重要区/三区三线生态红线）；水环境优先保护区/水环境工业污染重点管控区；大气环境优先保护区/大气环境高排放重点管控区/大气环境受体敏感重点管控区/大气环境布局敏感重点管控区；农用地优先保护区/一般管控区；高污染燃料禁燃区</w:t>
            </w:r>
          </w:p>
          <w:p w14:paraId="59E140A5">
            <w:pPr>
              <w:rPr>
                <w:rFonts w:ascii="Times New Roman" w:hAnsi="Times New Roman" w:eastAsia="仿宋" w:cs="Times New Roman"/>
                <w:b/>
                <w:bCs/>
                <w:kern w:val="0"/>
                <w:szCs w:val="21"/>
              </w:rPr>
            </w:pPr>
            <w:r>
              <w:rPr>
                <w:rFonts w:ascii="Times New Roman" w:hAnsi="Times New Roman" w:eastAsia="仿宋" w:cs="Times New Roman"/>
                <w:b/>
                <w:bCs/>
                <w:kern w:val="0"/>
                <w:szCs w:val="21"/>
              </w:rPr>
              <w:t>上岭桥镇：</w:t>
            </w:r>
          </w:p>
          <w:p w14:paraId="345AE816">
            <w:pPr>
              <w:rPr>
                <w:rFonts w:ascii="Times New Roman" w:hAnsi="Times New Roman" w:eastAsia="仿宋" w:cs="Times New Roman"/>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水源涵养重要区/三区三线生态红线/湿地公园/原生态红线/水土流失敏感区/生物多样性保护功能重要区）；水环境优先保护区/水环境一般管控区；大气环境优先保护区/大气环境受体敏感重点管控区/大气环境布局敏感重点管控区/大气环境弱扩散重点管控区；农用地优先保护区/其他重点管控区/一般管控区；高污染燃料禁燃区</w:t>
            </w:r>
          </w:p>
          <w:p w14:paraId="296EB5F2">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梧桐街道：</w:t>
            </w:r>
          </w:p>
          <w:p w14:paraId="53B2CEC3">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水环境工业污染重点管控区 /水环境城镇生活污染重点管控区；大气环境受体敏感重点管控区/大气环境高排放重点管控区；一般管控区；高污染燃料禁燃区</w:t>
            </w:r>
          </w:p>
          <w:p w14:paraId="658D16CB">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肖家园街道：</w:t>
            </w:r>
          </w:p>
          <w:p w14:paraId="1CF12F84">
            <w:pPr>
              <w:tabs>
                <w:tab w:val="left" w:pos="1021"/>
              </w:tabs>
              <w:rPr>
                <w:rFonts w:ascii="Times New Roman" w:hAnsi="Times New Roman" w:eastAsia="仿宋" w:cs="Times New Roman"/>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一般生态空间（三区三线生态红线/生物多样性保护功能重要区/水源涵养重要区）；水环境优先保护区 /水环境城镇生活污染重点管控区；大气环境受体敏感重点管控区；一般管控区；高污染燃料禁燃区</w:t>
            </w:r>
          </w:p>
          <w:p w14:paraId="4A3D5FC7">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杨家桥街道：</w:t>
            </w:r>
          </w:p>
          <w:p w14:paraId="3047797D">
            <w:pPr>
              <w:tabs>
                <w:tab w:val="left" w:pos="1021"/>
              </w:tabs>
              <w:rPr>
                <w:rFonts w:ascii="Times New Roman" w:hAnsi="Times New Roman" w:eastAsia="仿宋" w:cs="Times New Roman"/>
                <w:kern w:val="0"/>
                <w:szCs w:val="21"/>
              </w:rPr>
            </w:pPr>
            <w:r>
              <w:rPr>
                <w:rFonts w:ascii="Times New Roman" w:hAnsi="Times New Roman" w:eastAsia="仿宋" w:cs="Times New Roman"/>
                <w:bCs/>
                <w:kern w:val="0"/>
                <w:szCs w:val="21"/>
              </w:rPr>
              <w:t>红线/</w:t>
            </w:r>
            <w:r>
              <w:rPr>
                <w:rFonts w:ascii="Times New Roman" w:hAnsi="Times New Roman" w:eastAsia="仿宋" w:cs="Times New Roman"/>
                <w:kern w:val="0"/>
                <w:szCs w:val="21"/>
              </w:rPr>
              <w:t>一般生态空间（湿地公园/生物多样性保护功能重要区/三区三线生态红线）；水环境优先保护区 /水环境城镇生活污染重点管控区；大气环境优先保护区/大气环境受体敏感重点管控区；一般管控区；高污染燃料禁燃区</w:t>
            </w:r>
          </w:p>
          <w:p w14:paraId="1B86E331">
            <w:pPr>
              <w:tabs>
                <w:tab w:val="left" w:pos="1021"/>
              </w:tabs>
              <w:rPr>
                <w:rFonts w:ascii="Times New Roman" w:hAnsi="Times New Roman" w:eastAsia="仿宋" w:cs="Times New Roman"/>
                <w:b/>
                <w:bCs/>
                <w:szCs w:val="21"/>
              </w:rPr>
            </w:pPr>
            <w:r>
              <w:rPr>
                <w:rFonts w:ascii="Times New Roman" w:hAnsi="Times New Roman" w:eastAsia="仿宋" w:cs="Times New Roman"/>
                <w:b/>
                <w:bCs/>
                <w:szCs w:val="21"/>
              </w:rPr>
              <w:t>伊塘镇：</w:t>
            </w:r>
          </w:p>
          <w:p w14:paraId="3DFF3920">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一般生态空间（水源涵养重要区/原生态红线/水土流失敏感区）；水环境一般管控区；大气环境高排放重点管控区/大气环境受体敏感重点管控区/大气环境弱扩散重点管控区；农用地优先保护区/其他重点管控区/一般管控区</w:t>
            </w:r>
          </w:p>
        </w:tc>
      </w:tr>
      <w:tr w14:paraId="7FEA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tcPr>
          <w:p w14:paraId="1C6A3D73">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692" w:type="dxa"/>
            <w:gridSpan w:val="8"/>
          </w:tcPr>
          <w:p w14:paraId="6A9796FE">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225" w:type="dxa"/>
            <w:gridSpan w:val="3"/>
          </w:tcPr>
          <w:p w14:paraId="7BCDAE40">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ABC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083" w:type="dxa"/>
            <w:vAlign w:val="center"/>
          </w:tcPr>
          <w:p w14:paraId="2BD19EA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692" w:type="dxa"/>
            <w:gridSpan w:val="8"/>
          </w:tcPr>
          <w:p w14:paraId="64295FF9">
            <w:pPr>
              <w:pStyle w:val="55"/>
              <w:rPr>
                <w:rFonts w:eastAsia="仿宋"/>
                <w:szCs w:val="21"/>
              </w:rPr>
            </w:pPr>
            <w:r>
              <w:rPr>
                <w:rFonts w:eastAsia="仿宋"/>
                <w:szCs w:val="21"/>
              </w:rPr>
              <w:t>（1.1）畜禽养殖产业布局应符合《冷水滩区畜禽养殖规模“三区”划定方案》的规定。</w:t>
            </w:r>
          </w:p>
          <w:p w14:paraId="697D81E1">
            <w:pPr>
              <w:pStyle w:val="55"/>
              <w:rPr>
                <w:rFonts w:eastAsia="仿宋"/>
                <w:strike/>
                <w:szCs w:val="21"/>
              </w:rPr>
            </w:pPr>
            <w:r>
              <w:rPr>
                <w:rFonts w:eastAsia="仿宋"/>
                <w:szCs w:val="21"/>
              </w:rPr>
              <w:t>（1.2）砂石土矿的开采严格遵照《永州市冷水滩区普通建筑材料用砂石土矿专项规划（2019-2025年）》规定。禁止开采区不得设置砂石土矿，已有采矿权应立即退出。</w:t>
            </w:r>
          </w:p>
        </w:tc>
        <w:tc>
          <w:tcPr>
            <w:tcW w:w="5225" w:type="dxa"/>
            <w:gridSpan w:val="3"/>
            <w:vMerge w:val="restart"/>
          </w:tcPr>
          <w:p w14:paraId="3F1B63FC">
            <w:pPr>
              <w:numPr>
                <w:ilvl w:val="1"/>
                <w:numId w:val="0"/>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（1.1）永州市冷水滩区人民政府办公室关于印发《冷水滩区畜禽养殖规模“三区”划定方案》的通知（冷政办发〔2020〕2号）；</w:t>
            </w:r>
          </w:p>
          <w:p w14:paraId="5D3CA31F">
            <w:pPr>
              <w:numPr>
                <w:ilvl w:val="1"/>
                <w:numId w:val="0"/>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（1.2）《永州市冷水滩区普通建筑材料用砂石土矿专项规划（2019-2025年）》；</w:t>
            </w:r>
          </w:p>
          <w:p w14:paraId="45CE1A7A">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（2.1）《永州市冷水滩区“十四五”生态环境保护规划》；</w:t>
            </w:r>
          </w:p>
          <w:p w14:paraId="55D92BBE">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（2.2）《永州市冷水滩区“十四五”生态环境保护规划》；</w:t>
            </w:r>
          </w:p>
          <w:p w14:paraId="2C82309C">
            <w:pPr>
              <w:widowControl/>
              <w:jc w:val="left"/>
              <w:rPr>
                <w:rFonts w:ascii="Times New Roman" w:hAnsi="Times New Roman" w:eastAsia="仿宋" w:cs="Times New Roman"/>
                <w:szCs w:val="21"/>
              </w:rPr>
            </w:pPr>
            <w:r>
              <w:rPr>
                <w:rFonts w:ascii="Times New Roman" w:hAnsi="Times New Roman" w:eastAsia="仿宋" w:cs="Times New Roman"/>
                <w:szCs w:val="21"/>
              </w:rPr>
              <w:t>（2.3）《永州市冷水滩区“十四五”生态环境保护规划》；</w:t>
            </w:r>
          </w:p>
          <w:p w14:paraId="0C1BBA85">
            <w:pPr>
              <w:tabs>
                <w:tab w:val="left" w:pos="1021"/>
              </w:tabs>
              <w:rPr>
                <w:rFonts w:ascii="Times New Roman" w:hAnsi="Times New Roman" w:eastAsia="仿宋" w:cs="Times New Roman"/>
                <w:szCs w:val="21"/>
              </w:rPr>
            </w:pPr>
            <w:r>
              <w:rPr>
                <w:rFonts w:ascii="Times New Roman" w:hAnsi="Times New Roman" w:eastAsia="仿宋" w:cs="Times New Roman"/>
                <w:szCs w:val="21"/>
              </w:rPr>
              <w:t>（2.4）《永州市冷水滩区“十四五”生态环境保护规划》；</w:t>
            </w:r>
          </w:p>
          <w:p w14:paraId="012E34CD">
            <w:pPr>
              <w:widowControl/>
              <w:jc w:val="left"/>
              <w:rPr>
                <w:rFonts w:ascii="Times New Roman" w:hAnsi="Times New Roman" w:eastAsia="仿宋" w:cs="Times New Roman"/>
                <w:szCs w:val="21"/>
              </w:rPr>
            </w:pPr>
            <w:r>
              <w:rPr>
                <w:rFonts w:ascii="Times New Roman" w:hAnsi="Times New Roman" w:eastAsia="仿宋" w:cs="Times New Roman"/>
                <w:szCs w:val="21"/>
              </w:rPr>
              <w:t>（2.5）《永州市冷水滩区“十四五”生态环境保护规划》；</w:t>
            </w:r>
          </w:p>
          <w:p w14:paraId="410E8D8C">
            <w:pPr>
              <w:widowControl/>
              <w:jc w:val="left"/>
              <w:rPr>
                <w:rFonts w:ascii="Times New Roman" w:hAnsi="Times New Roman" w:eastAsia="仿宋" w:cs="Times New Roman"/>
                <w:szCs w:val="21"/>
              </w:rPr>
            </w:pPr>
            <w:r>
              <w:rPr>
                <w:rFonts w:ascii="Times New Roman" w:hAnsi="Times New Roman" w:eastAsia="仿宋" w:cs="Times New Roman"/>
                <w:szCs w:val="21"/>
              </w:rPr>
              <w:t>（2.6）《永州市冷水滩区“十四五”生态环境保护规划》；</w:t>
            </w:r>
          </w:p>
          <w:p w14:paraId="0B6412A5">
            <w:pPr>
              <w:widowControl/>
              <w:jc w:val="left"/>
              <w:rPr>
                <w:rFonts w:ascii="Times New Roman" w:hAnsi="Times New Roman" w:eastAsia="仿宋" w:cs="Times New Roman"/>
                <w:szCs w:val="21"/>
              </w:rPr>
            </w:pPr>
            <w:r>
              <w:rPr>
                <w:rFonts w:ascii="Times New Roman" w:hAnsi="Times New Roman" w:eastAsia="仿宋" w:cs="Times New Roman"/>
                <w:szCs w:val="21"/>
              </w:rPr>
              <w:t>（3.1）《永州市冷水滩区“十四五”生态环境保护规划》；</w:t>
            </w:r>
          </w:p>
          <w:p w14:paraId="5322CA75">
            <w:pPr>
              <w:widowControl/>
              <w:jc w:val="left"/>
              <w:rPr>
                <w:rFonts w:ascii="Times New Roman" w:hAnsi="Times New Roman" w:eastAsia="仿宋" w:cs="Times New Roman"/>
                <w:szCs w:val="21"/>
              </w:rPr>
            </w:pPr>
            <w:r>
              <w:rPr>
                <w:rFonts w:ascii="Times New Roman" w:hAnsi="Times New Roman" w:eastAsia="仿宋" w:cs="Times New Roman"/>
                <w:szCs w:val="21"/>
              </w:rPr>
              <w:t>（3.2）《永州市冷水滩区“十四五”生态环境保护规划》；</w:t>
            </w:r>
          </w:p>
          <w:p w14:paraId="01CCC76A">
            <w:pPr>
              <w:adjustRightInd w:val="0"/>
              <w:snapToGrid w:val="0"/>
              <w:rPr>
                <w:rFonts w:ascii="Times New Roman" w:hAnsi="Times New Roman" w:eastAsia="仿宋" w:cs="Times New Roman"/>
                <w:szCs w:val="21"/>
              </w:rPr>
            </w:pPr>
            <w:r>
              <w:rPr>
                <w:rFonts w:ascii="Times New Roman" w:hAnsi="Times New Roman" w:eastAsia="仿宋" w:cs="Times New Roman"/>
                <w:szCs w:val="21"/>
              </w:rPr>
              <w:t>（4.1）《永州市冷水滩区“十四五”生态环境保护规划》；</w:t>
            </w:r>
          </w:p>
          <w:p w14:paraId="454D69E2">
            <w:pPr>
              <w:adjustRightInd w:val="0"/>
              <w:snapToGrid w:val="0"/>
              <w:rPr>
                <w:rFonts w:ascii="Times New Roman" w:hAnsi="Times New Roman" w:eastAsia="仿宋" w:cs="Times New Roman"/>
                <w:szCs w:val="21"/>
              </w:rPr>
            </w:pPr>
            <w:r>
              <w:rPr>
                <w:rFonts w:ascii="Times New Roman" w:hAnsi="Times New Roman" w:eastAsia="仿宋" w:cs="Times New Roman"/>
                <w:szCs w:val="21"/>
              </w:rPr>
              <w:t>（4.2）《关于调整永州市“十四五”用水总量和强度双控目标的通知》（永水发〔2024〕1号）；</w:t>
            </w:r>
          </w:p>
          <w:p w14:paraId="4C1A024B">
            <w:pPr>
              <w:tabs>
                <w:tab w:val="left" w:pos="1021"/>
              </w:tabs>
              <w:rPr>
                <w:rFonts w:ascii="Times New Roman" w:hAnsi="Times New Roman" w:eastAsia="仿宋" w:cs="Times New Roman"/>
                <w:szCs w:val="21"/>
              </w:rPr>
            </w:pPr>
            <w:r>
              <w:rPr>
                <w:rFonts w:ascii="Times New Roman" w:hAnsi="Times New Roman" w:eastAsia="仿宋" w:cs="Times New Roman"/>
                <w:szCs w:val="21"/>
              </w:rPr>
              <w:t>（4.3）《永州市人民政府关于调整高污染燃料禁燃区的通告》（永政函〔2020〕30号）。</w:t>
            </w:r>
          </w:p>
        </w:tc>
      </w:tr>
      <w:tr w14:paraId="2232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11D4DDC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692" w:type="dxa"/>
            <w:gridSpan w:val="8"/>
          </w:tcPr>
          <w:p w14:paraId="4DE6A46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（2.1）持续推进“散乱污”涉气企业整治，淘汰落后产能。</w:t>
            </w:r>
          </w:p>
          <w:p w14:paraId="13AE1374">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2.2）推进重点行业污染治理升级改造。建立工业炉窑管理台账，明确治理要求和期限，扎实推进工业炉窑治理。严格控制全区砖瓦、水泥等产能严重过剩行业的新增产能项目，积极化解水泥、砖瓦等过剩行业产能，依法淘汰落后产能。</w:t>
            </w:r>
          </w:p>
          <w:p w14:paraId="3876322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（2.3）新、改、扩建涉及VOCs 排放项目，从原辅材料和工艺流程大力推广使用低（无）VOCs含量的涂料、有机溶剂、胶黏剂、油墨等原辅材料，配套改进生产工艺。</w:t>
            </w:r>
          </w:p>
          <w:p w14:paraId="61F085F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（2.4）中心城区建成区规模以上的餐饮服务单位全部安装高效油烟净化设施。</w:t>
            </w:r>
          </w:p>
          <w:p w14:paraId="735B101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2.5）加大对畜禽养殖场粪污资源化利用扶持力度，加强畜禽养殖处理设施建设，对全区限养区、适养区内传统畜禽养殖场全面进行提质改造，配套建设畜禽废弃物无害化处理和资源化利用设施设备，使畜禽养殖污水稳定达标排放。</w:t>
            </w:r>
          </w:p>
          <w:p w14:paraId="0FF938AD">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2.6）建立健全符合农村实际、方式多样的生活垃圾收运处置体系，鼓励实行城乡垃圾处理一体化。到2025年，农村生活垃圾收集处置体系实现乡镇全覆盖，生活垃圾定点存放清运率100%，垃圾分类减量85%以上，集镇生活垃圾无害化处置率达90%。</w:t>
            </w:r>
          </w:p>
          <w:p w14:paraId="179408A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（2.7）永州市下河线污水处理厂要加强监督管理，防止异味扰民。</w:t>
            </w:r>
          </w:p>
        </w:tc>
        <w:tc>
          <w:tcPr>
            <w:tcW w:w="5225" w:type="dxa"/>
            <w:gridSpan w:val="3"/>
            <w:vMerge w:val="continue"/>
          </w:tcPr>
          <w:p w14:paraId="43C906C5">
            <w:pPr>
              <w:widowControl/>
              <w:rPr>
                <w:rFonts w:ascii="Times New Roman" w:hAnsi="Times New Roman" w:eastAsia="仿宋" w:cs="Times New Roman"/>
                <w:szCs w:val="21"/>
              </w:rPr>
            </w:pPr>
          </w:p>
        </w:tc>
      </w:tr>
      <w:tr w14:paraId="1320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5F6AED3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692" w:type="dxa"/>
            <w:gridSpan w:val="8"/>
          </w:tcPr>
          <w:p w14:paraId="10B68CE6">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szCs w:val="21"/>
              </w:rPr>
              <w:t>加强涉危涉重企业集中式饮用水水源地及重点流域环境风险调查评估，实施分类分级风险管控，协同推进重点区域流域生态环境污染综合防治、风险防控与生态恢复，建设水源地水质在线生物预警系统，建设水环境风险预警平台。</w:t>
            </w:r>
          </w:p>
          <w:p w14:paraId="7044E704">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（3.2）企业应定期开展环境应急培训，加大应急预案演练频次和力度， 提高预案的可操作性和有效性。建设区域环境应急联防联控体系，建立紧密协同、快速反应的工作机制。</w:t>
            </w:r>
          </w:p>
        </w:tc>
        <w:tc>
          <w:tcPr>
            <w:tcW w:w="5225" w:type="dxa"/>
            <w:gridSpan w:val="3"/>
            <w:vMerge w:val="continue"/>
          </w:tcPr>
          <w:p w14:paraId="32469EA9">
            <w:pPr>
              <w:widowControl/>
              <w:rPr>
                <w:rFonts w:ascii="Times New Roman" w:hAnsi="Times New Roman" w:eastAsia="仿宋" w:cs="Times New Roman"/>
                <w:szCs w:val="21"/>
              </w:rPr>
            </w:pPr>
          </w:p>
        </w:tc>
      </w:tr>
      <w:tr w14:paraId="3FE7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83" w:type="dxa"/>
            <w:vAlign w:val="center"/>
          </w:tcPr>
          <w:p w14:paraId="0ABF64F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692" w:type="dxa"/>
            <w:gridSpan w:val="8"/>
          </w:tcPr>
          <w:p w14:paraId="17CA360B">
            <w:pPr>
              <w:tabs>
                <w:tab w:val="left" w:pos="1021"/>
              </w:tabs>
              <w:ind w:firstLine="420" w:firstLineChars="200"/>
              <w:rPr>
                <w:rFonts w:ascii="Times New Roman" w:hAnsi="Times New Roman" w:eastAsia="仿宋" w:cs="Times New Roman"/>
                <w:szCs w:val="21"/>
                <w:lang w:eastAsia="zh-Hans"/>
              </w:rPr>
            </w:pPr>
            <w:r>
              <w:rPr>
                <w:rFonts w:ascii="Times New Roman" w:hAnsi="Times New Roman" w:eastAsia="仿宋" w:cs="Times New Roman"/>
                <w:szCs w:val="21"/>
              </w:rPr>
              <w:t>（4.1）</w:t>
            </w:r>
            <w:r>
              <w:rPr>
                <w:rFonts w:ascii="Times New Roman" w:hAnsi="Times New Roman" w:eastAsia="仿宋" w:cs="Times New Roman"/>
                <w:szCs w:val="21"/>
                <w:lang w:eastAsia="zh-Hans"/>
              </w:rPr>
              <w:t>能源：</w:t>
            </w:r>
          </w:p>
          <w:p w14:paraId="6B3BBC5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推动高耗能燃煤锅炉全面淘汰退出，推进集中供热和工业余热利用。</w:t>
            </w:r>
          </w:p>
          <w:p w14:paraId="76F2838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3EEFCD01">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2025年，冷水滩区用水总量控制在32162万立方米以内，农业用水总量控制在15328万立方米以内，万元地区生产总值用水量、万元工业增加值用水量分别比2020年降低30.00%、8.87%，农田灌溉水有效利用系数为0.540。</w:t>
            </w:r>
          </w:p>
          <w:p w14:paraId="21A4061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（4.3）高污染燃料禁燃区严格执行《永州市人民政府关于调整高污染燃料禁燃区的通告》（永政函〔2020〕30号）的规定。</w:t>
            </w:r>
          </w:p>
        </w:tc>
        <w:tc>
          <w:tcPr>
            <w:tcW w:w="5225" w:type="dxa"/>
            <w:gridSpan w:val="3"/>
            <w:vMerge w:val="continue"/>
          </w:tcPr>
          <w:p w14:paraId="67600357">
            <w:pPr>
              <w:widowControl/>
              <w:rPr>
                <w:rFonts w:ascii="Times New Roman" w:hAnsi="Times New Roman" w:eastAsia="仿宋" w:cs="Times New Roman"/>
                <w:szCs w:val="21"/>
              </w:rPr>
            </w:pPr>
          </w:p>
        </w:tc>
      </w:tr>
    </w:tbl>
    <w:p w14:paraId="64EC8DC2">
      <w:pPr>
        <w:widowControl/>
        <w:jc w:val="left"/>
        <w:rPr>
          <w:rFonts w:ascii="Times New Roman" w:hAnsi="Times New Roman" w:eastAsia="仿宋" w:cs="Times New Roman"/>
          <w:szCs w:val="21"/>
        </w:rPr>
      </w:pPr>
    </w:p>
    <w:p w14:paraId="586711EE">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812"/>
        <w:gridCol w:w="406"/>
        <w:gridCol w:w="388"/>
        <w:gridCol w:w="425"/>
        <w:gridCol w:w="1657"/>
        <w:gridCol w:w="947"/>
        <w:gridCol w:w="1391"/>
        <w:gridCol w:w="1984"/>
        <w:gridCol w:w="2242"/>
        <w:gridCol w:w="2665"/>
      </w:tblGrid>
      <w:tr w14:paraId="7D16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Merge w:val="restart"/>
            <w:vAlign w:val="center"/>
          </w:tcPr>
          <w:p w14:paraId="529934C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12" w:type="dxa"/>
            <w:vMerge w:val="restart"/>
            <w:vAlign w:val="center"/>
          </w:tcPr>
          <w:p w14:paraId="09548A0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19" w:type="dxa"/>
            <w:gridSpan w:val="3"/>
            <w:vAlign w:val="center"/>
          </w:tcPr>
          <w:p w14:paraId="4463AA8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657" w:type="dxa"/>
            <w:vMerge w:val="restart"/>
            <w:vAlign w:val="center"/>
          </w:tcPr>
          <w:p w14:paraId="380F77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7" w:type="dxa"/>
            <w:vMerge w:val="restart"/>
            <w:vAlign w:val="center"/>
          </w:tcPr>
          <w:p w14:paraId="232239D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391" w:type="dxa"/>
            <w:vMerge w:val="restart"/>
            <w:vAlign w:val="center"/>
          </w:tcPr>
          <w:p w14:paraId="3C4C5B1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984" w:type="dxa"/>
            <w:vMerge w:val="restart"/>
            <w:vAlign w:val="center"/>
          </w:tcPr>
          <w:p w14:paraId="536021C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242" w:type="dxa"/>
            <w:vMerge w:val="restart"/>
            <w:vAlign w:val="center"/>
          </w:tcPr>
          <w:p w14:paraId="012F654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65" w:type="dxa"/>
            <w:vMerge w:val="restart"/>
            <w:vAlign w:val="center"/>
          </w:tcPr>
          <w:p w14:paraId="69E1A8F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6FE4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1083" w:type="dxa"/>
            <w:vMerge w:val="continue"/>
            <w:vAlign w:val="center"/>
          </w:tcPr>
          <w:p w14:paraId="7060F07B">
            <w:pPr>
              <w:widowControl/>
              <w:rPr>
                <w:rFonts w:ascii="Times New Roman" w:hAnsi="Times New Roman" w:eastAsia="仿宋" w:cs="Times New Roman"/>
                <w:b/>
                <w:kern w:val="0"/>
                <w:szCs w:val="21"/>
              </w:rPr>
            </w:pPr>
          </w:p>
        </w:tc>
        <w:tc>
          <w:tcPr>
            <w:tcW w:w="812" w:type="dxa"/>
            <w:vMerge w:val="continue"/>
            <w:vAlign w:val="center"/>
          </w:tcPr>
          <w:p w14:paraId="5FD2AC5B">
            <w:pPr>
              <w:widowControl/>
              <w:rPr>
                <w:rFonts w:ascii="Times New Roman" w:hAnsi="Times New Roman" w:eastAsia="仿宋" w:cs="Times New Roman"/>
                <w:b/>
                <w:kern w:val="0"/>
                <w:szCs w:val="21"/>
              </w:rPr>
            </w:pPr>
          </w:p>
        </w:tc>
        <w:tc>
          <w:tcPr>
            <w:tcW w:w="406" w:type="dxa"/>
            <w:vAlign w:val="center"/>
          </w:tcPr>
          <w:p w14:paraId="700B90D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388" w:type="dxa"/>
            <w:vAlign w:val="center"/>
          </w:tcPr>
          <w:p w14:paraId="0E3D3D5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6821EB1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657" w:type="dxa"/>
            <w:vMerge w:val="continue"/>
            <w:vAlign w:val="center"/>
          </w:tcPr>
          <w:p w14:paraId="22657573">
            <w:pPr>
              <w:widowControl/>
              <w:rPr>
                <w:rFonts w:ascii="Times New Roman" w:hAnsi="Times New Roman" w:eastAsia="仿宋" w:cs="Times New Roman"/>
                <w:b/>
                <w:kern w:val="0"/>
                <w:szCs w:val="21"/>
              </w:rPr>
            </w:pPr>
          </w:p>
        </w:tc>
        <w:tc>
          <w:tcPr>
            <w:tcW w:w="947" w:type="dxa"/>
            <w:vMerge w:val="continue"/>
            <w:vAlign w:val="center"/>
          </w:tcPr>
          <w:p w14:paraId="74AF6F6C">
            <w:pPr>
              <w:widowControl/>
              <w:rPr>
                <w:rFonts w:ascii="Times New Roman" w:hAnsi="Times New Roman" w:eastAsia="仿宋" w:cs="Times New Roman"/>
                <w:b/>
                <w:kern w:val="0"/>
                <w:szCs w:val="21"/>
              </w:rPr>
            </w:pPr>
          </w:p>
        </w:tc>
        <w:tc>
          <w:tcPr>
            <w:tcW w:w="1391" w:type="dxa"/>
            <w:vMerge w:val="continue"/>
            <w:vAlign w:val="center"/>
          </w:tcPr>
          <w:p w14:paraId="02506D2A">
            <w:pPr>
              <w:widowControl/>
              <w:rPr>
                <w:rFonts w:ascii="Times New Roman" w:hAnsi="Times New Roman" w:eastAsia="仿宋" w:cs="Times New Roman"/>
                <w:b/>
                <w:kern w:val="0"/>
                <w:szCs w:val="21"/>
              </w:rPr>
            </w:pPr>
          </w:p>
        </w:tc>
        <w:tc>
          <w:tcPr>
            <w:tcW w:w="1984" w:type="dxa"/>
            <w:vMerge w:val="continue"/>
            <w:vAlign w:val="center"/>
          </w:tcPr>
          <w:p w14:paraId="41B49B4D">
            <w:pPr>
              <w:widowControl/>
              <w:rPr>
                <w:rFonts w:ascii="Times New Roman" w:hAnsi="Times New Roman" w:eastAsia="仿宋" w:cs="Times New Roman"/>
                <w:b/>
                <w:kern w:val="0"/>
                <w:szCs w:val="21"/>
              </w:rPr>
            </w:pPr>
          </w:p>
        </w:tc>
        <w:tc>
          <w:tcPr>
            <w:tcW w:w="2242" w:type="dxa"/>
            <w:vMerge w:val="continue"/>
            <w:vAlign w:val="center"/>
          </w:tcPr>
          <w:p w14:paraId="678CF3AF">
            <w:pPr>
              <w:widowControl/>
              <w:rPr>
                <w:rFonts w:ascii="Times New Roman" w:hAnsi="Times New Roman" w:eastAsia="仿宋" w:cs="Times New Roman"/>
                <w:b/>
                <w:kern w:val="0"/>
                <w:szCs w:val="21"/>
              </w:rPr>
            </w:pPr>
          </w:p>
        </w:tc>
        <w:tc>
          <w:tcPr>
            <w:tcW w:w="2665" w:type="dxa"/>
            <w:vMerge w:val="continue"/>
            <w:vAlign w:val="center"/>
          </w:tcPr>
          <w:p w14:paraId="09F198AE">
            <w:pPr>
              <w:widowControl/>
              <w:rPr>
                <w:rFonts w:ascii="Times New Roman" w:hAnsi="Times New Roman" w:eastAsia="仿宋" w:cs="Times New Roman"/>
                <w:b/>
                <w:kern w:val="0"/>
                <w:szCs w:val="21"/>
              </w:rPr>
            </w:pPr>
          </w:p>
        </w:tc>
      </w:tr>
      <w:tr w14:paraId="7E5A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83" w:type="dxa"/>
            <w:vAlign w:val="center"/>
          </w:tcPr>
          <w:p w14:paraId="32FAAECE">
            <w:pPr>
              <w:rPr>
                <w:rFonts w:ascii="Times New Roman" w:hAnsi="Times New Roman" w:eastAsia="仿宋" w:cs="Times New Roman"/>
                <w:szCs w:val="21"/>
              </w:rPr>
            </w:pPr>
            <w:r>
              <w:rPr>
                <w:rFonts w:ascii="Times New Roman" w:hAnsi="Times New Roman" w:eastAsia="仿宋" w:cs="Times New Roman"/>
                <w:szCs w:val="21"/>
              </w:rPr>
              <w:t>ZH43110330001</w:t>
            </w:r>
          </w:p>
        </w:tc>
        <w:tc>
          <w:tcPr>
            <w:tcW w:w="812" w:type="dxa"/>
            <w:vAlign w:val="center"/>
          </w:tcPr>
          <w:p w14:paraId="1D402D9E">
            <w:pPr>
              <w:jc w:val="center"/>
              <w:rPr>
                <w:rFonts w:ascii="Times New Roman" w:hAnsi="Times New Roman" w:eastAsia="仿宋" w:cs="Times New Roman"/>
                <w:szCs w:val="21"/>
              </w:rPr>
            </w:pPr>
            <w:r>
              <w:rPr>
                <w:rFonts w:ascii="Times New Roman" w:hAnsi="Times New Roman" w:eastAsia="仿宋" w:cs="Times New Roman"/>
                <w:szCs w:val="21"/>
              </w:rPr>
              <w:t>蔡市镇</w:t>
            </w:r>
          </w:p>
        </w:tc>
        <w:tc>
          <w:tcPr>
            <w:tcW w:w="406" w:type="dxa"/>
            <w:vAlign w:val="center"/>
          </w:tcPr>
          <w:p w14:paraId="57D830A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388" w:type="dxa"/>
            <w:vAlign w:val="center"/>
          </w:tcPr>
          <w:p w14:paraId="60B23D7D">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66EE074A">
            <w:pPr>
              <w:widowControl/>
              <w:jc w:val="center"/>
              <w:rPr>
                <w:rFonts w:ascii="Times New Roman" w:hAnsi="Times New Roman" w:eastAsia="仿宋" w:cs="Times New Roman"/>
                <w:i/>
                <w:kern w:val="0"/>
                <w:szCs w:val="21"/>
              </w:rPr>
            </w:pPr>
            <w:r>
              <w:rPr>
                <w:rFonts w:ascii="Times New Roman" w:hAnsi="Times New Roman" w:eastAsia="仿宋" w:cs="Times New Roman"/>
                <w:szCs w:val="21"/>
              </w:rPr>
              <w:t>冷水滩区</w:t>
            </w:r>
          </w:p>
        </w:tc>
        <w:tc>
          <w:tcPr>
            <w:tcW w:w="1657" w:type="dxa"/>
            <w:vAlign w:val="center"/>
          </w:tcPr>
          <w:p w14:paraId="0FBE78D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47" w:type="dxa"/>
            <w:vAlign w:val="center"/>
          </w:tcPr>
          <w:p w14:paraId="5E3ACBC9">
            <w:pPr>
              <w:widowControl/>
              <w:jc w:val="center"/>
              <w:rPr>
                <w:rFonts w:ascii="Times New Roman" w:hAnsi="Times New Roman" w:eastAsia="仿宋" w:cs="Times New Roman"/>
                <w:strike/>
                <w:szCs w:val="21"/>
              </w:rPr>
            </w:pPr>
            <w:r>
              <w:rPr>
                <w:rFonts w:ascii="Times New Roman" w:hAnsi="Times New Roman" w:eastAsia="仿宋" w:cs="Times New Roman"/>
                <w:szCs w:val="21"/>
              </w:rPr>
              <w:t>72.15</w:t>
            </w:r>
          </w:p>
        </w:tc>
        <w:tc>
          <w:tcPr>
            <w:tcW w:w="1391" w:type="dxa"/>
            <w:vAlign w:val="center"/>
          </w:tcPr>
          <w:p w14:paraId="39D36CE2">
            <w:pPr>
              <w:jc w:val="center"/>
              <w:rPr>
                <w:rFonts w:ascii="Times New Roman" w:hAnsi="Times New Roman" w:eastAsia="仿宋" w:cs="Times New Roman"/>
                <w:szCs w:val="21"/>
              </w:rPr>
            </w:pPr>
            <w:r>
              <w:rPr>
                <w:rFonts w:ascii="Times New Roman" w:hAnsi="Times New Roman" w:eastAsia="仿宋" w:cs="Times New Roman"/>
                <w:szCs w:val="21"/>
              </w:rPr>
              <w:t>蔡市镇</w:t>
            </w:r>
          </w:p>
        </w:tc>
        <w:tc>
          <w:tcPr>
            <w:tcW w:w="1984" w:type="dxa"/>
            <w:vAlign w:val="center"/>
          </w:tcPr>
          <w:p w14:paraId="3AA453D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城市化地区</w:t>
            </w:r>
          </w:p>
        </w:tc>
        <w:tc>
          <w:tcPr>
            <w:tcW w:w="2242" w:type="dxa"/>
            <w:vAlign w:val="center"/>
          </w:tcPr>
          <w:p w14:paraId="6BF377E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lang w:val="zh-CN"/>
              </w:rPr>
              <w:t>农业、生态旅游、农副食品加工等。</w:t>
            </w:r>
          </w:p>
        </w:tc>
        <w:tc>
          <w:tcPr>
            <w:tcW w:w="2665" w:type="dxa"/>
            <w:vAlign w:val="center"/>
          </w:tcPr>
          <w:p w14:paraId="586EA42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环保目标：湖南冷水滩湘江湿地公园。</w:t>
            </w:r>
          </w:p>
        </w:tc>
      </w:tr>
      <w:tr w14:paraId="0798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83" w:type="dxa"/>
            <w:vAlign w:val="center"/>
          </w:tcPr>
          <w:p w14:paraId="38F54669">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17" w:type="dxa"/>
            <w:gridSpan w:val="10"/>
            <w:vAlign w:val="center"/>
          </w:tcPr>
          <w:p w14:paraId="20CC62C4">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生物多样性保护功能重要区/水土流失敏感区）；水环境优先保护区/水环境一般管控区；大气环境优先保护区/大气环境受体敏感重点管控区；农用地优先保护区/一般管控区；高污染燃料禁燃区</w:t>
            </w:r>
          </w:p>
        </w:tc>
      </w:tr>
      <w:tr w14:paraId="1B75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Align w:val="center"/>
          </w:tcPr>
          <w:p w14:paraId="0C589F69">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10" w:type="dxa"/>
            <w:gridSpan w:val="8"/>
            <w:vAlign w:val="center"/>
          </w:tcPr>
          <w:p w14:paraId="399E1AF3">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907" w:type="dxa"/>
            <w:gridSpan w:val="2"/>
            <w:vAlign w:val="center"/>
          </w:tcPr>
          <w:p w14:paraId="0EB88467">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FEF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1083" w:type="dxa"/>
            <w:vAlign w:val="center"/>
          </w:tcPr>
          <w:p w14:paraId="0F95434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10" w:type="dxa"/>
            <w:gridSpan w:val="8"/>
            <w:vAlign w:val="center"/>
          </w:tcPr>
          <w:p w14:paraId="4E74F974">
            <w:pPr>
              <w:pStyle w:val="55"/>
              <w:rPr>
                <w:rFonts w:eastAsia="仿宋"/>
                <w:szCs w:val="21"/>
              </w:rPr>
            </w:pPr>
            <w:r>
              <w:rPr>
                <w:rFonts w:eastAsia="仿宋"/>
                <w:szCs w:val="21"/>
              </w:rPr>
              <w:t>（1.1）畜禽养殖产业布局应符合《冷水滩区畜禽养殖规模“三区”划定方案》的规定。</w:t>
            </w:r>
          </w:p>
          <w:p w14:paraId="747C7E29">
            <w:pPr>
              <w:pStyle w:val="55"/>
              <w:rPr>
                <w:rFonts w:eastAsia="仿宋"/>
                <w:szCs w:val="21"/>
              </w:rPr>
            </w:pPr>
            <w:r>
              <w:rPr>
                <w:rFonts w:eastAsia="仿宋"/>
                <w:szCs w:val="21"/>
              </w:rPr>
              <w:t>（1.2）砂石土矿的开采严格遵照《永州市冷水滩区普通建筑材料用砂石土矿专项规划（2019-2025年）》规定。禁止开采区不得设置砂石土矿，已有采矿权应立即退出。</w:t>
            </w:r>
          </w:p>
        </w:tc>
        <w:tc>
          <w:tcPr>
            <w:tcW w:w="4907" w:type="dxa"/>
            <w:gridSpan w:val="2"/>
            <w:vMerge w:val="restart"/>
            <w:vAlign w:val="center"/>
          </w:tcPr>
          <w:p w14:paraId="62A472B6">
            <w:pPr>
              <w:numPr>
                <w:ilvl w:val="1"/>
                <w:numId w:val="0"/>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（1.1）永州市冷水滩区人民政府办公室关于印发《冷水滩区畜禽养殖规模“三区”划定方案》的通知（冷政办发〔2020〕2号）；</w:t>
            </w:r>
          </w:p>
          <w:p w14:paraId="45BB64BF">
            <w:pPr>
              <w:numPr>
                <w:ilvl w:val="1"/>
                <w:numId w:val="0"/>
              </w:num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（1.2）《永州市冷水滩区普通建筑材料用砂石土矿专项规划（2019-2025年）》；</w:t>
            </w:r>
          </w:p>
          <w:p w14:paraId="03BFB627">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（2.1）《永州市冷水滩区“十四五”生态环境保护规划》；</w:t>
            </w:r>
          </w:p>
          <w:p w14:paraId="60AA7874">
            <w:pPr>
              <w:widowControl/>
              <w:jc w:val="left"/>
              <w:rPr>
                <w:rFonts w:ascii="Times New Roman" w:hAnsi="Times New Roman" w:eastAsia="仿宋" w:cs="Times New Roman"/>
                <w:szCs w:val="21"/>
              </w:rPr>
            </w:pPr>
            <w:r>
              <w:rPr>
                <w:rFonts w:ascii="Times New Roman" w:hAnsi="Times New Roman" w:eastAsia="仿宋" w:cs="Times New Roman"/>
                <w:szCs w:val="21"/>
              </w:rPr>
              <w:t>（2.2）《永州市冷水滩区“十四五”生态环境保护规划》；</w:t>
            </w:r>
          </w:p>
          <w:p w14:paraId="0E6422BF">
            <w:pPr>
              <w:widowControl/>
              <w:jc w:val="left"/>
              <w:rPr>
                <w:rFonts w:ascii="Times New Roman" w:hAnsi="Times New Roman" w:eastAsia="仿宋" w:cs="Times New Roman"/>
                <w:szCs w:val="21"/>
              </w:rPr>
            </w:pPr>
            <w:r>
              <w:rPr>
                <w:rFonts w:ascii="Times New Roman" w:hAnsi="Times New Roman" w:eastAsia="仿宋" w:cs="Times New Roman"/>
                <w:szCs w:val="21"/>
              </w:rPr>
              <w:t>（2.3）《永州市冷水滩区“十四五”生态环境保护规划》；</w:t>
            </w:r>
          </w:p>
          <w:p w14:paraId="3EBF3BB8">
            <w:pPr>
              <w:widowControl/>
              <w:jc w:val="left"/>
              <w:rPr>
                <w:rFonts w:ascii="Times New Roman" w:hAnsi="Times New Roman" w:eastAsia="仿宋" w:cs="Times New Roman"/>
                <w:szCs w:val="21"/>
              </w:rPr>
            </w:pPr>
            <w:r>
              <w:rPr>
                <w:rFonts w:ascii="Times New Roman" w:hAnsi="Times New Roman" w:eastAsia="仿宋" w:cs="Times New Roman"/>
                <w:szCs w:val="21"/>
              </w:rPr>
              <w:t>（2.4）《永州市冷水滩区“十四五”生态环境保护规划》；</w:t>
            </w:r>
          </w:p>
          <w:p w14:paraId="54201DED">
            <w:pPr>
              <w:tabs>
                <w:tab w:val="left" w:pos="1021"/>
              </w:tabs>
              <w:rPr>
                <w:rFonts w:ascii="Times New Roman" w:hAnsi="Times New Roman" w:eastAsia="仿宋" w:cs="Times New Roman"/>
                <w:szCs w:val="21"/>
              </w:rPr>
            </w:pPr>
            <w:r>
              <w:rPr>
                <w:rFonts w:ascii="Times New Roman" w:hAnsi="Times New Roman" w:eastAsia="仿宋" w:cs="Times New Roman"/>
                <w:szCs w:val="21"/>
              </w:rPr>
              <w:t>（3.1）《永州市冷水滩区“十四五”生态环境保护规划》；</w:t>
            </w:r>
          </w:p>
          <w:p w14:paraId="6D86AB7D">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（4.1）《永州市冷水滩区大气污染防治攻坚行动计划（2023-2025）》；</w:t>
            </w:r>
          </w:p>
          <w:p w14:paraId="0162767E">
            <w:pPr>
              <w:tabs>
                <w:tab w:val="left" w:pos="1021"/>
              </w:tabs>
              <w:rPr>
                <w:rFonts w:ascii="Times New Roman" w:hAnsi="Times New Roman" w:eastAsia="仿宋" w:cs="Times New Roman"/>
                <w:kern w:val="0"/>
                <w:szCs w:val="21"/>
              </w:rPr>
            </w:pPr>
            <w:r>
              <w:rPr>
                <w:rFonts w:ascii="Times New Roman" w:hAnsi="Times New Roman" w:eastAsia="仿宋" w:cs="Times New Roman"/>
                <w:szCs w:val="21"/>
              </w:rPr>
              <w:t>（4.2）《关于调整永州市“十四五”用水总量和强度双控目标的通知》（永水发〔2024〕1号）；</w:t>
            </w:r>
          </w:p>
          <w:p w14:paraId="3EA2BE62">
            <w:pPr>
              <w:tabs>
                <w:tab w:val="left" w:pos="1021"/>
              </w:tabs>
              <w:rPr>
                <w:rFonts w:ascii="Times New Roman" w:hAnsi="Times New Roman" w:eastAsia="仿宋" w:cs="Times New Roman"/>
                <w:kern w:val="0"/>
                <w:szCs w:val="21"/>
              </w:rPr>
            </w:pPr>
            <w:r>
              <w:rPr>
                <w:rFonts w:ascii="Times New Roman" w:hAnsi="Times New Roman" w:eastAsia="仿宋" w:cs="Times New Roman"/>
                <w:szCs w:val="21"/>
              </w:rPr>
              <w:t>（4.3）《永州市人民政府关于调整高污染燃料禁燃区的通告》（永政函〔2020〕30号）。</w:t>
            </w:r>
          </w:p>
        </w:tc>
      </w:tr>
      <w:tr w14:paraId="1C90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1083" w:type="dxa"/>
            <w:vAlign w:val="center"/>
          </w:tcPr>
          <w:p w14:paraId="7FDA971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10" w:type="dxa"/>
            <w:gridSpan w:val="8"/>
            <w:vAlign w:val="center"/>
          </w:tcPr>
          <w:p w14:paraId="4B008A1D">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（2.1）持续推进“散乱污”涉气企业整治，淘汰落后产能。</w:t>
            </w:r>
          </w:p>
          <w:p w14:paraId="4B9F0FA4">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（2.2）加快城镇污水管网和处理能力向周边延伸覆盖，力争实现全区农村生活污水治理全域覆盖。统筹推进农村黑臭水体治理工作。</w:t>
            </w:r>
          </w:p>
          <w:p w14:paraId="74953088">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（2.3）完善生活垃圾无害化处理配套设施，2025年城镇生活垃圾无害化处置率达到100%。</w:t>
            </w:r>
          </w:p>
          <w:p w14:paraId="620BF35C">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（2.4）严格控制烟花爆竹，全区禁止露天焚烧，支持秸秆回收利用。</w:t>
            </w:r>
          </w:p>
        </w:tc>
        <w:tc>
          <w:tcPr>
            <w:tcW w:w="4907" w:type="dxa"/>
            <w:gridSpan w:val="2"/>
            <w:vMerge w:val="continue"/>
            <w:vAlign w:val="center"/>
          </w:tcPr>
          <w:p w14:paraId="36CC3412">
            <w:pPr>
              <w:widowControl/>
              <w:rPr>
                <w:rFonts w:ascii="Times New Roman" w:hAnsi="Times New Roman" w:eastAsia="仿宋" w:cs="Times New Roman"/>
                <w:szCs w:val="21"/>
              </w:rPr>
            </w:pPr>
          </w:p>
        </w:tc>
      </w:tr>
      <w:tr w14:paraId="0EA4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083" w:type="dxa"/>
            <w:vAlign w:val="center"/>
          </w:tcPr>
          <w:p w14:paraId="3EE472A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10" w:type="dxa"/>
            <w:gridSpan w:val="8"/>
            <w:vAlign w:val="center"/>
          </w:tcPr>
          <w:p w14:paraId="430A0C79">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szCs w:val="21"/>
              </w:rPr>
              <w:t>企业应定期开展环境应急培训，加大应急预案演练频次和力度， 提高预案的可操作性和有效性。建设区域环境应急联防联控体系，建立紧密协同、快速反应的工作机制。</w:t>
            </w:r>
          </w:p>
        </w:tc>
        <w:tc>
          <w:tcPr>
            <w:tcW w:w="4907" w:type="dxa"/>
            <w:gridSpan w:val="2"/>
            <w:vMerge w:val="continue"/>
            <w:vAlign w:val="center"/>
          </w:tcPr>
          <w:p w14:paraId="227DCF19">
            <w:pPr>
              <w:widowControl/>
              <w:rPr>
                <w:rFonts w:ascii="Times New Roman" w:hAnsi="Times New Roman" w:eastAsia="仿宋" w:cs="Times New Roman"/>
                <w:szCs w:val="21"/>
              </w:rPr>
            </w:pPr>
          </w:p>
        </w:tc>
      </w:tr>
      <w:tr w14:paraId="61DD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83" w:type="dxa"/>
            <w:vAlign w:val="center"/>
          </w:tcPr>
          <w:p w14:paraId="52F9E4E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10" w:type="dxa"/>
            <w:gridSpan w:val="8"/>
            <w:vAlign w:val="center"/>
          </w:tcPr>
          <w:p w14:paraId="707F5C23">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（4.1）能源：</w:t>
            </w:r>
          </w:p>
          <w:p w14:paraId="094E1104">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严格控制煤炭消费总量，提高电煤消费占比。有序推进“煤改气”“煤改电”，加快天然气在工业领域的应用，加快实施电能替代，推广使用工业电锅窑炉、电热釜等设备。</w:t>
            </w:r>
          </w:p>
          <w:p w14:paraId="221870F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0AA3C5EB">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2025年，冷水滩区用水总量控制在32162万立方米以内，农业用水总量控制在15328万立方米以内，万元地区生产总值用水量、万元工业增加值用水量分别比2020年降低30.00%、8.87%，农田灌溉水有效利用系数为0.540。</w:t>
            </w:r>
          </w:p>
          <w:p w14:paraId="6A4AD2C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（4.3）高污染燃料禁燃区严格执行《永州市人民政府关于调整高污染燃料禁燃区的通告》（永政函〔2020〕30号）的规定。</w:t>
            </w:r>
          </w:p>
        </w:tc>
        <w:tc>
          <w:tcPr>
            <w:tcW w:w="4907" w:type="dxa"/>
            <w:gridSpan w:val="2"/>
            <w:vMerge w:val="continue"/>
            <w:vAlign w:val="center"/>
          </w:tcPr>
          <w:p w14:paraId="4B8E908A">
            <w:pPr>
              <w:widowControl/>
              <w:rPr>
                <w:rFonts w:ascii="Times New Roman" w:hAnsi="Times New Roman" w:eastAsia="仿宋" w:cs="Times New Roman"/>
                <w:szCs w:val="21"/>
              </w:rPr>
            </w:pPr>
          </w:p>
        </w:tc>
      </w:tr>
    </w:tbl>
    <w:p w14:paraId="049C33AE">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023998E3">
      <w:pPr>
        <w:widowControl/>
        <w:jc w:val="left"/>
        <w:rPr>
          <w:rFonts w:ascii="Times New Roman" w:hAnsi="Times New Roman" w:eastAsia="仿宋" w:cs="Times New Roman"/>
          <w:szCs w:val="21"/>
        </w:rPr>
      </w:pPr>
    </w:p>
    <w:tbl>
      <w:tblPr>
        <w:tblStyle w:val="20"/>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322"/>
        <w:gridCol w:w="567"/>
        <w:gridCol w:w="425"/>
        <w:gridCol w:w="426"/>
        <w:gridCol w:w="850"/>
        <w:gridCol w:w="992"/>
        <w:gridCol w:w="1134"/>
        <w:gridCol w:w="1823"/>
        <w:gridCol w:w="536"/>
        <w:gridCol w:w="1610"/>
        <w:gridCol w:w="3232"/>
      </w:tblGrid>
      <w:tr w14:paraId="5382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Merge w:val="restart"/>
            <w:vAlign w:val="center"/>
          </w:tcPr>
          <w:p w14:paraId="7A8B2DF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22" w:type="dxa"/>
            <w:vMerge w:val="restart"/>
            <w:vAlign w:val="center"/>
          </w:tcPr>
          <w:p w14:paraId="7DF3B27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18" w:type="dxa"/>
            <w:gridSpan w:val="3"/>
            <w:vAlign w:val="center"/>
          </w:tcPr>
          <w:p w14:paraId="217349F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50" w:type="dxa"/>
            <w:vMerge w:val="restart"/>
            <w:vAlign w:val="center"/>
          </w:tcPr>
          <w:p w14:paraId="2F5FB21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6DC1B51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21F2EB0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823" w:type="dxa"/>
            <w:vMerge w:val="restart"/>
            <w:vAlign w:val="center"/>
          </w:tcPr>
          <w:p w14:paraId="2167B84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146" w:type="dxa"/>
            <w:gridSpan w:val="2"/>
            <w:vMerge w:val="restart"/>
            <w:vAlign w:val="center"/>
          </w:tcPr>
          <w:p w14:paraId="2C2E4BA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232" w:type="dxa"/>
            <w:vMerge w:val="restart"/>
            <w:vAlign w:val="center"/>
          </w:tcPr>
          <w:p w14:paraId="5DA207F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760E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1083" w:type="dxa"/>
            <w:vMerge w:val="continue"/>
            <w:vAlign w:val="center"/>
          </w:tcPr>
          <w:p w14:paraId="2BD64310">
            <w:pPr>
              <w:widowControl/>
              <w:jc w:val="left"/>
              <w:rPr>
                <w:rFonts w:ascii="Times New Roman" w:hAnsi="Times New Roman" w:eastAsia="仿宋" w:cs="Times New Roman"/>
                <w:b/>
                <w:kern w:val="0"/>
                <w:szCs w:val="21"/>
              </w:rPr>
            </w:pPr>
          </w:p>
        </w:tc>
        <w:tc>
          <w:tcPr>
            <w:tcW w:w="1322" w:type="dxa"/>
            <w:vMerge w:val="continue"/>
            <w:vAlign w:val="center"/>
          </w:tcPr>
          <w:p w14:paraId="28E1FC10">
            <w:pPr>
              <w:widowControl/>
              <w:jc w:val="left"/>
              <w:rPr>
                <w:rFonts w:ascii="Times New Roman" w:hAnsi="Times New Roman" w:eastAsia="仿宋" w:cs="Times New Roman"/>
                <w:b/>
                <w:kern w:val="0"/>
                <w:szCs w:val="21"/>
              </w:rPr>
            </w:pPr>
          </w:p>
        </w:tc>
        <w:tc>
          <w:tcPr>
            <w:tcW w:w="567" w:type="dxa"/>
            <w:vAlign w:val="center"/>
          </w:tcPr>
          <w:p w14:paraId="7AD0671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772703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6" w:type="dxa"/>
            <w:vAlign w:val="center"/>
          </w:tcPr>
          <w:p w14:paraId="00320B1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50" w:type="dxa"/>
            <w:vMerge w:val="continue"/>
            <w:vAlign w:val="center"/>
          </w:tcPr>
          <w:p w14:paraId="682272A3">
            <w:pPr>
              <w:widowControl/>
              <w:jc w:val="left"/>
              <w:rPr>
                <w:rFonts w:ascii="Times New Roman" w:hAnsi="Times New Roman" w:eastAsia="仿宋" w:cs="Times New Roman"/>
                <w:b/>
                <w:kern w:val="0"/>
                <w:szCs w:val="21"/>
              </w:rPr>
            </w:pPr>
          </w:p>
        </w:tc>
        <w:tc>
          <w:tcPr>
            <w:tcW w:w="992" w:type="dxa"/>
            <w:vMerge w:val="continue"/>
            <w:vAlign w:val="center"/>
          </w:tcPr>
          <w:p w14:paraId="6F3E105A">
            <w:pPr>
              <w:widowControl/>
              <w:jc w:val="left"/>
              <w:rPr>
                <w:rFonts w:ascii="Times New Roman" w:hAnsi="Times New Roman" w:eastAsia="仿宋" w:cs="Times New Roman"/>
                <w:b/>
                <w:kern w:val="0"/>
                <w:szCs w:val="21"/>
              </w:rPr>
            </w:pPr>
          </w:p>
        </w:tc>
        <w:tc>
          <w:tcPr>
            <w:tcW w:w="1134" w:type="dxa"/>
            <w:vMerge w:val="continue"/>
            <w:vAlign w:val="center"/>
          </w:tcPr>
          <w:p w14:paraId="297473F1">
            <w:pPr>
              <w:widowControl/>
              <w:jc w:val="left"/>
              <w:rPr>
                <w:rFonts w:ascii="Times New Roman" w:hAnsi="Times New Roman" w:eastAsia="仿宋" w:cs="Times New Roman"/>
                <w:b/>
                <w:kern w:val="0"/>
                <w:szCs w:val="21"/>
              </w:rPr>
            </w:pPr>
          </w:p>
        </w:tc>
        <w:tc>
          <w:tcPr>
            <w:tcW w:w="1823" w:type="dxa"/>
            <w:vMerge w:val="continue"/>
            <w:vAlign w:val="center"/>
          </w:tcPr>
          <w:p w14:paraId="7E089DD5">
            <w:pPr>
              <w:widowControl/>
              <w:jc w:val="left"/>
              <w:rPr>
                <w:rFonts w:ascii="Times New Roman" w:hAnsi="Times New Roman" w:eastAsia="仿宋" w:cs="Times New Roman"/>
                <w:b/>
                <w:kern w:val="0"/>
                <w:szCs w:val="21"/>
              </w:rPr>
            </w:pPr>
          </w:p>
        </w:tc>
        <w:tc>
          <w:tcPr>
            <w:tcW w:w="2146" w:type="dxa"/>
            <w:gridSpan w:val="2"/>
            <w:vMerge w:val="continue"/>
            <w:vAlign w:val="center"/>
          </w:tcPr>
          <w:p w14:paraId="124817E7">
            <w:pPr>
              <w:widowControl/>
              <w:jc w:val="left"/>
              <w:rPr>
                <w:rFonts w:ascii="Times New Roman" w:hAnsi="Times New Roman" w:eastAsia="仿宋" w:cs="Times New Roman"/>
                <w:b/>
                <w:kern w:val="0"/>
                <w:szCs w:val="21"/>
              </w:rPr>
            </w:pPr>
          </w:p>
        </w:tc>
        <w:tc>
          <w:tcPr>
            <w:tcW w:w="3232" w:type="dxa"/>
            <w:vMerge w:val="continue"/>
            <w:vAlign w:val="center"/>
          </w:tcPr>
          <w:p w14:paraId="66692FA3">
            <w:pPr>
              <w:widowControl/>
              <w:jc w:val="left"/>
              <w:rPr>
                <w:rFonts w:ascii="Times New Roman" w:hAnsi="Times New Roman" w:eastAsia="仿宋" w:cs="Times New Roman"/>
                <w:b/>
                <w:kern w:val="0"/>
                <w:szCs w:val="21"/>
              </w:rPr>
            </w:pPr>
          </w:p>
        </w:tc>
      </w:tr>
      <w:tr w14:paraId="6458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1083" w:type="dxa"/>
            <w:vAlign w:val="center"/>
          </w:tcPr>
          <w:p w14:paraId="74F71073">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ZH43110330002</w:t>
            </w:r>
          </w:p>
        </w:tc>
        <w:tc>
          <w:tcPr>
            <w:tcW w:w="1322" w:type="dxa"/>
            <w:vAlign w:val="center"/>
          </w:tcPr>
          <w:p w14:paraId="68F199CE">
            <w:pPr>
              <w:jc w:val="center"/>
              <w:rPr>
                <w:rFonts w:ascii="Times New Roman" w:hAnsi="Times New Roman" w:eastAsia="仿宋" w:cs="Times New Roman"/>
                <w:szCs w:val="21"/>
              </w:rPr>
            </w:pPr>
            <w:r>
              <w:rPr>
                <w:rFonts w:ascii="Times New Roman" w:hAnsi="Times New Roman" w:eastAsia="仿宋" w:cs="Times New Roman"/>
                <w:szCs w:val="21"/>
              </w:rPr>
              <w:t>花桥街镇/牛角坝镇/普利桥镇/黄阳司镇/上岭桥镇/伊塘镇</w:t>
            </w:r>
          </w:p>
        </w:tc>
        <w:tc>
          <w:tcPr>
            <w:tcW w:w="567" w:type="dxa"/>
            <w:vAlign w:val="center"/>
          </w:tcPr>
          <w:p w14:paraId="259AD4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016CEEF0">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6" w:type="dxa"/>
            <w:vAlign w:val="center"/>
          </w:tcPr>
          <w:p w14:paraId="0CDC8985">
            <w:pPr>
              <w:widowControl/>
              <w:jc w:val="center"/>
              <w:rPr>
                <w:rFonts w:ascii="Times New Roman" w:hAnsi="Times New Roman" w:eastAsia="仿宋" w:cs="Times New Roman"/>
                <w:i/>
                <w:kern w:val="0"/>
                <w:szCs w:val="21"/>
              </w:rPr>
            </w:pPr>
            <w:r>
              <w:rPr>
                <w:rFonts w:ascii="Times New Roman" w:hAnsi="Times New Roman" w:eastAsia="仿宋" w:cs="Times New Roman"/>
                <w:szCs w:val="21"/>
              </w:rPr>
              <w:t>冷水滩区</w:t>
            </w:r>
          </w:p>
        </w:tc>
        <w:tc>
          <w:tcPr>
            <w:tcW w:w="850" w:type="dxa"/>
            <w:vAlign w:val="center"/>
          </w:tcPr>
          <w:p w14:paraId="7C5C5CF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92" w:type="dxa"/>
            <w:vAlign w:val="center"/>
          </w:tcPr>
          <w:p w14:paraId="46A6DE7B">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658.50</w:t>
            </w:r>
          </w:p>
        </w:tc>
        <w:tc>
          <w:tcPr>
            <w:tcW w:w="1134" w:type="dxa"/>
            <w:vAlign w:val="center"/>
          </w:tcPr>
          <w:p w14:paraId="3161F851">
            <w:pPr>
              <w:jc w:val="center"/>
              <w:rPr>
                <w:rFonts w:ascii="Times New Roman" w:hAnsi="Times New Roman" w:eastAsia="仿宋" w:cs="Times New Roman"/>
                <w:szCs w:val="21"/>
              </w:rPr>
            </w:pPr>
            <w:r>
              <w:rPr>
                <w:rFonts w:ascii="Times New Roman" w:hAnsi="Times New Roman" w:eastAsia="仿宋" w:cs="Times New Roman"/>
                <w:szCs w:val="21"/>
              </w:rPr>
              <w:t>花桥街镇/牛角坝镇/普利桥镇/黄阳司镇/上岭桥镇/伊塘镇</w:t>
            </w:r>
          </w:p>
        </w:tc>
        <w:tc>
          <w:tcPr>
            <w:tcW w:w="1823" w:type="dxa"/>
            <w:vAlign w:val="center"/>
          </w:tcPr>
          <w:p w14:paraId="5C6F117E">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花桥街镇：</w:t>
            </w:r>
            <w:r>
              <w:rPr>
                <w:rFonts w:ascii="Times New Roman" w:hAnsi="Times New Roman" w:eastAsia="仿宋" w:cs="Times New Roman"/>
                <w:kern w:val="0"/>
                <w:szCs w:val="21"/>
              </w:rPr>
              <w:t>农产品主产区/生态农旅发展区；</w:t>
            </w:r>
            <w:r>
              <w:rPr>
                <w:rFonts w:ascii="Times New Roman" w:hAnsi="Times New Roman" w:eastAsia="仿宋" w:cs="Times New Roman"/>
                <w:b/>
                <w:bCs/>
                <w:szCs w:val="21"/>
              </w:rPr>
              <w:t>牛角坝镇、普利桥镇：</w:t>
            </w:r>
            <w:r>
              <w:rPr>
                <w:rFonts w:ascii="Times New Roman" w:hAnsi="Times New Roman" w:eastAsia="仿宋" w:cs="Times New Roman"/>
                <w:kern w:val="0"/>
                <w:szCs w:val="21"/>
              </w:rPr>
              <w:t>农产品主产区；</w:t>
            </w:r>
            <w:r>
              <w:rPr>
                <w:rFonts w:ascii="Times New Roman" w:hAnsi="Times New Roman" w:eastAsia="仿宋" w:cs="Times New Roman"/>
                <w:b/>
                <w:bCs/>
                <w:szCs w:val="21"/>
              </w:rPr>
              <w:t>黄阳司镇、上岭桥镇：</w:t>
            </w:r>
            <w:r>
              <w:rPr>
                <w:rFonts w:ascii="Times New Roman" w:hAnsi="Times New Roman" w:eastAsia="仿宋" w:cs="Times New Roman"/>
                <w:kern w:val="0"/>
                <w:szCs w:val="21"/>
              </w:rPr>
              <w:t>城市化地区；</w:t>
            </w:r>
            <w:r>
              <w:rPr>
                <w:rFonts w:ascii="Times New Roman" w:hAnsi="Times New Roman" w:eastAsia="仿宋" w:cs="Times New Roman"/>
                <w:b/>
                <w:bCs/>
                <w:szCs w:val="21"/>
              </w:rPr>
              <w:t>伊塘镇：</w:t>
            </w:r>
            <w:r>
              <w:rPr>
                <w:rFonts w:ascii="Times New Roman" w:hAnsi="Times New Roman" w:eastAsia="仿宋" w:cs="Times New Roman"/>
                <w:kern w:val="0"/>
                <w:szCs w:val="21"/>
              </w:rPr>
              <w:t>农产品主产区/特色农业发展区</w:t>
            </w:r>
          </w:p>
        </w:tc>
        <w:tc>
          <w:tcPr>
            <w:tcW w:w="2146" w:type="dxa"/>
            <w:gridSpan w:val="2"/>
            <w:vAlign w:val="center"/>
          </w:tcPr>
          <w:p w14:paraId="007A82F6">
            <w:pPr>
              <w:widowControl/>
              <w:jc w:val="left"/>
              <w:rPr>
                <w:rFonts w:ascii="Times New Roman" w:hAnsi="Times New Roman" w:eastAsia="仿宋" w:cs="Times New Roman"/>
                <w:szCs w:val="21"/>
                <w:lang w:val="zh-CN"/>
              </w:rPr>
            </w:pPr>
            <w:r>
              <w:rPr>
                <w:rFonts w:ascii="Times New Roman" w:hAnsi="Times New Roman" w:eastAsia="仿宋" w:cs="Times New Roman"/>
                <w:b/>
                <w:bCs/>
                <w:szCs w:val="21"/>
              </w:rPr>
              <w:t>花桥街镇、牛角坝镇、普利桥镇、黄阳司镇：</w:t>
            </w:r>
            <w:r>
              <w:rPr>
                <w:rFonts w:ascii="Times New Roman" w:hAnsi="Times New Roman" w:eastAsia="仿宋" w:cs="Times New Roman"/>
                <w:szCs w:val="21"/>
              </w:rPr>
              <w:t>农业、</w:t>
            </w:r>
            <w:r>
              <w:rPr>
                <w:rFonts w:ascii="Times New Roman" w:hAnsi="Times New Roman" w:eastAsia="仿宋" w:cs="Times New Roman"/>
                <w:szCs w:val="21"/>
                <w:lang w:val="zh-CN"/>
              </w:rPr>
              <w:t>生态旅游、农产品加工业、</w:t>
            </w:r>
            <w:r>
              <w:rPr>
                <w:rFonts w:ascii="Times New Roman" w:hAnsi="Times New Roman" w:eastAsia="仿宋" w:cs="Times New Roman"/>
                <w:szCs w:val="21"/>
              </w:rPr>
              <w:t>光伏发电</w:t>
            </w:r>
            <w:r>
              <w:rPr>
                <w:rFonts w:ascii="Times New Roman" w:hAnsi="Times New Roman" w:eastAsia="仿宋" w:cs="Times New Roman"/>
                <w:szCs w:val="21"/>
                <w:lang w:val="zh-CN"/>
              </w:rPr>
              <w:t>等。</w:t>
            </w:r>
          </w:p>
          <w:p w14:paraId="6320C867">
            <w:pPr>
              <w:pStyle w:val="8"/>
              <w:spacing w:after="0"/>
              <w:jc w:val="left"/>
              <w:rPr>
                <w:rFonts w:eastAsia="仿宋"/>
                <w:i/>
                <w:sz w:val="21"/>
                <w:szCs w:val="21"/>
                <w:lang w:val="zh-CN"/>
              </w:rPr>
            </w:pPr>
            <w:r>
              <w:rPr>
                <w:rFonts w:eastAsia="仿宋"/>
                <w:b/>
                <w:bCs/>
                <w:sz w:val="21"/>
                <w:szCs w:val="21"/>
                <w:lang w:val="zh-CN"/>
              </w:rPr>
              <w:t>上岭桥镇、伊塘镇：</w:t>
            </w:r>
            <w:r>
              <w:rPr>
                <w:rFonts w:eastAsia="仿宋"/>
                <w:sz w:val="21"/>
                <w:szCs w:val="21"/>
                <w:lang w:val="zh-CN"/>
              </w:rPr>
              <w:t>农业、生态旅游、农产品加工业、</w:t>
            </w:r>
            <w:r>
              <w:rPr>
                <w:rFonts w:eastAsia="仿宋"/>
                <w:sz w:val="21"/>
                <w:szCs w:val="21"/>
              </w:rPr>
              <w:t>光伏发电</w:t>
            </w:r>
            <w:r>
              <w:rPr>
                <w:rFonts w:eastAsia="仿宋"/>
                <w:sz w:val="21"/>
                <w:szCs w:val="21"/>
                <w:lang w:val="zh-CN"/>
              </w:rPr>
              <w:t>等；高科园范围以工业为主</w:t>
            </w:r>
            <w:r>
              <w:rPr>
                <w:rFonts w:eastAsia="仿宋"/>
                <w:i/>
                <w:sz w:val="21"/>
                <w:szCs w:val="21"/>
                <w:lang w:val="zh-CN"/>
              </w:rPr>
              <w:t>。</w:t>
            </w:r>
          </w:p>
        </w:tc>
        <w:tc>
          <w:tcPr>
            <w:tcW w:w="3232" w:type="dxa"/>
            <w:vAlign w:val="center"/>
          </w:tcPr>
          <w:p w14:paraId="7B3E1591">
            <w:pPr>
              <w:widowControl/>
              <w:jc w:val="left"/>
              <w:rPr>
                <w:rFonts w:ascii="Times New Roman" w:hAnsi="Times New Roman" w:eastAsia="仿宋" w:cs="Times New Roman"/>
                <w:szCs w:val="21"/>
                <w:lang w:val="zh-CN"/>
              </w:rPr>
            </w:pPr>
            <w:r>
              <w:rPr>
                <w:rFonts w:ascii="Times New Roman" w:hAnsi="Times New Roman" w:eastAsia="仿宋" w:cs="Times New Roman"/>
                <w:b/>
                <w:bCs/>
                <w:szCs w:val="21"/>
              </w:rPr>
              <w:t>花桥街镇、牛角坝镇、普利桥镇、黄阳司镇、</w:t>
            </w:r>
            <w:r>
              <w:rPr>
                <w:rFonts w:ascii="Times New Roman" w:hAnsi="Times New Roman" w:eastAsia="仿宋" w:cs="Times New Roman"/>
                <w:b/>
                <w:bCs/>
                <w:kern w:val="0"/>
                <w:szCs w:val="21"/>
                <w:lang w:val="zh-CN"/>
              </w:rPr>
              <w:t>伊塘镇</w:t>
            </w:r>
            <w:r>
              <w:rPr>
                <w:rFonts w:ascii="Times New Roman" w:hAnsi="Times New Roman" w:eastAsia="仿宋" w:cs="Times New Roman"/>
                <w:b/>
                <w:bCs/>
                <w:szCs w:val="21"/>
              </w:rPr>
              <w:t>：</w:t>
            </w:r>
            <w:r>
              <w:rPr>
                <w:rFonts w:ascii="Times New Roman" w:hAnsi="Times New Roman" w:eastAsia="仿宋" w:cs="Times New Roman"/>
                <w:szCs w:val="21"/>
                <w:lang w:val="zh-CN"/>
              </w:rPr>
              <w:t>垃圾收集处理系统不完善。</w:t>
            </w:r>
          </w:p>
          <w:p w14:paraId="18F557C1">
            <w:pPr>
              <w:widowControl/>
              <w:rPr>
                <w:rFonts w:ascii="Times New Roman" w:hAnsi="Times New Roman" w:eastAsia="仿宋" w:cs="Times New Roman"/>
                <w:kern w:val="0"/>
                <w:szCs w:val="21"/>
              </w:rPr>
            </w:pPr>
            <w:r>
              <w:rPr>
                <w:rFonts w:ascii="Times New Roman" w:hAnsi="Times New Roman" w:eastAsia="仿宋" w:cs="Times New Roman"/>
                <w:b/>
                <w:bCs/>
                <w:szCs w:val="21"/>
              </w:rPr>
              <w:t>上岭桥镇：</w:t>
            </w:r>
            <w:r>
              <w:rPr>
                <w:rFonts w:ascii="Times New Roman" w:hAnsi="Times New Roman" w:eastAsia="仿宋" w:cs="Times New Roman"/>
                <w:kern w:val="0"/>
                <w:szCs w:val="21"/>
              </w:rPr>
              <w:t>无明显环境问题。</w:t>
            </w:r>
          </w:p>
          <w:p w14:paraId="291E8C33">
            <w:pPr>
              <w:widowControl/>
              <w:rPr>
                <w:rFonts w:ascii="Times New Roman" w:hAnsi="Times New Roman" w:eastAsia="仿宋" w:cs="Times New Roman"/>
                <w:kern w:val="0"/>
                <w:szCs w:val="21"/>
              </w:rPr>
            </w:pPr>
            <w:r>
              <w:rPr>
                <w:rFonts w:ascii="Times New Roman" w:hAnsi="Times New Roman" w:eastAsia="仿宋" w:cs="Times New Roman"/>
                <w:kern w:val="0"/>
                <w:szCs w:val="21"/>
              </w:rPr>
              <w:t>环保目标：湖南冷水滩省级湿地公园。</w:t>
            </w:r>
          </w:p>
        </w:tc>
      </w:tr>
      <w:tr w14:paraId="73C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83" w:type="dxa"/>
            <w:vAlign w:val="center"/>
          </w:tcPr>
          <w:p w14:paraId="6D4009A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17" w:type="dxa"/>
            <w:gridSpan w:val="11"/>
            <w:vAlign w:val="center"/>
          </w:tcPr>
          <w:p w14:paraId="371A7C2E">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花桥街镇：</w:t>
            </w:r>
          </w:p>
          <w:p w14:paraId="270453C7">
            <w:pPr>
              <w:tabs>
                <w:tab w:val="left" w:pos="1021"/>
              </w:tabs>
              <w:rPr>
                <w:rFonts w:ascii="Times New Roman" w:hAnsi="Times New Roman" w:eastAsia="仿宋" w:cs="Times New Roman"/>
                <w:bCs/>
                <w:kern w:val="0"/>
                <w:szCs w:val="21"/>
              </w:rPr>
            </w:pPr>
            <w:r>
              <w:rPr>
                <w:rFonts w:ascii="Times New Roman" w:hAnsi="Times New Roman" w:eastAsia="仿宋" w:cs="Times New Roman"/>
                <w:kern w:val="0"/>
                <w:szCs w:val="21"/>
              </w:rPr>
              <w:t>红线/一般生态空间（水源涵养重要区/森林公园/水土流失敏感区/原生态红线/湿地公园）；水环境优先保护区/水环境一般管控区；大气环境优先保护区/大气环境受体敏感重点管控区；农用地优先保护区/一般管控区</w:t>
            </w:r>
          </w:p>
          <w:p w14:paraId="44582A31">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牛角坝镇：</w:t>
            </w:r>
          </w:p>
          <w:p w14:paraId="30A8F61C">
            <w:pPr>
              <w:tabs>
                <w:tab w:val="left" w:pos="1021"/>
              </w:tabs>
              <w:rPr>
                <w:rFonts w:ascii="Times New Roman" w:hAnsi="Times New Roman" w:eastAsia="仿宋" w:cs="Times New Roman"/>
                <w:bCs/>
                <w:kern w:val="0"/>
                <w:szCs w:val="21"/>
              </w:rPr>
            </w:pPr>
            <w:r>
              <w:rPr>
                <w:rFonts w:ascii="Times New Roman" w:hAnsi="Times New Roman" w:eastAsia="仿宋" w:cs="Times New Roman"/>
                <w:kern w:val="0"/>
                <w:szCs w:val="21"/>
              </w:rPr>
              <w:t>红线/一般生态空间（水源涵养重要区/湿地公园/原生态红线/水土流失敏感区）；水环境优先保护区/水环境一般管控区；大气环境优先保护区/大气环境受体敏感重点管控区；农用地优先保护区/建设用地重点管控区/其他重点管控区/一般管控区</w:t>
            </w:r>
          </w:p>
          <w:p w14:paraId="22639010">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普利桥镇：</w:t>
            </w:r>
          </w:p>
          <w:p w14:paraId="3E2EB450">
            <w:pPr>
              <w:tabs>
                <w:tab w:val="left" w:pos="1021"/>
              </w:tabs>
              <w:rPr>
                <w:rFonts w:ascii="Times New Roman" w:hAnsi="Times New Roman" w:eastAsia="仿宋" w:cs="Times New Roman"/>
                <w:bCs/>
                <w:kern w:val="0"/>
                <w:szCs w:val="21"/>
              </w:rPr>
            </w:pPr>
            <w:r>
              <w:rPr>
                <w:rFonts w:ascii="Times New Roman" w:hAnsi="Times New Roman" w:eastAsia="仿宋" w:cs="Times New Roman"/>
                <w:kern w:val="0"/>
                <w:szCs w:val="21"/>
              </w:rPr>
              <w:t>红线/一般生态空间（水源涵养重要区/水土流失敏感区/原生态红线/湿地公园/生物多样性保护功能重要区）；水环境优先保护区/水环境一般管控区；大气环境优先保护区/大气环境受体敏感重点管控区；农用地优先保护区/其他重点管控区 /一般管控区</w:t>
            </w:r>
          </w:p>
          <w:p w14:paraId="1F1032F7">
            <w:pPr>
              <w:tabs>
                <w:tab w:val="left" w:pos="1021"/>
              </w:tabs>
              <w:rPr>
                <w:rFonts w:ascii="Times New Roman" w:hAnsi="Times New Roman" w:eastAsia="仿宋" w:cs="Times New Roman"/>
                <w:b/>
                <w:kern w:val="0"/>
                <w:szCs w:val="21"/>
              </w:rPr>
            </w:pPr>
            <w:r>
              <w:rPr>
                <w:rFonts w:ascii="Times New Roman" w:hAnsi="Times New Roman" w:eastAsia="仿宋" w:cs="Times New Roman"/>
                <w:b/>
                <w:kern w:val="0"/>
                <w:szCs w:val="21"/>
              </w:rPr>
              <w:t>黄阳司镇：</w:t>
            </w:r>
          </w:p>
          <w:p w14:paraId="6DC0E10C">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原生态红线/水土流失敏感区/生物多样性保护功能重要区）；水环境一般管控区；大气环境受体敏感重点管控区；农用地优先保护区/农用地重点管控区/建设用地重点管控区/其他重点管控区/一般管控区</w:t>
            </w:r>
          </w:p>
          <w:p w14:paraId="4E8DB327">
            <w:pPr>
              <w:tabs>
                <w:tab w:val="left" w:pos="1021"/>
              </w:tabs>
              <w:rPr>
                <w:rFonts w:ascii="Times New Roman" w:hAnsi="Times New Roman" w:eastAsia="仿宋" w:cs="Times New Roman"/>
                <w:b/>
                <w:bCs/>
                <w:kern w:val="0"/>
                <w:szCs w:val="21"/>
              </w:rPr>
            </w:pPr>
            <w:r>
              <w:rPr>
                <w:rFonts w:ascii="Times New Roman" w:hAnsi="Times New Roman" w:eastAsia="仿宋" w:cs="Times New Roman"/>
                <w:b/>
                <w:bCs/>
                <w:kern w:val="0"/>
                <w:szCs w:val="21"/>
              </w:rPr>
              <w:t>上岭桥镇：</w:t>
            </w:r>
          </w:p>
          <w:p w14:paraId="0A06C6BE">
            <w:pPr>
              <w:tabs>
                <w:tab w:val="left" w:pos="1021"/>
              </w:tabs>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原生态红线/水土流失敏感区/生物多样性保护功能重要区）；水环境优先保护区/水环境一般管控区；大气环境优先保护区/大气环境受体敏感重点管控区/大气环境布局敏感重点管控区/大气环境弱扩散重点管控区；农用地优先保护区/其他重点管控区/一般管控区；高污染燃料禁燃区</w:t>
            </w:r>
          </w:p>
          <w:p w14:paraId="45757C39">
            <w:pPr>
              <w:tabs>
                <w:tab w:val="left" w:pos="1021"/>
              </w:tabs>
              <w:rPr>
                <w:rFonts w:ascii="Times New Roman" w:hAnsi="Times New Roman" w:eastAsia="仿宋" w:cs="Times New Roman"/>
                <w:b/>
                <w:bCs/>
                <w:szCs w:val="21"/>
              </w:rPr>
            </w:pPr>
            <w:r>
              <w:rPr>
                <w:rFonts w:ascii="Times New Roman" w:hAnsi="Times New Roman" w:eastAsia="仿宋" w:cs="Times New Roman"/>
                <w:b/>
                <w:bCs/>
                <w:szCs w:val="21"/>
              </w:rPr>
              <w:t>伊塘镇：</w:t>
            </w:r>
          </w:p>
          <w:p w14:paraId="2022D5CC">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一般生态空间（水源涵养重要区/原生态红线/水土流失敏感区）；水环境一般管控区；大气环境高排放重点管控区/大气环境受体敏感重点管控区/大气环境弱扩散重点管控区；农用地优先保护区/其他重点管控区/一般管控区</w:t>
            </w:r>
          </w:p>
        </w:tc>
      </w:tr>
      <w:tr w14:paraId="131B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83" w:type="dxa"/>
            <w:vAlign w:val="center"/>
          </w:tcPr>
          <w:p w14:paraId="1C0697B1">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75" w:type="dxa"/>
            <w:gridSpan w:val="9"/>
            <w:vAlign w:val="center"/>
          </w:tcPr>
          <w:p w14:paraId="47A23272">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842" w:type="dxa"/>
            <w:gridSpan w:val="2"/>
            <w:vAlign w:val="center"/>
          </w:tcPr>
          <w:p w14:paraId="42458888">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F39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vAlign w:val="center"/>
          </w:tcPr>
          <w:p w14:paraId="1EE1F87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75" w:type="dxa"/>
            <w:gridSpan w:val="9"/>
            <w:vAlign w:val="center"/>
          </w:tcPr>
          <w:p w14:paraId="157E167F">
            <w:pPr>
              <w:pStyle w:val="55"/>
              <w:numPr>
                <w:ilvl w:val="1"/>
                <w:numId w:val="4"/>
              </w:numPr>
              <w:ind w:firstLine="420"/>
              <w:rPr>
                <w:rFonts w:eastAsia="仿宋"/>
                <w:szCs w:val="21"/>
              </w:rPr>
            </w:pPr>
            <w:r>
              <w:rPr>
                <w:rFonts w:eastAsia="仿宋"/>
                <w:szCs w:val="21"/>
              </w:rPr>
              <w:t>畜禽养殖产业布局应符合《冷水滩区畜禽养殖规模“三区”划定方案》的规定。</w:t>
            </w:r>
          </w:p>
          <w:p w14:paraId="5037C1D1">
            <w:pPr>
              <w:pStyle w:val="55"/>
              <w:rPr>
                <w:rFonts w:eastAsia="仿宋"/>
                <w:szCs w:val="21"/>
              </w:rPr>
            </w:pPr>
            <w:r>
              <w:rPr>
                <w:rFonts w:eastAsia="仿宋"/>
                <w:szCs w:val="21"/>
              </w:rPr>
              <w:t>（1.2）砂石土矿的开采严格遵照《永州市冷水滩区普通建筑材料用砂石土矿专项规划（2019-2025年）》规定。禁止开采区不得设置砂石土矿，已有采矿权应立即退出。</w:t>
            </w:r>
          </w:p>
        </w:tc>
        <w:tc>
          <w:tcPr>
            <w:tcW w:w="4842" w:type="dxa"/>
            <w:gridSpan w:val="2"/>
            <w:vMerge w:val="restart"/>
            <w:vAlign w:val="center"/>
          </w:tcPr>
          <w:p w14:paraId="24EF80C5">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（1.1）永州市冷水滩区人民政府办公室关于印发《冷水滩区畜禽养殖规模“三区”划定方案》的通知（冷政办发〔2020〕2号）；</w:t>
            </w:r>
          </w:p>
          <w:p w14:paraId="2DD62132">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（1.2）《永州市冷水滩区普通建筑材料用砂石土矿专项规划（2019-2025年）》；</w:t>
            </w:r>
          </w:p>
          <w:p w14:paraId="2BB8EFF2">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（2.1）《永州市冷水滩区“十四五”生态环境保护规划》；</w:t>
            </w:r>
          </w:p>
          <w:p w14:paraId="59853CD0">
            <w:pPr>
              <w:widowControl/>
              <w:jc w:val="left"/>
              <w:rPr>
                <w:rFonts w:ascii="Times New Roman" w:hAnsi="Times New Roman" w:eastAsia="仿宋" w:cs="Times New Roman"/>
                <w:szCs w:val="21"/>
              </w:rPr>
            </w:pPr>
            <w:r>
              <w:rPr>
                <w:rFonts w:ascii="Times New Roman" w:hAnsi="Times New Roman" w:eastAsia="仿宋" w:cs="Times New Roman"/>
                <w:szCs w:val="21"/>
              </w:rPr>
              <w:t>（2.2）《永州市冷水滩区“十四五”生态环境保护规划》；</w:t>
            </w:r>
          </w:p>
          <w:p w14:paraId="481BA242">
            <w:pPr>
              <w:widowControl/>
              <w:jc w:val="left"/>
              <w:rPr>
                <w:rFonts w:ascii="Times New Roman" w:hAnsi="Times New Roman" w:eastAsia="仿宋" w:cs="Times New Roman"/>
                <w:szCs w:val="21"/>
              </w:rPr>
            </w:pPr>
            <w:r>
              <w:rPr>
                <w:rFonts w:ascii="Times New Roman" w:hAnsi="Times New Roman" w:eastAsia="仿宋" w:cs="Times New Roman"/>
                <w:szCs w:val="21"/>
              </w:rPr>
              <w:t>（2.3）《永州市冷水滩区“十四五”生态环境保护规划》；</w:t>
            </w:r>
          </w:p>
          <w:p w14:paraId="01449A32">
            <w:pPr>
              <w:widowControl/>
              <w:jc w:val="left"/>
              <w:rPr>
                <w:rFonts w:ascii="Times New Roman" w:hAnsi="Times New Roman" w:eastAsia="仿宋" w:cs="Times New Roman"/>
                <w:szCs w:val="21"/>
              </w:rPr>
            </w:pPr>
            <w:r>
              <w:rPr>
                <w:rFonts w:ascii="Times New Roman" w:hAnsi="Times New Roman" w:eastAsia="仿宋" w:cs="Times New Roman"/>
                <w:szCs w:val="21"/>
              </w:rPr>
              <w:t>（2.4）《永州市冷水滩区“十四五”生态环境保护规划》；</w:t>
            </w:r>
          </w:p>
          <w:p w14:paraId="212D8D11">
            <w:pPr>
              <w:widowControl/>
              <w:jc w:val="left"/>
              <w:rPr>
                <w:rFonts w:ascii="Times New Roman" w:hAnsi="Times New Roman" w:eastAsia="仿宋" w:cs="Times New Roman"/>
                <w:szCs w:val="21"/>
              </w:rPr>
            </w:pPr>
            <w:r>
              <w:rPr>
                <w:rFonts w:ascii="Times New Roman" w:hAnsi="Times New Roman" w:eastAsia="仿宋" w:cs="Times New Roman"/>
                <w:szCs w:val="21"/>
              </w:rPr>
              <w:t>（2.5）《永州市冷水滩区“十四五”生态环境保护规划》；</w:t>
            </w:r>
          </w:p>
          <w:p w14:paraId="36598BBB">
            <w:pPr>
              <w:widowControl/>
              <w:jc w:val="left"/>
              <w:rPr>
                <w:rFonts w:ascii="Times New Roman" w:hAnsi="Times New Roman" w:eastAsia="仿宋" w:cs="Times New Roman"/>
                <w:szCs w:val="21"/>
              </w:rPr>
            </w:pPr>
            <w:r>
              <w:rPr>
                <w:rFonts w:ascii="Times New Roman" w:hAnsi="Times New Roman" w:eastAsia="仿宋" w:cs="Times New Roman"/>
                <w:szCs w:val="21"/>
              </w:rPr>
              <w:t>（2.6）《永州市冷水滩区“十四五”生态环境保护规划》；</w:t>
            </w:r>
          </w:p>
          <w:p w14:paraId="6FBBF3AA">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（2.7）《永州市冷水滩区普通建筑材料用砂石土矿专项规划（2019-2025年）》；</w:t>
            </w:r>
          </w:p>
          <w:p w14:paraId="27C55DDE">
            <w:pPr>
              <w:tabs>
                <w:tab w:val="left" w:pos="1021"/>
              </w:tabs>
              <w:rPr>
                <w:rFonts w:ascii="Times New Roman" w:hAnsi="Times New Roman" w:eastAsia="仿宋" w:cs="Times New Roman"/>
                <w:szCs w:val="21"/>
              </w:rPr>
            </w:pPr>
            <w:r>
              <w:rPr>
                <w:rFonts w:ascii="Times New Roman" w:hAnsi="Times New Roman" w:eastAsia="仿宋" w:cs="Times New Roman"/>
                <w:szCs w:val="21"/>
              </w:rPr>
              <w:t>（3.1）《永州市冷水滩区“十四五”生态环境保护规划》；</w:t>
            </w:r>
          </w:p>
          <w:p w14:paraId="0395BF4E">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（4.1）《永州市冷水滩区大气污染防治攻坚行动计划（2023-2025）》；</w:t>
            </w:r>
          </w:p>
          <w:p w14:paraId="40192478">
            <w:pPr>
              <w:tabs>
                <w:tab w:val="left" w:pos="1021"/>
              </w:tabs>
              <w:jc w:val="left"/>
              <w:rPr>
                <w:rFonts w:ascii="Times New Roman" w:hAnsi="Times New Roman" w:eastAsia="仿宋" w:cs="Times New Roman"/>
                <w:kern w:val="0"/>
                <w:szCs w:val="21"/>
              </w:rPr>
            </w:pPr>
            <w:r>
              <w:rPr>
                <w:rFonts w:ascii="Times New Roman" w:hAnsi="Times New Roman" w:eastAsia="仿宋" w:cs="Times New Roman"/>
                <w:szCs w:val="21"/>
              </w:rPr>
              <w:t>（4.2）《关于调整永州市“十四五”用水总量和强度双控目标的通知》（永水发〔2024〕1号）；</w:t>
            </w:r>
          </w:p>
          <w:p w14:paraId="7A6FEB2F">
            <w:pPr>
              <w:tabs>
                <w:tab w:val="left" w:pos="1021"/>
              </w:tabs>
              <w:jc w:val="left"/>
              <w:rPr>
                <w:rFonts w:ascii="Times New Roman" w:hAnsi="Times New Roman" w:eastAsia="仿宋" w:cs="Times New Roman"/>
                <w:szCs w:val="21"/>
              </w:rPr>
            </w:pPr>
            <w:r>
              <w:rPr>
                <w:rFonts w:ascii="Times New Roman" w:hAnsi="Times New Roman" w:eastAsia="仿宋" w:cs="Times New Roman"/>
                <w:szCs w:val="21"/>
              </w:rPr>
              <w:t>（4.3）《永州市人民政府关于调整高污染燃料禁燃区的通告》（永政函〔2020〕30号）。</w:t>
            </w:r>
          </w:p>
        </w:tc>
      </w:tr>
      <w:tr w14:paraId="59AB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2B9EF29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75" w:type="dxa"/>
            <w:gridSpan w:val="9"/>
            <w:vAlign w:val="center"/>
          </w:tcPr>
          <w:p w14:paraId="76F3E75B">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（2.1）持续推进“散乱污”涉气企业整治，淘汰落后产能。</w:t>
            </w:r>
          </w:p>
          <w:p w14:paraId="616DC607">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（2.2）新、改、扩建涉及VOCs 排放项目，从原辅材料和工艺流程大力推广使用低（无）VOCs含量的涂料、有机溶剂、胶黏剂、油墨等原辅材料，配套改进生产工艺。</w:t>
            </w:r>
          </w:p>
          <w:p w14:paraId="2DCA8251">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（2.3）加快城镇污水管网和处理能力向周边延伸覆盖，力争实现全区农村生活污水治理全域覆盖。统筹推进农村黑臭水体治理工作。</w:t>
            </w:r>
          </w:p>
          <w:p w14:paraId="527CBD7A">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2.4）加大对畜禽养殖场粪污资源化利用扶持力度，加强畜禽养殖处理设施建设。对全区限养区、适养区内传统畜禽养殖场全面进行提质改造，配套建设畜禽废弃物无害化处理和资源化利用设施设备，使畜禽养殖污水稳定达标排放。</w:t>
            </w:r>
          </w:p>
          <w:p w14:paraId="302BD6C6">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2.5）建立健全符合农村实际、方式多样的生活垃圾收运处置体系，鼓励实行城乡垃圾处理一体化。到2025年，农村生活垃圾收集处置体系实现乡镇全覆盖，生活垃圾定点存放清运率100%，垃圾分类减量85%以上，集镇生活垃圾无害化处置率达90%。</w:t>
            </w:r>
          </w:p>
          <w:p w14:paraId="34AF1B34">
            <w:pPr>
              <w:pStyle w:val="55"/>
              <w:jc w:val="left"/>
              <w:rPr>
                <w:rFonts w:eastAsia="仿宋"/>
                <w:szCs w:val="21"/>
              </w:rPr>
            </w:pPr>
            <w:r>
              <w:rPr>
                <w:rFonts w:eastAsia="仿宋"/>
                <w:szCs w:val="21"/>
              </w:rPr>
              <w:t>（2.6）严格控制烟花爆竹，全区禁止露天焚烧，支持秸秆回收利用。</w:t>
            </w:r>
          </w:p>
          <w:p w14:paraId="3FB5E7D5">
            <w:pPr>
              <w:tabs>
                <w:tab w:val="left" w:pos="1021"/>
              </w:tabs>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（2.7）新建矿山和改扩建矿山严格执行矿山准入条件，按照矿山地质环境综合防治方案及水土保持方案，履行环境恢复治理与土地复垦义务。</w:t>
            </w:r>
          </w:p>
          <w:p w14:paraId="6909DBA6">
            <w:pPr>
              <w:pStyle w:val="55"/>
              <w:jc w:val="left"/>
              <w:rPr>
                <w:rFonts w:eastAsia="仿宋"/>
                <w:szCs w:val="21"/>
              </w:rPr>
            </w:pPr>
            <w:r>
              <w:rPr>
                <w:rFonts w:eastAsia="仿宋"/>
                <w:szCs w:val="21"/>
              </w:rPr>
              <w:t>强化矿山废水、废石、废渣综合利用，坚持“三废”达标排放，鼓励采用先进的设备、工艺，实行清洁生产，实现矿山废弃物的减量化、再利用化和资源化。</w:t>
            </w:r>
          </w:p>
        </w:tc>
        <w:tc>
          <w:tcPr>
            <w:tcW w:w="4842" w:type="dxa"/>
            <w:gridSpan w:val="2"/>
            <w:vMerge w:val="continue"/>
            <w:vAlign w:val="center"/>
          </w:tcPr>
          <w:p w14:paraId="1861D2DA">
            <w:pPr>
              <w:widowControl/>
              <w:jc w:val="left"/>
              <w:rPr>
                <w:rFonts w:ascii="Times New Roman" w:hAnsi="Times New Roman" w:eastAsia="仿宋" w:cs="Times New Roman"/>
                <w:szCs w:val="21"/>
              </w:rPr>
            </w:pPr>
          </w:p>
        </w:tc>
      </w:tr>
      <w:tr w14:paraId="16FE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83" w:type="dxa"/>
            <w:vAlign w:val="center"/>
          </w:tcPr>
          <w:p w14:paraId="7D091B6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75" w:type="dxa"/>
            <w:gridSpan w:val="9"/>
            <w:vAlign w:val="center"/>
          </w:tcPr>
          <w:p w14:paraId="5271612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（3.1）企业应定期开展环境应急培训，加大应急预案演练频次和力度， 提高预案的可操作性和有效性。建设区域环境应急联防联控体系，建立紧密协同、快速反应的工作机制。</w:t>
            </w:r>
          </w:p>
        </w:tc>
        <w:tc>
          <w:tcPr>
            <w:tcW w:w="4842" w:type="dxa"/>
            <w:gridSpan w:val="2"/>
            <w:vMerge w:val="continue"/>
            <w:vAlign w:val="center"/>
          </w:tcPr>
          <w:p w14:paraId="7E311C63">
            <w:pPr>
              <w:widowControl/>
              <w:jc w:val="left"/>
              <w:rPr>
                <w:rFonts w:ascii="Times New Roman" w:hAnsi="Times New Roman" w:eastAsia="仿宋" w:cs="Times New Roman"/>
                <w:szCs w:val="21"/>
              </w:rPr>
            </w:pPr>
          </w:p>
        </w:tc>
      </w:tr>
      <w:tr w14:paraId="28EA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83" w:type="dxa"/>
            <w:vAlign w:val="center"/>
          </w:tcPr>
          <w:p w14:paraId="67891E3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75" w:type="dxa"/>
            <w:gridSpan w:val="9"/>
            <w:vAlign w:val="center"/>
          </w:tcPr>
          <w:p w14:paraId="4A825B5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szCs w:val="21"/>
                <w:lang w:eastAsia="zh-Hans"/>
              </w:rPr>
              <w:t>能源：</w:t>
            </w:r>
          </w:p>
          <w:p w14:paraId="7B6866F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严格控制煤炭消费总量，提高电煤消费占比。有序推进“煤改气”“煤改电”，加快天然气在工业领域的应用，加快实施电能替代，推广使用工业电锅窑炉、电热釜等设备。</w:t>
            </w:r>
          </w:p>
          <w:p w14:paraId="0F1A7C7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2FC269C">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2025年，冷水滩区用水总量控制在32162万立方米以内，农业用水总量控制在15328万立方米以内，万元地区生产总值用水量、万元工业增加值用水量分别比2020年降低30.00%、8.87%，农田灌溉水有效利用系数为0.540。</w:t>
            </w:r>
          </w:p>
          <w:p w14:paraId="153722E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（4.3）高污染燃料禁燃区严格执行《永州市人民政府关于调整高污染燃料禁燃区的通告》（永政函〔2020〕30号）的规定。</w:t>
            </w:r>
          </w:p>
        </w:tc>
        <w:tc>
          <w:tcPr>
            <w:tcW w:w="4842" w:type="dxa"/>
            <w:gridSpan w:val="2"/>
            <w:vMerge w:val="continue"/>
            <w:vAlign w:val="center"/>
          </w:tcPr>
          <w:p w14:paraId="281C2866">
            <w:pPr>
              <w:widowControl/>
              <w:jc w:val="left"/>
              <w:rPr>
                <w:rFonts w:ascii="Times New Roman" w:hAnsi="Times New Roman" w:eastAsia="仿宋" w:cs="Times New Roman"/>
                <w:szCs w:val="21"/>
              </w:rPr>
            </w:pPr>
          </w:p>
        </w:tc>
      </w:tr>
    </w:tbl>
    <w:p w14:paraId="5B0D7921">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42E50346">
      <w:pPr>
        <w:spacing w:line="348" w:lineRule="auto"/>
        <w:jc w:val="center"/>
        <w:outlineLvl w:val="0"/>
        <w:rPr>
          <w:rFonts w:ascii="Times New Roman" w:hAnsi="Times New Roman" w:eastAsia="仿宋" w:cs="Times New Roman"/>
          <w:b/>
          <w:szCs w:val="21"/>
        </w:rPr>
      </w:pPr>
      <w:bookmarkStart w:id="17" w:name="_Toc30922"/>
      <w:bookmarkStart w:id="18" w:name="_Toc58452421"/>
      <w:bookmarkStart w:id="19" w:name="_Toc160709112"/>
      <w:r>
        <w:rPr>
          <w:rFonts w:ascii="Times New Roman" w:hAnsi="Times New Roman" w:eastAsia="仿宋" w:cs="Times New Roman"/>
          <w:b/>
          <w:szCs w:val="21"/>
        </w:rPr>
        <w:t>3  祁阳</w:t>
      </w:r>
      <w:bookmarkEnd w:id="17"/>
      <w:bookmarkEnd w:id="18"/>
      <w:r>
        <w:rPr>
          <w:rFonts w:ascii="Times New Roman" w:hAnsi="Times New Roman" w:eastAsia="仿宋" w:cs="Times New Roman"/>
          <w:b/>
          <w:szCs w:val="21"/>
        </w:rPr>
        <w:t>市</w:t>
      </w:r>
      <w:bookmarkEnd w:id="19"/>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500"/>
        <w:gridCol w:w="1559"/>
        <w:gridCol w:w="309"/>
        <w:gridCol w:w="3305"/>
        <w:gridCol w:w="1531"/>
      </w:tblGrid>
      <w:tr w14:paraId="199A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6FD9B37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02442AA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76D2035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7EF7448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56CC7AB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500" w:type="dxa"/>
            <w:vMerge w:val="restart"/>
            <w:vAlign w:val="center"/>
          </w:tcPr>
          <w:p w14:paraId="14437B8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59" w:type="dxa"/>
            <w:vMerge w:val="restart"/>
            <w:vAlign w:val="center"/>
          </w:tcPr>
          <w:p w14:paraId="5D37420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614" w:type="dxa"/>
            <w:gridSpan w:val="2"/>
            <w:vMerge w:val="restart"/>
            <w:vAlign w:val="center"/>
          </w:tcPr>
          <w:p w14:paraId="1C91869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531" w:type="dxa"/>
            <w:vMerge w:val="restart"/>
            <w:vAlign w:val="center"/>
          </w:tcPr>
          <w:p w14:paraId="49D258C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099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714A99B2">
            <w:pPr>
              <w:widowControl/>
              <w:jc w:val="left"/>
              <w:rPr>
                <w:rFonts w:ascii="Times New Roman" w:hAnsi="Times New Roman" w:eastAsia="仿宋" w:cs="Times New Roman"/>
                <w:b/>
                <w:kern w:val="0"/>
                <w:szCs w:val="21"/>
              </w:rPr>
            </w:pPr>
          </w:p>
        </w:tc>
        <w:tc>
          <w:tcPr>
            <w:tcW w:w="851" w:type="dxa"/>
            <w:vMerge w:val="continue"/>
            <w:vAlign w:val="center"/>
          </w:tcPr>
          <w:p w14:paraId="646D37E3">
            <w:pPr>
              <w:widowControl/>
              <w:jc w:val="left"/>
              <w:rPr>
                <w:rFonts w:ascii="Times New Roman" w:hAnsi="Times New Roman" w:eastAsia="仿宋" w:cs="Times New Roman"/>
                <w:b/>
                <w:kern w:val="0"/>
                <w:szCs w:val="21"/>
              </w:rPr>
            </w:pPr>
          </w:p>
        </w:tc>
        <w:tc>
          <w:tcPr>
            <w:tcW w:w="425" w:type="dxa"/>
            <w:vAlign w:val="center"/>
          </w:tcPr>
          <w:p w14:paraId="48A6EBE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1A66BF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58763AF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47BF451F">
            <w:pPr>
              <w:widowControl/>
              <w:jc w:val="left"/>
              <w:rPr>
                <w:rFonts w:ascii="Times New Roman" w:hAnsi="Times New Roman" w:eastAsia="仿宋" w:cs="Times New Roman"/>
                <w:b/>
                <w:kern w:val="0"/>
                <w:szCs w:val="21"/>
              </w:rPr>
            </w:pPr>
          </w:p>
        </w:tc>
        <w:tc>
          <w:tcPr>
            <w:tcW w:w="992" w:type="dxa"/>
            <w:vMerge w:val="continue"/>
            <w:vAlign w:val="center"/>
          </w:tcPr>
          <w:p w14:paraId="10792894">
            <w:pPr>
              <w:widowControl/>
              <w:jc w:val="left"/>
              <w:rPr>
                <w:rFonts w:ascii="Times New Roman" w:hAnsi="Times New Roman" w:eastAsia="仿宋" w:cs="Times New Roman"/>
                <w:b/>
                <w:kern w:val="0"/>
                <w:szCs w:val="21"/>
              </w:rPr>
            </w:pPr>
          </w:p>
        </w:tc>
        <w:tc>
          <w:tcPr>
            <w:tcW w:w="1500" w:type="dxa"/>
            <w:vMerge w:val="continue"/>
            <w:vAlign w:val="center"/>
          </w:tcPr>
          <w:p w14:paraId="7F1A6201">
            <w:pPr>
              <w:widowControl/>
              <w:jc w:val="left"/>
              <w:rPr>
                <w:rFonts w:ascii="Times New Roman" w:hAnsi="Times New Roman" w:eastAsia="仿宋" w:cs="Times New Roman"/>
                <w:b/>
                <w:kern w:val="0"/>
                <w:szCs w:val="21"/>
              </w:rPr>
            </w:pPr>
          </w:p>
        </w:tc>
        <w:tc>
          <w:tcPr>
            <w:tcW w:w="1559" w:type="dxa"/>
            <w:vMerge w:val="continue"/>
            <w:vAlign w:val="center"/>
          </w:tcPr>
          <w:p w14:paraId="18F6DA2C">
            <w:pPr>
              <w:widowControl/>
              <w:jc w:val="left"/>
              <w:rPr>
                <w:rFonts w:ascii="Times New Roman" w:hAnsi="Times New Roman" w:eastAsia="仿宋" w:cs="Times New Roman"/>
                <w:b/>
                <w:kern w:val="0"/>
                <w:szCs w:val="21"/>
              </w:rPr>
            </w:pPr>
          </w:p>
        </w:tc>
        <w:tc>
          <w:tcPr>
            <w:tcW w:w="3614" w:type="dxa"/>
            <w:gridSpan w:val="2"/>
            <w:vMerge w:val="continue"/>
            <w:vAlign w:val="center"/>
          </w:tcPr>
          <w:p w14:paraId="0D5E1A50">
            <w:pPr>
              <w:widowControl/>
              <w:jc w:val="left"/>
              <w:rPr>
                <w:rFonts w:ascii="Times New Roman" w:hAnsi="Times New Roman" w:eastAsia="仿宋" w:cs="Times New Roman"/>
                <w:b/>
                <w:kern w:val="0"/>
                <w:szCs w:val="21"/>
              </w:rPr>
            </w:pPr>
          </w:p>
        </w:tc>
        <w:tc>
          <w:tcPr>
            <w:tcW w:w="1531" w:type="dxa"/>
            <w:vMerge w:val="continue"/>
            <w:vAlign w:val="center"/>
          </w:tcPr>
          <w:p w14:paraId="3DF48DF3">
            <w:pPr>
              <w:widowControl/>
              <w:jc w:val="left"/>
              <w:rPr>
                <w:rFonts w:ascii="Times New Roman" w:hAnsi="Times New Roman" w:eastAsia="仿宋" w:cs="Times New Roman"/>
                <w:b/>
                <w:kern w:val="0"/>
                <w:szCs w:val="21"/>
              </w:rPr>
            </w:pPr>
          </w:p>
        </w:tc>
      </w:tr>
      <w:tr w14:paraId="0C08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10DF86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ZH43112110001</w:t>
            </w:r>
          </w:p>
        </w:tc>
        <w:tc>
          <w:tcPr>
            <w:tcW w:w="851" w:type="dxa"/>
            <w:vAlign w:val="center"/>
          </w:tcPr>
          <w:p w14:paraId="1B11D78C">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大村甸镇</w:t>
            </w:r>
          </w:p>
        </w:tc>
        <w:tc>
          <w:tcPr>
            <w:tcW w:w="425" w:type="dxa"/>
            <w:vAlign w:val="center"/>
          </w:tcPr>
          <w:p w14:paraId="53E7894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5CAE0C5E">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7E46E0AA">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1134" w:type="dxa"/>
            <w:vAlign w:val="center"/>
          </w:tcPr>
          <w:p w14:paraId="173411C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6064FB9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92.77</w:t>
            </w:r>
          </w:p>
        </w:tc>
        <w:tc>
          <w:tcPr>
            <w:tcW w:w="1500" w:type="dxa"/>
            <w:vAlign w:val="center"/>
          </w:tcPr>
          <w:p w14:paraId="0B1A8F07">
            <w:pPr>
              <w:widowControl/>
              <w:jc w:val="center"/>
              <w:rPr>
                <w:rFonts w:ascii="Times New Roman" w:hAnsi="Times New Roman" w:eastAsia="仿宋" w:cs="Times New Roman"/>
                <w:szCs w:val="21"/>
              </w:rPr>
            </w:pPr>
            <w:r>
              <w:rPr>
                <w:rFonts w:ascii="Times New Roman" w:hAnsi="Times New Roman" w:eastAsia="仿宋" w:cs="Times New Roman"/>
                <w:szCs w:val="21"/>
              </w:rPr>
              <w:t>大村甸镇</w:t>
            </w:r>
          </w:p>
        </w:tc>
        <w:tc>
          <w:tcPr>
            <w:tcW w:w="1559" w:type="dxa"/>
            <w:vAlign w:val="center"/>
          </w:tcPr>
          <w:p w14:paraId="5685763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农产品主产区</w:t>
            </w:r>
          </w:p>
        </w:tc>
        <w:tc>
          <w:tcPr>
            <w:tcW w:w="3614" w:type="dxa"/>
            <w:gridSpan w:val="2"/>
            <w:vAlign w:val="center"/>
          </w:tcPr>
          <w:p w14:paraId="23731690">
            <w:pPr>
              <w:widowControl/>
              <w:jc w:val="center"/>
              <w:rPr>
                <w:rFonts w:ascii="Times New Roman" w:hAnsi="Times New Roman" w:eastAsia="仿宋" w:cs="Times New Roman"/>
                <w:b/>
                <w:kern w:val="0"/>
                <w:szCs w:val="21"/>
              </w:rPr>
            </w:pPr>
            <w:r>
              <w:rPr>
                <w:rFonts w:ascii="Times New Roman" w:hAnsi="Times New Roman" w:eastAsia="仿宋" w:cs="Times New Roman"/>
                <w:kern w:val="0"/>
                <w:szCs w:val="21"/>
              </w:rPr>
              <w:t>农业、农产品加工、教学仪器生产加工。</w:t>
            </w:r>
          </w:p>
        </w:tc>
        <w:tc>
          <w:tcPr>
            <w:tcW w:w="1531" w:type="dxa"/>
            <w:vAlign w:val="center"/>
          </w:tcPr>
          <w:p w14:paraId="11FB425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1277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E02F79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319678CB">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w:t>
            </w:r>
            <w:r>
              <w:rPr>
                <w:rFonts w:ascii="Times New Roman" w:hAnsi="Times New Roman" w:eastAsia="仿宋" w:cs="Times New Roman"/>
                <w:color w:val="000000" w:themeColor="text1"/>
                <w:kern w:val="0"/>
                <w:szCs w:val="21"/>
                <w14:textFill>
                  <w14:solidFill>
                    <w14:schemeClr w14:val="tx1"/>
                  </w14:solidFill>
                </w14:textFill>
              </w:rPr>
              <w:t>三区三线生态红线/水源涵养重要区/湿地公园/原生态红线/水土流失敏感区</w:t>
            </w:r>
            <w:r>
              <w:rPr>
                <w:rFonts w:ascii="Times New Roman" w:hAnsi="Times New Roman" w:eastAsia="仿宋" w:cs="Times New Roman"/>
                <w:kern w:val="0"/>
                <w:szCs w:val="21"/>
              </w:rPr>
              <w:t>）；水环境一般管控区/水环境优先保护区；大气环境优先保护区/大气环境受体敏感重点管控区/大气环境布局敏感重点管控区；农用地优先保护区/其他重点管控区/一般管控区；高污染燃料禁燃区</w:t>
            </w:r>
          </w:p>
        </w:tc>
      </w:tr>
      <w:tr w14:paraId="77BA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5A6C575">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223" w:type="dxa"/>
            <w:gridSpan w:val="9"/>
            <w:vAlign w:val="center"/>
          </w:tcPr>
          <w:p w14:paraId="3F6AA43E">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836" w:type="dxa"/>
            <w:gridSpan w:val="2"/>
            <w:vAlign w:val="center"/>
          </w:tcPr>
          <w:p w14:paraId="1154CD97">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E22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CA73CB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223" w:type="dxa"/>
            <w:gridSpan w:val="9"/>
            <w:vAlign w:val="center"/>
          </w:tcPr>
          <w:p w14:paraId="4342019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（1.1）畜禽养殖产业布局应符合《祁阳县畜禽养殖布局规划》（2020-2024年）的要求。</w:t>
            </w:r>
          </w:p>
          <w:p w14:paraId="5D457C1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（1.2）湖南祁阳浯溪国家湿地公园：执行《湖南祁阳浯溪国家湿地公园保护管理办法》相关规定。</w:t>
            </w:r>
          </w:p>
          <w:p w14:paraId="06BD9205">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（1.3）开展沿江化工污染整治，落实湘江干流（祁阳段）及主要支流岸线1公里范围内不准新建、扩建化工园区和化工项目要求，依法淘汰取缔违法违规工业园区。</w:t>
            </w:r>
          </w:p>
          <w:p w14:paraId="231782CD">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（1.4）生态保护红线内自然保护区、风景名胜区、饮用水水源保护区等区域依照法律法规执行。</w:t>
            </w:r>
          </w:p>
        </w:tc>
        <w:tc>
          <w:tcPr>
            <w:tcW w:w="4836" w:type="dxa"/>
            <w:gridSpan w:val="2"/>
            <w:vMerge w:val="restart"/>
            <w:vAlign w:val="center"/>
          </w:tcPr>
          <w:p w14:paraId="7550D5C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46F6CA4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（1.2）《湖南祁阳浯溪国家湿地公园保护管理办法》；</w:t>
            </w:r>
          </w:p>
          <w:p w14:paraId="1EEDB3F5">
            <w:pPr>
              <w:adjustRightInd w:val="0"/>
              <w:snapToGrid w:val="0"/>
              <w:rPr>
                <w:rFonts w:ascii="Times New Roman" w:hAnsi="Times New Roman" w:eastAsia="仿宋" w:cs="Times New Roman"/>
                <w:szCs w:val="21"/>
              </w:rPr>
            </w:pPr>
            <w:r>
              <w:rPr>
                <w:rFonts w:ascii="Times New Roman" w:hAnsi="Times New Roman" w:eastAsia="仿宋" w:cs="Times New Roman"/>
                <w:szCs w:val="21"/>
              </w:rPr>
              <w:t>（1.3）《永州市祁阳市“十四五”生态环境保护规划》；</w:t>
            </w:r>
          </w:p>
          <w:p w14:paraId="765B9FBF">
            <w:pPr>
              <w:adjustRightInd w:val="0"/>
              <w:snapToGrid w:val="0"/>
              <w:rPr>
                <w:rFonts w:ascii="Times New Roman" w:hAnsi="Times New Roman" w:eastAsia="仿宋" w:cs="Times New Roman"/>
                <w:szCs w:val="21"/>
              </w:rPr>
            </w:pPr>
            <w:r>
              <w:rPr>
                <w:rFonts w:ascii="Times New Roman" w:hAnsi="Times New Roman" w:eastAsia="仿宋" w:cs="Times New Roman"/>
                <w:szCs w:val="21"/>
              </w:rPr>
              <w:t>（1.4）《祁阳市国土空间总体规划（2021-2035年）》；</w:t>
            </w:r>
          </w:p>
          <w:p w14:paraId="7E9FC30D">
            <w:pPr>
              <w:adjustRightInd w:val="0"/>
              <w:snapToGrid w:val="0"/>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12B34B7F">
            <w:pPr>
              <w:adjustRightInd w:val="0"/>
              <w:snapToGrid w:val="0"/>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56332B31">
            <w:pPr>
              <w:adjustRightInd w:val="0"/>
              <w:snapToGrid w:val="0"/>
              <w:rPr>
                <w:rFonts w:ascii="Times New Roman" w:hAnsi="Times New Roman" w:eastAsia="仿宋" w:cs="Times New Roman"/>
                <w:szCs w:val="21"/>
              </w:rPr>
            </w:pPr>
            <w:r>
              <w:rPr>
                <w:rFonts w:ascii="Times New Roman" w:hAnsi="Times New Roman" w:eastAsia="仿宋" w:cs="Times New Roman"/>
                <w:szCs w:val="21"/>
              </w:rPr>
              <w:t>（3.1）《永州市“十四五”生态环境保护规划》《祁阳市突发环境事件应急预案》；</w:t>
            </w:r>
          </w:p>
          <w:p w14:paraId="6372942E">
            <w:pPr>
              <w:adjustRightInd w:val="0"/>
              <w:snapToGrid w:val="0"/>
              <w:rPr>
                <w:rFonts w:ascii="Times New Roman" w:hAnsi="Times New Roman" w:eastAsia="仿宋" w:cs="Times New Roman"/>
                <w:szCs w:val="21"/>
              </w:rPr>
            </w:pPr>
            <w:r>
              <w:rPr>
                <w:rFonts w:ascii="Times New Roman" w:hAnsi="Times New Roman" w:eastAsia="仿宋" w:cs="Times New Roman"/>
                <w:szCs w:val="21"/>
              </w:rPr>
              <w:t>（4.1）《永州市祁阳市“十四五”生态环境保护规划》；</w:t>
            </w:r>
          </w:p>
          <w:p w14:paraId="29377EDD">
            <w:pPr>
              <w:adjustRightInd w:val="0"/>
              <w:snapToGrid w:val="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43AEE046">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5C293FD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tc>
      </w:tr>
      <w:tr w14:paraId="25BF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1134" w:type="dxa"/>
            <w:vAlign w:val="center"/>
          </w:tcPr>
          <w:p w14:paraId="70AEC5E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223" w:type="dxa"/>
            <w:gridSpan w:val="9"/>
            <w:vAlign w:val="center"/>
          </w:tcPr>
          <w:p w14:paraId="45055B74">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（2.1）全域禁止露天焚烧秸秆。城区建成区规模以上的餐饮服务单位全部安装高效油烟净化设施。严格控制烟花爆竹燃放，城区全面禁止燃放烟花爆竹。</w:t>
            </w:r>
          </w:p>
          <w:p w14:paraId="06CD2092">
            <w:pPr>
              <w:widowControl/>
              <w:ind w:firstLine="420" w:firstLineChars="200"/>
              <w:rPr>
                <w:rFonts w:ascii="Times New Roman" w:hAnsi="Times New Roman" w:eastAsia="仿宋" w:cs="Times New Roman"/>
                <w:strike/>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836" w:type="dxa"/>
            <w:gridSpan w:val="2"/>
            <w:vMerge w:val="continue"/>
            <w:vAlign w:val="center"/>
          </w:tcPr>
          <w:p w14:paraId="5BA8BEAC">
            <w:pPr>
              <w:widowControl/>
              <w:jc w:val="left"/>
              <w:rPr>
                <w:rFonts w:ascii="Times New Roman" w:hAnsi="Times New Roman" w:eastAsia="仿宋" w:cs="Times New Roman"/>
                <w:szCs w:val="21"/>
              </w:rPr>
            </w:pPr>
          </w:p>
        </w:tc>
      </w:tr>
      <w:tr w14:paraId="473D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B5D4CC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223" w:type="dxa"/>
            <w:gridSpan w:val="9"/>
            <w:vAlign w:val="center"/>
          </w:tcPr>
          <w:p w14:paraId="255B435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836" w:type="dxa"/>
            <w:gridSpan w:val="2"/>
            <w:vMerge w:val="continue"/>
            <w:vAlign w:val="center"/>
          </w:tcPr>
          <w:p w14:paraId="4B2545B7">
            <w:pPr>
              <w:widowControl/>
              <w:jc w:val="left"/>
              <w:rPr>
                <w:rFonts w:ascii="Times New Roman" w:hAnsi="Times New Roman" w:eastAsia="仿宋" w:cs="Times New Roman"/>
                <w:szCs w:val="21"/>
              </w:rPr>
            </w:pPr>
          </w:p>
        </w:tc>
      </w:tr>
      <w:tr w14:paraId="0950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0F3C6F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223" w:type="dxa"/>
            <w:gridSpan w:val="9"/>
            <w:vAlign w:val="center"/>
          </w:tcPr>
          <w:p w14:paraId="176D718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2AB4B30">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10B6664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09D66D1B">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0A66C998">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658F58B6">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0A7971B5">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tc>
        <w:tc>
          <w:tcPr>
            <w:tcW w:w="4836" w:type="dxa"/>
            <w:gridSpan w:val="2"/>
            <w:vMerge w:val="continue"/>
            <w:vAlign w:val="center"/>
          </w:tcPr>
          <w:p w14:paraId="5CAC9CBC">
            <w:pPr>
              <w:widowControl/>
              <w:jc w:val="left"/>
              <w:rPr>
                <w:rFonts w:ascii="Times New Roman" w:hAnsi="Times New Roman" w:eastAsia="仿宋" w:cs="Times New Roman"/>
                <w:szCs w:val="21"/>
              </w:rPr>
            </w:pPr>
          </w:p>
        </w:tc>
      </w:tr>
    </w:tbl>
    <w:p w14:paraId="42073642">
      <w:pPr>
        <w:rPr>
          <w:rFonts w:ascii="Times New Roman" w:hAnsi="Times New Roman" w:eastAsia="仿宋" w:cs="Times New Roman"/>
          <w:szCs w:val="21"/>
        </w:rPr>
      </w:pPr>
    </w:p>
    <w:p w14:paraId="7D5E732E">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567"/>
        <w:gridCol w:w="426"/>
        <w:gridCol w:w="607"/>
        <w:gridCol w:w="810"/>
        <w:gridCol w:w="1134"/>
        <w:gridCol w:w="1237"/>
        <w:gridCol w:w="1568"/>
        <w:gridCol w:w="910"/>
        <w:gridCol w:w="2806"/>
        <w:gridCol w:w="1865"/>
      </w:tblGrid>
      <w:tr w14:paraId="399F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7260A6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29" w:type="dxa"/>
            <w:vMerge w:val="restart"/>
            <w:vAlign w:val="center"/>
          </w:tcPr>
          <w:p w14:paraId="6B9D718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00" w:type="dxa"/>
            <w:gridSpan w:val="3"/>
            <w:vAlign w:val="center"/>
          </w:tcPr>
          <w:p w14:paraId="59E91FA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10" w:type="dxa"/>
            <w:vMerge w:val="restart"/>
            <w:vAlign w:val="center"/>
          </w:tcPr>
          <w:p w14:paraId="2D2A9C3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1883DA6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37" w:type="dxa"/>
            <w:vMerge w:val="restart"/>
            <w:vAlign w:val="center"/>
          </w:tcPr>
          <w:p w14:paraId="1F425A6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68" w:type="dxa"/>
            <w:vMerge w:val="restart"/>
            <w:vAlign w:val="center"/>
          </w:tcPr>
          <w:p w14:paraId="15909E1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716" w:type="dxa"/>
            <w:gridSpan w:val="2"/>
            <w:vMerge w:val="restart"/>
            <w:vAlign w:val="center"/>
          </w:tcPr>
          <w:p w14:paraId="38B4D98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865" w:type="dxa"/>
            <w:vMerge w:val="restart"/>
            <w:vAlign w:val="center"/>
          </w:tcPr>
          <w:p w14:paraId="731E05D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15D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C943FDB">
            <w:pPr>
              <w:widowControl/>
              <w:jc w:val="left"/>
              <w:rPr>
                <w:rFonts w:ascii="Times New Roman" w:hAnsi="Times New Roman" w:eastAsia="仿宋" w:cs="Times New Roman"/>
                <w:b/>
                <w:kern w:val="0"/>
                <w:szCs w:val="21"/>
              </w:rPr>
            </w:pPr>
          </w:p>
        </w:tc>
        <w:tc>
          <w:tcPr>
            <w:tcW w:w="1129" w:type="dxa"/>
            <w:vMerge w:val="continue"/>
            <w:vAlign w:val="center"/>
          </w:tcPr>
          <w:p w14:paraId="0A52DE47">
            <w:pPr>
              <w:widowControl/>
              <w:jc w:val="left"/>
              <w:rPr>
                <w:rFonts w:ascii="Times New Roman" w:hAnsi="Times New Roman" w:eastAsia="仿宋" w:cs="Times New Roman"/>
                <w:b/>
                <w:kern w:val="0"/>
                <w:szCs w:val="21"/>
              </w:rPr>
            </w:pPr>
          </w:p>
        </w:tc>
        <w:tc>
          <w:tcPr>
            <w:tcW w:w="567" w:type="dxa"/>
            <w:vAlign w:val="center"/>
          </w:tcPr>
          <w:p w14:paraId="7732C89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40A2292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07" w:type="dxa"/>
            <w:vAlign w:val="center"/>
          </w:tcPr>
          <w:p w14:paraId="39EC758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10" w:type="dxa"/>
            <w:vMerge w:val="continue"/>
            <w:vAlign w:val="center"/>
          </w:tcPr>
          <w:p w14:paraId="1C33E7E9">
            <w:pPr>
              <w:widowControl/>
              <w:jc w:val="left"/>
              <w:rPr>
                <w:rFonts w:ascii="Times New Roman" w:hAnsi="Times New Roman" w:eastAsia="仿宋" w:cs="Times New Roman"/>
                <w:b/>
                <w:kern w:val="0"/>
                <w:szCs w:val="21"/>
              </w:rPr>
            </w:pPr>
          </w:p>
        </w:tc>
        <w:tc>
          <w:tcPr>
            <w:tcW w:w="1134" w:type="dxa"/>
            <w:vMerge w:val="continue"/>
            <w:vAlign w:val="center"/>
          </w:tcPr>
          <w:p w14:paraId="5889DFE3">
            <w:pPr>
              <w:widowControl/>
              <w:jc w:val="left"/>
              <w:rPr>
                <w:rFonts w:ascii="Times New Roman" w:hAnsi="Times New Roman" w:eastAsia="仿宋" w:cs="Times New Roman"/>
                <w:b/>
                <w:kern w:val="0"/>
                <w:szCs w:val="21"/>
              </w:rPr>
            </w:pPr>
          </w:p>
        </w:tc>
        <w:tc>
          <w:tcPr>
            <w:tcW w:w="1237" w:type="dxa"/>
            <w:vMerge w:val="continue"/>
            <w:vAlign w:val="center"/>
          </w:tcPr>
          <w:p w14:paraId="31405A85">
            <w:pPr>
              <w:widowControl/>
              <w:jc w:val="left"/>
              <w:rPr>
                <w:rFonts w:ascii="Times New Roman" w:hAnsi="Times New Roman" w:eastAsia="仿宋" w:cs="Times New Roman"/>
                <w:b/>
                <w:kern w:val="0"/>
                <w:szCs w:val="21"/>
              </w:rPr>
            </w:pPr>
          </w:p>
        </w:tc>
        <w:tc>
          <w:tcPr>
            <w:tcW w:w="1568" w:type="dxa"/>
            <w:vMerge w:val="continue"/>
            <w:vAlign w:val="center"/>
          </w:tcPr>
          <w:p w14:paraId="061972E5">
            <w:pPr>
              <w:widowControl/>
              <w:jc w:val="left"/>
              <w:rPr>
                <w:rFonts w:ascii="Times New Roman" w:hAnsi="Times New Roman" w:eastAsia="仿宋" w:cs="Times New Roman"/>
                <w:b/>
                <w:kern w:val="0"/>
                <w:szCs w:val="21"/>
              </w:rPr>
            </w:pPr>
          </w:p>
        </w:tc>
        <w:tc>
          <w:tcPr>
            <w:tcW w:w="3716" w:type="dxa"/>
            <w:gridSpan w:val="2"/>
            <w:vMerge w:val="continue"/>
            <w:vAlign w:val="center"/>
          </w:tcPr>
          <w:p w14:paraId="18FDD834">
            <w:pPr>
              <w:widowControl/>
              <w:jc w:val="left"/>
              <w:rPr>
                <w:rFonts w:ascii="Times New Roman" w:hAnsi="Times New Roman" w:eastAsia="仿宋" w:cs="Times New Roman"/>
                <w:b/>
                <w:kern w:val="0"/>
                <w:szCs w:val="21"/>
              </w:rPr>
            </w:pPr>
          </w:p>
        </w:tc>
        <w:tc>
          <w:tcPr>
            <w:tcW w:w="1865" w:type="dxa"/>
            <w:vMerge w:val="continue"/>
            <w:vAlign w:val="center"/>
          </w:tcPr>
          <w:p w14:paraId="4194D800">
            <w:pPr>
              <w:widowControl/>
              <w:jc w:val="left"/>
              <w:rPr>
                <w:rFonts w:ascii="Times New Roman" w:hAnsi="Times New Roman" w:eastAsia="仿宋" w:cs="Times New Roman"/>
                <w:b/>
                <w:kern w:val="0"/>
                <w:szCs w:val="21"/>
              </w:rPr>
            </w:pPr>
          </w:p>
        </w:tc>
      </w:tr>
      <w:tr w14:paraId="119B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B57FE4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ZH43112110002</w:t>
            </w:r>
          </w:p>
        </w:tc>
        <w:tc>
          <w:tcPr>
            <w:tcW w:w="1129" w:type="dxa"/>
            <w:vAlign w:val="center"/>
          </w:tcPr>
          <w:p w14:paraId="5938A7A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白水镇/观音滩镇/潘市镇/七里桥镇</w:t>
            </w:r>
          </w:p>
        </w:tc>
        <w:tc>
          <w:tcPr>
            <w:tcW w:w="567" w:type="dxa"/>
            <w:vAlign w:val="center"/>
          </w:tcPr>
          <w:p w14:paraId="26AF404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15505D18">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07" w:type="dxa"/>
            <w:vAlign w:val="center"/>
          </w:tcPr>
          <w:p w14:paraId="4BBF2C43">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810" w:type="dxa"/>
            <w:vAlign w:val="center"/>
          </w:tcPr>
          <w:p w14:paraId="1BF04E4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134" w:type="dxa"/>
            <w:shd w:val="clear" w:color="auto" w:fill="auto"/>
            <w:vAlign w:val="center"/>
          </w:tcPr>
          <w:p w14:paraId="0FC75342">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433.05</w:t>
            </w:r>
          </w:p>
        </w:tc>
        <w:tc>
          <w:tcPr>
            <w:tcW w:w="1237" w:type="dxa"/>
            <w:shd w:val="clear" w:color="auto" w:fill="auto"/>
            <w:vAlign w:val="center"/>
          </w:tcPr>
          <w:p w14:paraId="36B73B7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白水镇/观音滩镇/潘市镇/七里桥镇</w:t>
            </w:r>
          </w:p>
        </w:tc>
        <w:tc>
          <w:tcPr>
            <w:tcW w:w="1568" w:type="dxa"/>
            <w:vAlign w:val="center"/>
          </w:tcPr>
          <w:p w14:paraId="5AFAED15">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白水镇、观音滩镇、潘市镇、七里桥镇：</w:t>
            </w:r>
            <w:r>
              <w:rPr>
                <w:rFonts w:ascii="Times New Roman" w:hAnsi="Times New Roman" w:eastAsia="仿宋" w:cs="Times New Roman"/>
                <w:kern w:val="0"/>
                <w:szCs w:val="21"/>
              </w:rPr>
              <w:t>农产品主产区</w:t>
            </w:r>
          </w:p>
        </w:tc>
        <w:tc>
          <w:tcPr>
            <w:tcW w:w="3716" w:type="dxa"/>
            <w:gridSpan w:val="2"/>
            <w:vAlign w:val="center"/>
          </w:tcPr>
          <w:p w14:paraId="2FD271B7">
            <w:pPr>
              <w:pStyle w:val="8"/>
              <w:spacing w:after="0"/>
              <w:rPr>
                <w:rFonts w:eastAsia="仿宋"/>
                <w:sz w:val="21"/>
                <w:szCs w:val="21"/>
              </w:rPr>
            </w:pPr>
            <w:r>
              <w:rPr>
                <w:rFonts w:eastAsia="仿宋"/>
                <w:b/>
                <w:bCs/>
                <w:sz w:val="21"/>
                <w:szCs w:val="21"/>
              </w:rPr>
              <w:t>白水镇</w:t>
            </w:r>
            <w:r>
              <w:rPr>
                <w:rFonts w:eastAsia="仿宋"/>
                <w:sz w:val="21"/>
                <w:szCs w:val="21"/>
              </w:rPr>
              <w:t>：商贸物流、农业、农林产品加工。</w:t>
            </w:r>
          </w:p>
          <w:p w14:paraId="44971398">
            <w:pPr>
              <w:pStyle w:val="8"/>
              <w:spacing w:after="0"/>
              <w:rPr>
                <w:rFonts w:eastAsia="仿宋"/>
                <w:sz w:val="21"/>
                <w:szCs w:val="21"/>
              </w:rPr>
            </w:pPr>
            <w:r>
              <w:rPr>
                <w:rFonts w:eastAsia="仿宋"/>
                <w:b/>
                <w:bCs/>
                <w:sz w:val="21"/>
                <w:szCs w:val="21"/>
              </w:rPr>
              <w:t>观音滩镇</w:t>
            </w:r>
            <w:r>
              <w:rPr>
                <w:rFonts w:eastAsia="仿宋"/>
                <w:sz w:val="21"/>
                <w:szCs w:val="21"/>
              </w:rPr>
              <w:t>：农业、农林产品加工、生态旅游。</w:t>
            </w:r>
          </w:p>
          <w:p w14:paraId="320F5F5C">
            <w:pPr>
              <w:pStyle w:val="8"/>
              <w:spacing w:after="0"/>
              <w:rPr>
                <w:rFonts w:eastAsia="仿宋"/>
                <w:sz w:val="21"/>
                <w:szCs w:val="21"/>
              </w:rPr>
            </w:pPr>
            <w:r>
              <w:rPr>
                <w:rFonts w:eastAsia="仿宋"/>
                <w:b/>
                <w:bCs/>
                <w:sz w:val="21"/>
                <w:szCs w:val="21"/>
              </w:rPr>
              <w:t>潘市镇</w:t>
            </w:r>
            <w:r>
              <w:rPr>
                <w:rFonts w:eastAsia="仿宋"/>
                <w:sz w:val="21"/>
                <w:szCs w:val="21"/>
              </w:rPr>
              <w:t>：商贸、旅游业。</w:t>
            </w:r>
          </w:p>
          <w:p w14:paraId="0B015786">
            <w:pPr>
              <w:pStyle w:val="8"/>
              <w:spacing w:after="0"/>
              <w:rPr>
                <w:rFonts w:eastAsia="仿宋"/>
                <w:sz w:val="21"/>
                <w:szCs w:val="21"/>
              </w:rPr>
            </w:pPr>
            <w:r>
              <w:rPr>
                <w:rFonts w:eastAsia="仿宋"/>
                <w:b/>
                <w:bCs/>
                <w:sz w:val="21"/>
                <w:szCs w:val="21"/>
              </w:rPr>
              <w:t>七里桥镇</w:t>
            </w:r>
            <w:r>
              <w:rPr>
                <w:rFonts w:eastAsia="仿宋"/>
                <w:sz w:val="21"/>
                <w:szCs w:val="21"/>
              </w:rPr>
              <w:t>：农业、旅游业。</w:t>
            </w:r>
          </w:p>
        </w:tc>
        <w:tc>
          <w:tcPr>
            <w:tcW w:w="1865" w:type="dxa"/>
            <w:vAlign w:val="center"/>
          </w:tcPr>
          <w:p w14:paraId="3F40300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643A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7" w:hRule="atLeast"/>
          <w:jc w:val="center"/>
        </w:trPr>
        <w:tc>
          <w:tcPr>
            <w:tcW w:w="1134" w:type="dxa"/>
            <w:vAlign w:val="center"/>
          </w:tcPr>
          <w:p w14:paraId="0260719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6AD7E9A9">
            <w:pPr>
              <w:widowControl/>
              <w:rPr>
                <w:rFonts w:ascii="Times New Roman" w:hAnsi="Times New Roman" w:eastAsia="仿宋" w:cs="Times New Roman"/>
                <w:kern w:val="0"/>
                <w:szCs w:val="21"/>
              </w:rPr>
            </w:pPr>
            <w:r>
              <w:rPr>
                <w:rFonts w:ascii="Times New Roman" w:hAnsi="Times New Roman" w:eastAsia="仿宋" w:cs="Times New Roman"/>
                <w:b/>
                <w:kern w:val="0"/>
                <w:szCs w:val="21"/>
              </w:rPr>
              <w:t>白水镇</w:t>
            </w:r>
            <w:r>
              <w:rPr>
                <w:rFonts w:ascii="Times New Roman" w:hAnsi="Times New Roman" w:eastAsia="仿宋" w:cs="Times New Roman"/>
                <w:kern w:val="0"/>
                <w:szCs w:val="21"/>
              </w:rPr>
              <w:t>：</w:t>
            </w:r>
          </w:p>
          <w:p w14:paraId="7E1AAC7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湿地公园/水源涵养重要区/原生态红线/水土流失敏感区/生物多样性保护功能重要区）；水环境一般管控区/水环境工业污染重点管控区/水环境优先保护区；大气环境优先保护区/大气环境高排放重点管控区/大气环境受体敏感重点管控区/大气环境弱扩散重点管控区；农用地优先保护区/建设用地重点管控区/其他重点管控区/一般管控区；高污染燃料禁燃区</w:t>
            </w:r>
          </w:p>
          <w:p w14:paraId="4F9EC82D">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观音滩镇：</w:t>
            </w:r>
          </w:p>
          <w:p w14:paraId="7CDB4EE7">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红线/一般生态空间（水源涵养重要区/三区三线生态红线/湿地公园/原生态红线/水土流失敏感区）；水环境优先保护区/水环境工业污染重点管控区/ 水环境一般管控区；大气环境优先保护区/大气环境高排放重点管控区/大气环境受体敏感重点管控区/大气环境布局敏感重点管控区/大气环境弱扩散重点管控区；农用地优先保护区/农用地重点管控区/建设用地重点管控区/一般管控区；高污染燃料禁燃区</w:t>
            </w:r>
          </w:p>
          <w:p w14:paraId="65CC6BB6">
            <w:pPr>
              <w:widowControl/>
              <w:rPr>
                <w:rFonts w:ascii="Times New Roman" w:hAnsi="Times New Roman" w:eastAsia="仿宋" w:cs="Times New Roman"/>
                <w:szCs w:val="21"/>
              </w:rPr>
            </w:pPr>
            <w:r>
              <w:rPr>
                <w:rFonts w:ascii="Times New Roman" w:hAnsi="Times New Roman" w:eastAsia="仿宋" w:cs="Times New Roman"/>
                <w:b/>
                <w:kern w:val="0"/>
                <w:szCs w:val="21"/>
              </w:rPr>
              <w:t>潘市镇</w:t>
            </w:r>
            <w:r>
              <w:rPr>
                <w:rFonts w:ascii="Times New Roman" w:hAnsi="Times New Roman" w:eastAsia="仿宋" w:cs="Times New Roman"/>
                <w:szCs w:val="21"/>
              </w:rPr>
              <w:t>：</w:t>
            </w:r>
            <w:r>
              <w:rPr>
                <w:rFonts w:ascii="Times New Roman" w:hAnsi="Times New Roman" w:eastAsia="仿宋" w:cs="Times New Roman"/>
                <w:kern w:val="0"/>
                <w:szCs w:val="21"/>
              </w:rPr>
              <w:t>红线/一般生态空间（三区三线生态红线/水源涵养重要区/森林公园/风景名胜区/湿地公园/原生态红线/生物多样性保护功能重要区/水土流失敏感区/石漠化敏感区）；水环境优先保护区；大气环境优先保护区/大气环境受体敏感重点管控区/大气环境弱扩散重点管控区；农用地优先保护区/其他重点管控区/一般管控区</w:t>
            </w:r>
          </w:p>
          <w:p w14:paraId="3ECC7481">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七里桥镇：</w:t>
            </w:r>
          </w:p>
          <w:p w14:paraId="5531F78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森林公园/自然保护区/水源涵养重要区/三区三线生态红线/湿地公园/生物多样性保护功能重要区/原生态红线/水土流失敏感区）；水环境一般管控区/水环境优先保护区；大气环境优先保护区/大气环境受体敏感重点管控区/大气环境布局敏感重点管控区/大气环境弱扩散重点管控区；农用地优先保护区/一般管控区</w:t>
            </w:r>
          </w:p>
        </w:tc>
      </w:tr>
      <w:tr w14:paraId="4CA2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C211C22">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88" w:type="dxa"/>
            <w:gridSpan w:val="9"/>
            <w:vAlign w:val="center"/>
          </w:tcPr>
          <w:p w14:paraId="37926505">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671" w:type="dxa"/>
            <w:gridSpan w:val="2"/>
            <w:vAlign w:val="center"/>
          </w:tcPr>
          <w:p w14:paraId="610B7DD3">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DF9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AFC717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88" w:type="dxa"/>
            <w:gridSpan w:val="9"/>
            <w:vAlign w:val="center"/>
          </w:tcPr>
          <w:p w14:paraId="6290F2D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（1.1）畜禽养殖产业布局应符合《祁阳县畜禽养殖布局规划》（2020-2024年）的要求。</w:t>
            </w:r>
          </w:p>
          <w:p w14:paraId="4FAE12CD">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（1.2）湖南祁阳浯溪国家湿地公园：执行《湖南祁阳浯溪国家湿地公园保护管理办法》相关规定。</w:t>
            </w:r>
          </w:p>
          <w:p w14:paraId="7A85CBA1">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（1.3）开展沿江化工污染整治，落实湘江干流（祁阳段）及主要支流岸线1公里范围内不准新建、扩建化工园区和化工项目要求，依法淘汰取缔违法违规工业园区。</w:t>
            </w:r>
          </w:p>
          <w:p w14:paraId="2F3CD21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（1.4）生态保护红线内自然保护区、风景名胜区、饮用水水源保护区等区域依照法律法规执行。</w:t>
            </w:r>
          </w:p>
        </w:tc>
        <w:tc>
          <w:tcPr>
            <w:tcW w:w="4671" w:type="dxa"/>
            <w:gridSpan w:val="2"/>
            <w:vMerge w:val="restart"/>
            <w:vAlign w:val="center"/>
          </w:tcPr>
          <w:p w14:paraId="7F885D2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3CA12DB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（1.2）《湖南祁阳浯溪国家湿地公园保护管理办法》；</w:t>
            </w:r>
          </w:p>
          <w:p w14:paraId="69AF715A">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（2.1）《祁阳县污染防治攻坚战三年行动计划（2018-2020年）》；</w:t>
            </w:r>
          </w:p>
          <w:p w14:paraId="02E96EE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（1.3）《永州市祁阳市“十四五”生态环境保护规划》；</w:t>
            </w:r>
          </w:p>
          <w:p w14:paraId="19BFC261">
            <w:pPr>
              <w:widowControl/>
              <w:rPr>
                <w:rFonts w:ascii="Times New Roman" w:hAnsi="Times New Roman" w:eastAsia="仿宋" w:cs="Times New Roman"/>
                <w:szCs w:val="21"/>
              </w:rPr>
            </w:pPr>
            <w:r>
              <w:rPr>
                <w:rFonts w:ascii="Times New Roman" w:hAnsi="Times New Roman" w:eastAsia="仿宋" w:cs="Times New Roman"/>
                <w:szCs w:val="21"/>
              </w:rPr>
              <w:t>（1.4）《祁阳市国土空间总体规划（2021-2035年）》；</w:t>
            </w:r>
          </w:p>
          <w:p w14:paraId="5C8C17EE">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3637787F">
            <w:pPr>
              <w:widowControl/>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18EF0388">
            <w:pPr>
              <w:widowControl/>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《祁阳市突发环境事件应急预案》；</w:t>
            </w:r>
          </w:p>
          <w:p w14:paraId="2B5C3880">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56D7AF47">
            <w:pPr>
              <w:widowControl/>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108756C4">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48E4553A">
            <w:pPr>
              <w:rPr>
                <w:rFonts w:ascii="Times New Roman" w:hAnsi="Times New Roman" w:eastAsia="仿宋" w:cs="Times New Roman"/>
                <w:kern w:val="0"/>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p w14:paraId="19D8A2AD">
            <w:pPr>
              <w:rPr>
                <w:rFonts w:ascii="Times New Roman" w:hAnsi="Times New Roman" w:eastAsia="仿宋" w:cs="Times New Roman"/>
                <w:szCs w:val="21"/>
              </w:rPr>
            </w:pPr>
            <w:r>
              <w:rPr>
                <w:rFonts w:ascii="Times New Roman" w:hAnsi="Times New Roman" w:eastAsia="仿宋" w:cs="Times New Roman"/>
                <w:szCs w:val="21"/>
              </w:rPr>
              <w:t>（4.1）《祁阳县人民政府关于调整高污染燃料禁燃区的通知》（祁政发〔2020〕23号）。</w:t>
            </w:r>
          </w:p>
        </w:tc>
      </w:tr>
      <w:tr w14:paraId="1153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D3894C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88" w:type="dxa"/>
            <w:gridSpan w:val="9"/>
            <w:vAlign w:val="center"/>
          </w:tcPr>
          <w:p w14:paraId="2D07402C">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6D68CCF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671" w:type="dxa"/>
            <w:gridSpan w:val="2"/>
            <w:vMerge w:val="continue"/>
            <w:vAlign w:val="center"/>
          </w:tcPr>
          <w:p w14:paraId="2597A80D">
            <w:pPr>
              <w:widowControl/>
              <w:jc w:val="left"/>
              <w:rPr>
                <w:rFonts w:ascii="Times New Roman" w:hAnsi="Times New Roman" w:eastAsia="仿宋" w:cs="Times New Roman"/>
                <w:szCs w:val="21"/>
              </w:rPr>
            </w:pPr>
          </w:p>
        </w:tc>
      </w:tr>
      <w:tr w14:paraId="5181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10242E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88" w:type="dxa"/>
            <w:gridSpan w:val="9"/>
            <w:vAlign w:val="center"/>
          </w:tcPr>
          <w:p w14:paraId="0235A8A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671" w:type="dxa"/>
            <w:gridSpan w:val="2"/>
            <w:vMerge w:val="continue"/>
            <w:vAlign w:val="center"/>
          </w:tcPr>
          <w:p w14:paraId="123EC2AD">
            <w:pPr>
              <w:widowControl/>
              <w:jc w:val="left"/>
              <w:rPr>
                <w:rFonts w:ascii="Times New Roman" w:hAnsi="Times New Roman" w:eastAsia="仿宋" w:cs="Times New Roman"/>
                <w:szCs w:val="21"/>
              </w:rPr>
            </w:pPr>
          </w:p>
        </w:tc>
      </w:tr>
      <w:tr w14:paraId="4A05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9E97D7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88" w:type="dxa"/>
            <w:gridSpan w:val="9"/>
            <w:vAlign w:val="center"/>
          </w:tcPr>
          <w:p w14:paraId="52B5AAC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710F6385">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295EC4A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0B0D4723">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5391F28F">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41688048">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56FDA431">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2ED1D867">
            <w:pPr>
              <w:ind w:firstLine="422" w:firstLineChars="200"/>
              <w:rPr>
                <w:rFonts w:ascii="Times New Roman" w:hAnsi="Times New Roman" w:eastAsia="仿宋" w:cs="Times New Roman"/>
                <w:szCs w:val="21"/>
              </w:rPr>
            </w:pPr>
            <w:r>
              <w:rPr>
                <w:rFonts w:ascii="Times New Roman" w:hAnsi="Times New Roman" w:eastAsia="仿宋" w:cs="Times New Roman"/>
                <w:b/>
                <w:bCs/>
                <w:szCs w:val="21"/>
              </w:rPr>
              <w:t>（4.4）白水镇、观音滩镇、七里桥镇：</w:t>
            </w:r>
            <w:r>
              <w:rPr>
                <w:rFonts w:ascii="Times New Roman" w:hAnsi="Times New Roman" w:eastAsia="仿宋" w:cs="Times New Roman"/>
                <w:szCs w:val="21"/>
              </w:rPr>
              <w:t>高污染燃料严格执行《祁阳县人民政府关于调整高污染燃料禁燃区的通知》（祁政发〔2020〕23号）的有关规定。</w:t>
            </w:r>
          </w:p>
        </w:tc>
        <w:tc>
          <w:tcPr>
            <w:tcW w:w="4671" w:type="dxa"/>
            <w:gridSpan w:val="2"/>
            <w:vMerge w:val="continue"/>
            <w:vAlign w:val="center"/>
          </w:tcPr>
          <w:p w14:paraId="772FB0E5">
            <w:pPr>
              <w:widowControl/>
              <w:jc w:val="left"/>
              <w:rPr>
                <w:rFonts w:ascii="Times New Roman" w:hAnsi="Times New Roman" w:eastAsia="仿宋" w:cs="Times New Roman"/>
                <w:szCs w:val="21"/>
              </w:rPr>
            </w:pPr>
          </w:p>
        </w:tc>
      </w:tr>
    </w:tbl>
    <w:p w14:paraId="1B930C9D">
      <w:pPr>
        <w:widowControl/>
        <w:jc w:val="left"/>
        <w:rPr>
          <w:rFonts w:ascii="Times New Roman" w:hAnsi="Times New Roman" w:eastAsia="仿宋" w:cs="Times New Roman"/>
          <w:szCs w:val="21"/>
        </w:rPr>
      </w:pPr>
    </w:p>
    <w:p w14:paraId="14D7D8EE">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33"/>
        <w:gridCol w:w="427"/>
        <w:gridCol w:w="367"/>
        <w:gridCol w:w="1028"/>
        <w:gridCol w:w="1066"/>
        <w:gridCol w:w="1214"/>
        <w:gridCol w:w="1936"/>
        <w:gridCol w:w="1560"/>
        <w:gridCol w:w="1257"/>
        <w:gridCol w:w="302"/>
        <w:gridCol w:w="2574"/>
      </w:tblGrid>
      <w:tr w14:paraId="3B9C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733D692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333" w:type="dxa"/>
            <w:vMerge w:val="restart"/>
            <w:vAlign w:val="center"/>
          </w:tcPr>
          <w:p w14:paraId="6935046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22" w:type="dxa"/>
            <w:gridSpan w:val="3"/>
            <w:vAlign w:val="center"/>
          </w:tcPr>
          <w:p w14:paraId="54A1D25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066" w:type="dxa"/>
            <w:vMerge w:val="restart"/>
            <w:vAlign w:val="center"/>
          </w:tcPr>
          <w:p w14:paraId="74CF3B4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14" w:type="dxa"/>
            <w:vMerge w:val="restart"/>
            <w:vAlign w:val="center"/>
          </w:tcPr>
          <w:p w14:paraId="36886FE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936" w:type="dxa"/>
            <w:vMerge w:val="restart"/>
            <w:vAlign w:val="center"/>
          </w:tcPr>
          <w:p w14:paraId="718F04C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60" w:type="dxa"/>
            <w:vMerge w:val="restart"/>
            <w:vAlign w:val="center"/>
          </w:tcPr>
          <w:p w14:paraId="276DF25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559" w:type="dxa"/>
            <w:gridSpan w:val="2"/>
            <w:vMerge w:val="restart"/>
            <w:vAlign w:val="center"/>
          </w:tcPr>
          <w:p w14:paraId="7B6532D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574" w:type="dxa"/>
            <w:vMerge w:val="restart"/>
            <w:vAlign w:val="center"/>
          </w:tcPr>
          <w:p w14:paraId="03E70FF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76EF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173D0136">
            <w:pPr>
              <w:widowControl/>
              <w:jc w:val="left"/>
              <w:rPr>
                <w:rFonts w:ascii="Times New Roman" w:hAnsi="Times New Roman" w:eastAsia="仿宋" w:cs="Times New Roman"/>
                <w:b/>
                <w:kern w:val="0"/>
                <w:szCs w:val="21"/>
              </w:rPr>
            </w:pPr>
          </w:p>
        </w:tc>
        <w:tc>
          <w:tcPr>
            <w:tcW w:w="1333" w:type="dxa"/>
            <w:vMerge w:val="continue"/>
            <w:vAlign w:val="center"/>
          </w:tcPr>
          <w:p w14:paraId="0A82360E">
            <w:pPr>
              <w:widowControl/>
              <w:jc w:val="left"/>
              <w:rPr>
                <w:rFonts w:ascii="Times New Roman" w:hAnsi="Times New Roman" w:eastAsia="仿宋" w:cs="Times New Roman"/>
                <w:b/>
                <w:kern w:val="0"/>
                <w:szCs w:val="21"/>
              </w:rPr>
            </w:pPr>
          </w:p>
        </w:tc>
        <w:tc>
          <w:tcPr>
            <w:tcW w:w="427" w:type="dxa"/>
            <w:vAlign w:val="center"/>
          </w:tcPr>
          <w:p w14:paraId="6A5CB487">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367" w:type="dxa"/>
            <w:vAlign w:val="center"/>
          </w:tcPr>
          <w:p w14:paraId="32ECECD0">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1028" w:type="dxa"/>
            <w:vAlign w:val="center"/>
          </w:tcPr>
          <w:p w14:paraId="5B394E69">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066" w:type="dxa"/>
            <w:vMerge w:val="continue"/>
            <w:vAlign w:val="center"/>
          </w:tcPr>
          <w:p w14:paraId="4E1D8A26">
            <w:pPr>
              <w:widowControl/>
              <w:jc w:val="left"/>
              <w:rPr>
                <w:rFonts w:ascii="Times New Roman" w:hAnsi="Times New Roman" w:eastAsia="仿宋" w:cs="Times New Roman"/>
                <w:b/>
                <w:kern w:val="0"/>
                <w:szCs w:val="21"/>
              </w:rPr>
            </w:pPr>
          </w:p>
        </w:tc>
        <w:tc>
          <w:tcPr>
            <w:tcW w:w="1214" w:type="dxa"/>
            <w:vMerge w:val="continue"/>
            <w:vAlign w:val="center"/>
          </w:tcPr>
          <w:p w14:paraId="592CDF4D">
            <w:pPr>
              <w:widowControl/>
              <w:jc w:val="left"/>
              <w:rPr>
                <w:rFonts w:ascii="Times New Roman" w:hAnsi="Times New Roman" w:eastAsia="仿宋" w:cs="Times New Roman"/>
                <w:b/>
                <w:kern w:val="0"/>
                <w:szCs w:val="21"/>
              </w:rPr>
            </w:pPr>
          </w:p>
        </w:tc>
        <w:tc>
          <w:tcPr>
            <w:tcW w:w="1936" w:type="dxa"/>
            <w:vMerge w:val="continue"/>
            <w:vAlign w:val="center"/>
          </w:tcPr>
          <w:p w14:paraId="46EA305D">
            <w:pPr>
              <w:widowControl/>
              <w:jc w:val="left"/>
              <w:rPr>
                <w:rFonts w:ascii="Times New Roman" w:hAnsi="Times New Roman" w:eastAsia="仿宋" w:cs="Times New Roman"/>
                <w:b/>
                <w:kern w:val="0"/>
                <w:szCs w:val="21"/>
              </w:rPr>
            </w:pPr>
          </w:p>
        </w:tc>
        <w:tc>
          <w:tcPr>
            <w:tcW w:w="1560" w:type="dxa"/>
            <w:vMerge w:val="continue"/>
            <w:vAlign w:val="center"/>
          </w:tcPr>
          <w:p w14:paraId="290F8D24">
            <w:pPr>
              <w:widowControl/>
              <w:jc w:val="left"/>
              <w:rPr>
                <w:rFonts w:ascii="Times New Roman" w:hAnsi="Times New Roman" w:eastAsia="仿宋" w:cs="Times New Roman"/>
                <w:b/>
                <w:kern w:val="0"/>
                <w:szCs w:val="21"/>
              </w:rPr>
            </w:pPr>
          </w:p>
        </w:tc>
        <w:tc>
          <w:tcPr>
            <w:tcW w:w="1559" w:type="dxa"/>
            <w:gridSpan w:val="2"/>
            <w:vMerge w:val="continue"/>
            <w:vAlign w:val="center"/>
          </w:tcPr>
          <w:p w14:paraId="12E4AFA6">
            <w:pPr>
              <w:widowControl/>
              <w:jc w:val="left"/>
              <w:rPr>
                <w:rFonts w:ascii="Times New Roman" w:hAnsi="Times New Roman" w:eastAsia="仿宋" w:cs="Times New Roman"/>
                <w:b/>
                <w:kern w:val="0"/>
                <w:szCs w:val="21"/>
              </w:rPr>
            </w:pPr>
          </w:p>
        </w:tc>
        <w:tc>
          <w:tcPr>
            <w:tcW w:w="2574" w:type="dxa"/>
            <w:vMerge w:val="continue"/>
            <w:vAlign w:val="center"/>
          </w:tcPr>
          <w:p w14:paraId="1D863BF8">
            <w:pPr>
              <w:widowControl/>
              <w:jc w:val="left"/>
              <w:rPr>
                <w:rFonts w:ascii="Times New Roman" w:hAnsi="Times New Roman" w:eastAsia="仿宋" w:cs="Times New Roman"/>
                <w:b/>
                <w:kern w:val="0"/>
                <w:szCs w:val="21"/>
              </w:rPr>
            </w:pPr>
          </w:p>
        </w:tc>
      </w:tr>
      <w:tr w14:paraId="384C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29" w:type="dxa"/>
            <w:vAlign w:val="center"/>
          </w:tcPr>
          <w:p w14:paraId="0D3CB77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ZH43112110003</w:t>
            </w:r>
          </w:p>
        </w:tc>
        <w:tc>
          <w:tcPr>
            <w:tcW w:w="1333" w:type="dxa"/>
            <w:vAlign w:val="center"/>
          </w:tcPr>
          <w:p w14:paraId="7A695B7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凤凰乡/金洞镇/肖家镇</w:t>
            </w:r>
          </w:p>
        </w:tc>
        <w:tc>
          <w:tcPr>
            <w:tcW w:w="427" w:type="dxa"/>
            <w:vAlign w:val="center"/>
          </w:tcPr>
          <w:p w14:paraId="1816421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367" w:type="dxa"/>
            <w:vAlign w:val="center"/>
          </w:tcPr>
          <w:p w14:paraId="7B071479">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1028" w:type="dxa"/>
            <w:vAlign w:val="center"/>
          </w:tcPr>
          <w:p w14:paraId="280EE43B">
            <w:pPr>
              <w:widowControl/>
              <w:jc w:val="center"/>
              <w:rPr>
                <w:rFonts w:ascii="Times New Roman" w:hAnsi="Times New Roman" w:eastAsia="仿宋" w:cs="Times New Roman"/>
                <w:strike/>
                <w:szCs w:val="21"/>
              </w:rPr>
            </w:pPr>
            <w:r>
              <w:rPr>
                <w:rFonts w:ascii="Times New Roman" w:hAnsi="Times New Roman" w:eastAsia="仿宋" w:cs="Times New Roman"/>
                <w:szCs w:val="21"/>
              </w:rPr>
              <w:t>祁阳市</w:t>
            </w:r>
          </w:p>
        </w:tc>
        <w:tc>
          <w:tcPr>
            <w:tcW w:w="1066" w:type="dxa"/>
            <w:vAlign w:val="center"/>
          </w:tcPr>
          <w:p w14:paraId="6C181A1A">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优先保护单元</w:t>
            </w:r>
          </w:p>
        </w:tc>
        <w:tc>
          <w:tcPr>
            <w:tcW w:w="1214" w:type="dxa"/>
            <w:vAlign w:val="center"/>
          </w:tcPr>
          <w:p w14:paraId="64BF248E">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527.45</w:t>
            </w:r>
          </w:p>
        </w:tc>
        <w:tc>
          <w:tcPr>
            <w:tcW w:w="1936" w:type="dxa"/>
            <w:vAlign w:val="center"/>
          </w:tcPr>
          <w:p w14:paraId="6D06F488">
            <w:pPr>
              <w:widowControl/>
              <w:jc w:val="center"/>
              <w:rPr>
                <w:rFonts w:ascii="Times New Roman" w:hAnsi="Times New Roman" w:eastAsia="仿宋" w:cs="Times New Roman"/>
                <w:szCs w:val="21"/>
              </w:rPr>
            </w:pPr>
            <w:r>
              <w:rPr>
                <w:rFonts w:ascii="Times New Roman" w:hAnsi="Times New Roman" w:eastAsia="仿宋" w:cs="Times New Roman"/>
                <w:kern w:val="0"/>
                <w:szCs w:val="21"/>
              </w:rPr>
              <w:t>凤凰乡/金洞镇/肖家镇</w:t>
            </w:r>
          </w:p>
        </w:tc>
        <w:tc>
          <w:tcPr>
            <w:tcW w:w="1560" w:type="dxa"/>
            <w:vAlign w:val="center"/>
          </w:tcPr>
          <w:p w14:paraId="0073BA70">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凤凰乡：</w:t>
            </w:r>
            <w:r>
              <w:rPr>
                <w:rFonts w:ascii="Times New Roman" w:hAnsi="Times New Roman" w:eastAsia="仿宋" w:cs="Times New Roman"/>
                <w:kern w:val="0"/>
                <w:szCs w:val="21"/>
              </w:rPr>
              <w:t>农产品主产区；</w:t>
            </w:r>
            <w:r>
              <w:rPr>
                <w:rFonts w:ascii="Times New Roman" w:hAnsi="Times New Roman" w:eastAsia="仿宋" w:cs="Times New Roman"/>
                <w:b/>
                <w:bCs/>
                <w:kern w:val="0"/>
                <w:szCs w:val="21"/>
              </w:rPr>
              <w:t>金洞镇、肖家镇：</w:t>
            </w:r>
            <w:r>
              <w:rPr>
                <w:rFonts w:ascii="Times New Roman" w:hAnsi="Times New Roman" w:eastAsia="仿宋" w:cs="Times New Roman"/>
                <w:kern w:val="0"/>
                <w:szCs w:val="21"/>
              </w:rPr>
              <w:t>重点生态功能区</w:t>
            </w:r>
          </w:p>
        </w:tc>
        <w:tc>
          <w:tcPr>
            <w:tcW w:w="1559" w:type="dxa"/>
            <w:gridSpan w:val="2"/>
            <w:vAlign w:val="center"/>
          </w:tcPr>
          <w:p w14:paraId="04E6A7F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农业、旅游业、林业</w:t>
            </w:r>
          </w:p>
        </w:tc>
        <w:tc>
          <w:tcPr>
            <w:tcW w:w="2574" w:type="dxa"/>
            <w:vAlign w:val="center"/>
          </w:tcPr>
          <w:p w14:paraId="4AA2E08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7A90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E9EAF7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4" w:type="dxa"/>
            <w:gridSpan w:val="11"/>
            <w:vAlign w:val="center"/>
          </w:tcPr>
          <w:p w14:paraId="694A4DD6">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凤凰乡：</w:t>
            </w:r>
          </w:p>
          <w:p w14:paraId="0972413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水土保持功能重要区/森林公园/生物多样性保护功能重要区/水土流失敏感区/原生态红线/自然保护区）；水环境一般管控区；大气环境优先保护区；农用地优先保护区/其他重点管控区/一般管控区</w:t>
            </w:r>
            <w:r>
              <w:rPr>
                <w:rFonts w:ascii="Times New Roman" w:hAnsi="Times New Roman" w:eastAsia="仿宋" w:cs="Times New Roman"/>
                <w:b/>
                <w:bCs/>
                <w:kern w:val="0"/>
                <w:szCs w:val="21"/>
              </w:rPr>
              <w:t>金洞镇：</w:t>
            </w:r>
            <w:r>
              <w:rPr>
                <w:rFonts w:ascii="Times New Roman" w:hAnsi="Times New Roman" w:eastAsia="仿宋" w:cs="Times New Roman"/>
                <w:kern w:val="0"/>
                <w:szCs w:val="21"/>
              </w:rPr>
              <w:t>红线/一般生态空间（水源涵养重要区/三区三线生态红线/森林公园/湿地公园/水土保持功能重要区）；水环境一般管控区/水环境优先保护区；大气环境优先保护区/大气环境弱扩散重点管控区/大气环境受体敏感重点管控区；农用地优先保护区/建设用地重点管控区/一般管控区</w:t>
            </w:r>
          </w:p>
          <w:p w14:paraId="0D2B923B">
            <w:pPr>
              <w:widowControl/>
              <w:rPr>
                <w:rFonts w:ascii="Times New Roman" w:hAnsi="Times New Roman" w:eastAsia="仿宋" w:cs="Times New Roman"/>
                <w:b/>
                <w:bCs/>
                <w:szCs w:val="21"/>
              </w:rPr>
            </w:pPr>
            <w:r>
              <w:rPr>
                <w:rFonts w:ascii="Times New Roman" w:hAnsi="Times New Roman" w:eastAsia="仿宋" w:cs="Times New Roman"/>
                <w:b/>
                <w:bCs/>
                <w:szCs w:val="21"/>
              </w:rPr>
              <w:t>肖家镇：</w:t>
            </w:r>
          </w:p>
          <w:p w14:paraId="51DDC765">
            <w:pPr>
              <w:widowControl/>
              <w:rPr>
                <w:rFonts w:ascii="Times New Roman" w:hAnsi="Times New Roman" w:eastAsia="仿宋" w:cs="Times New Roman"/>
                <w:strike/>
                <w:kern w:val="0"/>
                <w:szCs w:val="21"/>
              </w:rPr>
            </w:pPr>
            <w:r>
              <w:rPr>
                <w:rFonts w:ascii="Times New Roman" w:hAnsi="Times New Roman" w:eastAsia="仿宋" w:cs="Times New Roman"/>
                <w:szCs w:val="21"/>
              </w:rPr>
              <w:t>红线/一般生态空间（三区三线生态红线/森林公园/水源涵养重要区/原生态红线/湿地公园/水土流失敏感区/自然保护区）；水环境优先保护区/水环境一般管控区；大气环境优先保护区/大气环境受体敏感重点管控区/大气环境弱扩散重点管控区；农用地优先保护区/建设用地重点管控区/一般管控区</w:t>
            </w:r>
          </w:p>
        </w:tc>
      </w:tr>
      <w:tr w14:paraId="7908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08E23AE">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10188" w:type="dxa"/>
            <w:gridSpan w:val="9"/>
            <w:vAlign w:val="center"/>
          </w:tcPr>
          <w:p w14:paraId="4F343FD1">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2876" w:type="dxa"/>
            <w:gridSpan w:val="2"/>
            <w:vAlign w:val="center"/>
          </w:tcPr>
          <w:p w14:paraId="6DD2DB53">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53D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1129" w:type="dxa"/>
            <w:vAlign w:val="center"/>
          </w:tcPr>
          <w:p w14:paraId="567F5EA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10188" w:type="dxa"/>
            <w:gridSpan w:val="9"/>
            <w:vAlign w:val="center"/>
          </w:tcPr>
          <w:p w14:paraId="56059023">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（1.1）</w:t>
            </w:r>
            <w:r>
              <w:rPr>
                <w:rFonts w:ascii="Times New Roman" w:hAnsi="Times New Roman" w:eastAsia="仿宋" w:cs="Times New Roman"/>
                <w:b/>
                <w:kern w:val="0"/>
                <w:szCs w:val="21"/>
              </w:rPr>
              <w:t>湖南金洞猛江河国家湿地公园</w:t>
            </w:r>
            <w:r>
              <w:rPr>
                <w:rFonts w:ascii="Times New Roman" w:hAnsi="Times New Roman" w:eastAsia="仿宋" w:cs="Times New Roman"/>
                <w:b/>
                <w:szCs w:val="21"/>
              </w:rPr>
              <w:t>：</w:t>
            </w:r>
          </w:p>
          <w:p w14:paraId="5AED22A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（1.1.1）保护保育区内不得建设任何生产经营性设施，宣教展示区内不得建设污染环境、破坏资源和景观的生产经营性设施。已退田还湖、退塘还湖的地域禁止新建居民点或者其他永久性建筑物、构筑物。</w:t>
            </w:r>
          </w:p>
          <w:p w14:paraId="2017370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（1.1.2）湿地公园内禁止砍伐、采药、修坟、生产性放牧、破坏泥炭层等改变地貌和破坏环境、景观的活动。公园管理机构划定的植被恢复区和栽培区内，禁止擅自放牧和种植。</w:t>
            </w:r>
          </w:p>
          <w:p w14:paraId="79AC7CF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（1.1.3）湿地公园内禁止猎捕野生动物（含鱼类资源）；禁止擅自在水面设置竹箔、网箱、拦网等障碍物，确需修建相关工程的，应当进行科学论证、评估，并征求相关部门的意见。</w:t>
            </w:r>
          </w:p>
          <w:p w14:paraId="217E4672">
            <w:pPr>
              <w:tabs>
                <w:tab w:val="left" w:pos="1021"/>
              </w:tabs>
              <w:ind w:firstLine="422" w:firstLineChars="200"/>
              <w:rPr>
                <w:rFonts w:ascii="Times New Roman" w:hAnsi="Times New Roman" w:eastAsia="仿宋" w:cs="Times New Roman"/>
                <w:szCs w:val="21"/>
              </w:rPr>
            </w:pPr>
            <w:r>
              <w:rPr>
                <w:rFonts w:ascii="Times New Roman" w:hAnsi="Times New Roman" w:eastAsia="仿宋" w:cs="Times New Roman"/>
                <w:b/>
                <w:szCs w:val="21"/>
              </w:rPr>
              <w:t>（1.2）</w:t>
            </w:r>
            <w:r>
              <w:rPr>
                <w:rFonts w:ascii="Times New Roman" w:hAnsi="Times New Roman" w:eastAsia="仿宋" w:cs="Times New Roman"/>
                <w:szCs w:val="21"/>
              </w:rPr>
              <w:t>畜禽养殖产业布局应符合《金洞管理区畜禽规模养殖“三区”划定方案》。</w:t>
            </w:r>
          </w:p>
        </w:tc>
        <w:tc>
          <w:tcPr>
            <w:tcW w:w="2876" w:type="dxa"/>
            <w:gridSpan w:val="2"/>
            <w:vMerge w:val="restart"/>
            <w:vAlign w:val="center"/>
          </w:tcPr>
          <w:p w14:paraId="7A1A4AE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（1.1）（2.1）《金洞管理区管委会办公室关于印发&lt;湖南金洞猛江河国家湿地公园保护管理细则&gt;和《&lt;湖南金洞国家森林公园管理办法&gt;的通知》（金管办发〔2016〕25号）；</w:t>
            </w:r>
          </w:p>
          <w:p w14:paraId="38CF6FC4">
            <w:pPr>
              <w:jc w:val="left"/>
              <w:rPr>
                <w:rFonts w:ascii="Times New Roman" w:hAnsi="Times New Roman" w:eastAsia="仿宋" w:cs="Times New Roman"/>
                <w:szCs w:val="21"/>
              </w:rPr>
            </w:pPr>
            <w:r>
              <w:rPr>
                <w:rFonts w:ascii="Times New Roman" w:hAnsi="Times New Roman" w:eastAsia="仿宋" w:cs="Times New Roman"/>
                <w:szCs w:val="21"/>
              </w:rPr>
              <w:t>（1.2）《金洞管理区管理委员会关于发布&lt;金洞管理区畜禽规模养殖“三区”划定方案&gt;的公告》（2020年2月）；</w:t>
            </w:r>
          </w:p>
          <w:p w14:paraId="3B4049AF">
            <w:pPr>
              <w:jc w:val="left"/>
              <w:rPr>
                <w:rFonts w:ascii="Times New Roman" w:hAnsi="Times New Roman" w:eastAsia="仿宋" w:cs="Times New Roman"/>
                <w:szCs w:val="21"/>
              </w:rPr>
            </w:pPr>
            <w:r>
              <w:rPr>
                <w:rFonts w:ascii="Times New Roman" w:hAnsi="Times New Roman" w:eastAsia="仿宋" w:cs="Times New Roman"/>
                <w:szCs w:val="21"/>
              </w:rPr>
              <w:t>（2.2）《金洞管理区2021年土壤污染防治工作方案》；</w:t>
            </w:r>
          </w:p>
          <w:p w14:paraId="41C1C8EC">
            <w:pPr>
              <w:jc w:val="left"/>
              <w:rPr>
                <w:rFonts w:ascii="Times New Roman" w:hAnsi="Times New Roman" w:eastAsia="仿宋" w:cs="Times New Roman"/>
                <w:szCs w:val="21"/>
              </w:rPr>
            </w:pPr>
            <w:r>
              <w:rPr>
                <w:rFonts w:ascii="Times New Roman" w:hAnsi="Times New Roman" w:eastAsia="仿宋" w:cs="Times New Roman"/>
                <w:szCs w:val="21"/>
              </w:rPr>
              <w:t>（2.3.1）（2.3.2）《金洞管理区大气污染防治“冬季攻势”行动方案》（金环委办函（2020）第13号）；</w:t>
            </w:r>
          </w:p>
          <w:p w14:paraId="479B1EB2">
            <w:pPr>
              <w:jc w:val="left"/>
              <w:rPr>
                <w:rFonts w:ascii="Times New Roman" w:hAnsi="Times New Roman" w:eastAsia="仿宋" w:cs="Times New Roman"/>
                <w:szCs w:val="21"/>
              </w:rPr>
            </w:pPr>
            <w:r>
              <w:rPr>
                <w:rFonts w:ascii="Times New Roman" w:hAnsi="Times New Roman" w:eastAsia="仿宋" w:cs="Times New Roman"/>
                <w:szCs w:val="21"/>
              </w:rPr>
              <w:t>（3.1）《金洞管理区2021年土壤污染防治工作方案》；</w:t>
            </w:r>
          </w:p>
          <w:p w14:paraId="0B5B93DE">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59957883">
            <w:pPr>
              <w:adjustRightInd w:val="0"/>
              <w:snapToGrid w:val="0"/>
              <w:rPr>
                <w:rFonts w:ascii="Times New Roman" w:hAnsi="Times New Roman" w:eastAsia="仿宋" w:cs="Times New Roman"/>
                <w:szCs w:val="21"/>
              </w:rPr>
            </w:pPr>
            <w:r>
              <w:rPr>
                <w:rFonts w:ascii="Times New Roman" w:hAnsi="Times New Roman" w:eastAsia="仿宋" w:cs="Times New Roman"/>
                <w:szCs w:val="21"/>
              </w:rPr>
              <w:t>（4.2）《关于调整永州市“十四五”用水总量和强度双控目标的通知》（永水发〔2024〕1号）。</w:t>
            </w:r>
          </w:p>
          <w:p w14:paraId="58E51157">
            <w:pPr>
              <w:jc w:val="left"/>
              <w:rPr>
                <w:rFonts w:ascii="Times New Roman" w:hAnsi="Times New Roman" w:eastAsia="仿宋" w:cs="Times New Roman"/>
                <w:szCs w:val="21"/>
              </w:rPr>
            </w:pPr>
          </w:p>
        </w:tc>
      </w:tr>
      <w:tr w14:paraId="738C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B541A7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10188" w:type="dxa"/>
            <w:gridSpan w:val="9"/>
            <w:vAlign w:val="center"/>
          </w:tcPr>
          <w:p w14:paraId="1882A382">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（2.1）</w:t>
            </w:r>
            <w:r>
              <w:rPr>
                <w:rFonts w:ascii="Times New Roman" w:hAnsi="Times New Roman" w:eastAsia="仿宋" w:cs="Times New Roman"/>
                <w:b/>
                <w:kern w:val="0"/>
                <w:szCs w:val="21"/>
              </w:rPr>
              <w:t>湖南金洞猛江河国家湿地公园：</w:t>
            </w:r>
          </w:p>
          <w:p w14:paraId="6866CCA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（2.1.1）禁止任意存储固体废弃物，对农用薄膜和渔网等不可降解的废弃物，使用者应当采取回收利用等措施。</w:t>
            </w:r>
          </w:p>
          <w:p w14:paraId="78F64BC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（2.1.2）湿地公园内航行的船舶，应当配置符合国家规定的防污设备，不得排放污染物、生活污水及固体垃圾。</w:t>
            </w:r>
          </w:p>
          <w:p w14:paraId="1883998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（2.2）加强灌溉水质管理。开展灌溉水水质监测，灌溉用水要符合 农田灌溉水质标准。禁止工矿企业排放废水直接用于农业灌溉。</w:t>
            </w:r>
          </w:p>
          <w:p w14:paraId="2144ACF4">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（2.3）废气</w:t>
            </w:r>
          </w:p>
          <w:p w14:paraId="488DE30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（2.3.1）实施《金洞管理区烟花爆竹禁燃禁放工作方案》，对燃放烟花爆竹严加管控。</w:t>
            </w:r>
          </w:p>
          <w:p w14:paraId="3270305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（2.3.2）强化各类施工工地扬尘规范化管控，对辖区内的工地突出抓好场地湿法作业，细化扬尘控制规范，全面并严格落实“六个不开工”“七个100%”、“八个必须”要求，禁止建筑工地夜间施工。</w:t>
            </w:r>
          </w:p>
          <w:p w14:paraId="72BD044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（2.3.3）禁止露天焚烧生活垃圾和秸秆。</w:t>
            </w:r>
          </w:p>
        </w:tc>
        <w:tc>
          <w:tcPr>
            <w:tcW w:w="2876" w:type="dxa"/>
            <w:gridSpan w:val="2"/>
            <w:vMerge w:val="continue"/>
            <w:vAlign w:val="center"/>
          </w:tcPr>
          <w:p w14:paraId="391A3DC6">
            <w:pPr>
              <w:widowControl/>
              <w:jc w:val="left"/>
              <w:rPr>
                <w:rFonts w:ascii="Times New Roman" w:hAnsi="Times New Roman" w:eastAsia="仿宋" w:cs="Times New Roman"/>
                <w:szCs w:val="21"/>
              </w:rPr>
            </w:pPr>
          </w:p>
        </w:tc>
      </w:tr>
      <w:tr w14:paraId="571A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0424D6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10188" w:type="dxa"/>
            <w:gridSpan w:val="9"/>
            <w:vAlign w:val="center"/>
          </w:tcPr>
          <w:p w14:paraId="7310494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（3.1）充分利用环境监测网格，重点监 管有色金属冶炼、有色金属矿采选、化工、电解锰、电镀、制革、 石油加工、危险废物经营等重点行业，重点监控土壤中镉、汞、砷、铅、铬、锑等重金属和多环芳烃、石油烃、卤代烃等有机污 染物。加强土壤污染风险防控能力建设。</w:t>
            </w:r>
          </w:p>
        </w:tc>
        <w:tc>
          <w:tcPr>
            <w:tcW w:w="2876" w:type="dxa"/>
            <w:gridSpan w:val="2"/>
            <w:vMerge w:val="continue"/>
            <w:vAlign w:val="center"/>
          </w:tcPr>
          <w:p w14:paraId="374CCD76">
            <w:pPr>
              <w:widowControl/>
              <w:jc w:val="left"/>
              <w:rPr>
                <w:rFonts w:ascii="Times New Roman" w:hAnsi="Times New Roman" w:eastAsia="仿宋" w:cs="Times New Roman"/>
                <w:szCs w:val="21"/>
              </w:rPr>
            </w:pPr>
          </w:p>
        </w:tc>
      </w:tr>
      <w:tr w14:paraId="0A76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BC14F0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10188" w:type="dxa"/>
            <w:gridSpan w:val="9"/>
            <w:vAlign w:val="center"/>
          </w:tcPr>
          <w:p w14:paraId="13A09E5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FA001B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2285282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259DE82E">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w:t>
            </w:r>
            <w:r>
              <w:rPr>
                <w:rFonts w:ascii="Times New Roman" w:hAnsi="Times New Roman" w:eastAsia="仿宋" w:cs="Times New Roman"/>
                <w:szCs w:val="21"/>
              </w:rPr>
              <w:t>2025年，金洞管理区用水总量控制在2466万立方米以内，农业用水总量控制在2113万立方米以内，万元地区生产总值用水量、万元工业增加值用水量分别比2020年降低18.06%、8.87%，农田灌溉水有效利用系数为0.555。</w:t>
            </w:r>
          </w:p>
        </w:tc>
        <w:tc>
          <w:tcPr>
            <w:tcW w:w="2876" w:type="dxa"/>
            <w:gridSpan w:val="2"/>
            <w:vMerge w:val="continue"/>
            <w:vAlign w:val="center"/>
          </w:tcPr>
          <w:p w14:paraId="392B2F7C">
            <w:pPr>
              <w:widowControl/>
              <w:jc w:val="left"/>
              <w:rPr>
                <w:rFonts w:ascii="Times New Roman" w:hAnsi="Times New Roman" w:eastAsia="仿宋" w:cs="Times New Roman"/>
                <w:szCs w:val="21"/>
              </w:rPr>
            </w:pPr>
          </w:p>
        </w:tc>
      </w:tr>
    </w:tbl>
    <w:p w14:paraId="37EA3837">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851"/>
        <w:gridCol w:w="427"/>
        <w:gridCol w:w="673"/>
        <w:gridCol w:w="780"/>
        <w:gridCol w:w="1134"/>
        <w:gridCol w:w="992"/>
        <w:gridCol w:w="1479"/>
        <w:gridCol w:w="1740"/>
        <w:gridCol w:w="1682"/>
        <w:gridCol w:w="987"/>
        <w:gridCol w:w="2315"/>
      </w:tblGrid>
      <w:tr w14:paraId="542D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14:paraId="121A7F3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119F8AA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80" w:type="dxa"/>
            <w:gridSpan w:val="3"/>
            <w:vAlign w:val="center"/>
          </w:tcPr>
          <w:p w14:paraId="2BBC755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771BA8F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319BCB8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479" w:type="dxa"/>
            <w:vMerge w:val="restart"/>
            <w:vAlign w:val="center"/>
          </w:tcPr>
          <w:p w14:paraId="57B335A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40" w:type="dxa"/>
            <w:vMerge w:val="restart"/>
            <w:vAlign w:val="center"/>
          </w:tcPr>
          <w:p w14:paraId="40CF86B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669" w:type="dxa"/>
            <w:gridSpan w:val="2"/>
            <w:vMerge w:val="restart"/>
            <w:vAlign w:val="center"/>
          </w:tcPr>
          <w:p w14:paraId="72D2BFE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315" w:type="dxa"/>
            <w:vMerge w:val="restart"/>
            <w:vAlign w:val="center"/>
          </w:tcPr>
          <w:p w14:paraId="4FA2E2E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2A98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3" w:type="dxa"/>
            <w:vMerge w:val="continue"/>
            <w:vAlign w:val="center"/>
          </w:tcPr>
          <w:p w14:paraId="214CF1C0">
            <w:pPr>
              <w:widowControl/>
              <w:jc w:val="left"/>
              <w:rPr>
                <w:rFonts w:ascii="Times New Roman" w:hAnsi="Times New Roman" w:eastAsia="仿宋" w:cs="Times New Roman"/>
                <w:b/>
                <w:kern w:val="0"/>
                <w:szCs w:val="21"/>
              </w:rPr>
            </w:pPr>
          </w:p>
        </w:tc>
        <w:tc>
          <w:tcPr>
            <w:tcW w:w="851" w:type="dxa"/>
            <w:vMerge w:val="continue"/>
            <w:vAlign w:val="center"/>
          </w:tcPr>
          <w:p w14:paraId="2257E582">
            <w:pPr>
              <w:widowControl/>
              <w:jc w:val="left"/>
              <w:rPr>
                <w:rFonts w:ascii="Times New Roman" w:hAnsi="Times New Roman" w:eastAsia="仿宋" w:cs="Times New Roman"/>
                <w:b/>
                <w:kern w:val="0"/>
                <w:szCs w:val="21"/>
              </w:rPr>
            </w:pPr>
          </w:p>
        </w:tc>
        <w:tc>
          <w:tcPr>
            <w:tcW w:w="427" w:type="dxa"/>
            <w:vAlign w:val="center"/>
          </w:tcPr>
          <w:p w14:paraId="65D3F97A">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673" w:type="dxa"/>
            <w:vAlign w:val="center"/>
          </w:tcPr>
          <w:p w14:paraId="5F7C6901">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780" w:type="dxa"/>
            <w:vAlign w:val="center"/>
          </w:tcPr>
          <w:p w14:paraId="6D2A8DBB">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4F75A645">
            <w:pPr>
              <w:widowControl/>
              <w:jc w:val="left"/>
              <w:rPr>
                <w:rFonts w:ascii="Times New Roman" w:hAnsi="Times New Roman" w:eastAsia="仿宋" w:cs="Times New Roman"/>
                <w:b/>
                <w:kern w:val="0"/>
                <w:szCs w:val="21"/>
              </w:rPr>
            </w:pPr>
          </w:p>
        </w:tc>
        <w:tc>
          <w:tcPr>
            <w:tcW w:w="992" w:type="dxa"/>
            <w:vMerge w:val="continue"/>
            <w:vAlign w:val="center"/>
          </w:tcPr>
          <w:p w14:paraId="17203386">
            <w:pPr>
              <w:widowControl/>
              <w:jc w:val="left"/>
              <w:rPr>
                <w:rFonts w:ascii="Times New Roman" w:hAnsi="Times New Roman" w:eastAsia="仿宋" w:cs="Times New Roman"/>
                <w:b/>
                <w:kern w:val="0"/>
                <w:szCs w:val="21"/>
              </w:rPr>
            </w:pPr>
          </w:p>
        </w:tc>
        <w:tc>
          <w:tcPr>
            <w:tcW w:w="1479" w:type="dxa"/>
            <w:vMerge w:val="continue"/>
            <w:vAlign w:val="center"/>
          </w:tcPr>
          <w:p w14:paraId="0A94D64D">
            <w:pPr>
              <w:widowControl/>
              <w:jc w:val="left"/>
              <w:rPr>
                <w:rFonts w:ascii="Times New Roman" w:hAnsi="Times New Roman" w:eastAsia="仿宋" w:cs="Times New Roman"/>
                <w:b/>
                <w:kern w:val="0"/>
                <w:szCs w:val="21"/>
              </w:rPr>
            </w:pPr>
          </w:p>
        </w:tc>
        <w:tc>
          <w:tcPr>
            <w:tcW w:w="1740" w:type="dxa"/>
            <w:vMerge w:val="continue"/>
            <w:vAlign w:val="center"/>
          </w:tcPr>
          <w:p w14:paraId="4359D495">
            <w:pPr>
              <w:widowControl/>
              <w:jc w:val="left"/>
              <w:rPr>
                <w:rFonts w:ascii="Times New Roman" w:hAnsi="Times New Roman" w:eastAsia="仿宋" w:cs="Times New Roman"/>
                <w:b/>
                <w:kern w:val="0"/>
                <w:szCs w:val="21"/>
              </w:rPr>
            </w:pPr>
          </w:p>
        </w:tc>
        <w:tc>
          <w:tcPr>
            <w:tcW w:w="2669" w:type="dxa"/>
            <w:gridSpan w:val="2"/>
            <w:vMerge w:val="continue"/>
            <w:vAlign w:val="center"/>
          </w:tcPr>
          <w:p w14:paraId="15F15BCD">
            <w:pPr>
              <w:widowControl/>
              <w:jc w:val="left"/>
              <w:rPr>
                <w:rFonts w:ascii="Times New Roman" w:hAnsi="Times New Roman" w:eastAsia="仿宋" w:cs="Times New Roman"/>
                <w:b/>
                <w:kern w:val="0"/>
                <w:szCs w:val="21"/>
              </w:rPr>
            </w:pPr>
          </w:p>
        </w:tc>
        <w:tc>
          <w:tcPr>
            <w:tcW w:w="2315" w:type="dxa"/>
            <w:vMerge w:val="continue"/>
            <w:vAlign w:val="center"/>
          </w:tcPr>
          <w:p w14:paraId="7A113BA4">
            <w:pPr>
              <w:widowControl/>
              <w:jc w:val="left"/>
              <w:rPr>
                <w:rFonts w:ascii="Times New Roman" w:hAnsi="Times New Roman" w:eastAsia="仿宋" w:cs="Times New Roman"/>
                <w:b/>
                <w:kern w:val="0"/>
                <w:szCs w:val="21"/>
              </w:rPr>
            </w:pPr>
          </w:p>
        </w:tc>
      </w:tr>
      <w:tr w14:paraId="7220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3" w:type="dxa"/>
            <w:vAlign w:val="center"/>
          </w:tcPr>
          <w:p w14:paraId="28FBD17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ZH43117210001</w:t>
            </w:r>
          </w:p>
        </w:tc>
        <w:tc>
          <w:tcPr>
            <w:tcW w:w="851" w:type="dxa"/>
            <w:vAlign w:val="center"/>
          </w:tcPr>
          <w:p w14:paraId="35B7D727">
            <w:pPr>
              <w:widowControl/>
              <w:jc w:val="center"/>
              <w:rPr>
                <w:rFonts w:ascii="Times New Roman" w:hAnsi="Times New Roman" w:eastAsia="仿宋" w:cs="Times New Roman"/>
                <w:kern w:val="0"/>
                <w:szCs w:val="21"/>
              </w:rPr>
            </w:pPr>
            <w:r>
              <w:rPr>
                <w:rFonts w:ascii="Times New Roman" w:hAnsi="Times New Roman" w:eastAsia="仿宋" w:cs="Times New Roman"/>
                <w:szCs w:val="21"/>
              </w:rPr>
              <w:t>晒北滩瑶族乡</w:t>
            </w:r>
          </w:p>
        </w:tc>
        <w:tc>
          <w:tcPr>
            <w:tcW w:w="427" w:type="dxa"/>
            <w:vAlign w:val="center"/>
          </w:tcPr>
          <w:p w14:paraId="1E6DAC4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1E4374F5">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10D7F65A">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1134" w:type="dxa"/>
            <w:vAlign w:val="center"/>
          </w:tcPr>
          <w:p w14:paraId="0C582A9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7E6323EB">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118.27</w:t>
            </w:r>
          </w:p>
        </w:tc>
        <w:tc>
          <w:tcPr>
            <w:tcW w:w="1479" w:type="dxa"/>
            <w:vAlign w:val="center"/>
          </w:tcPr>
          <w:p w14:paraId="3DA59FBF">
            <w:pPr>
              <w:widowControl/>
              <w:jc w:val="center"/>
              <w:rPr>
                <w:rFonts w:ascii="Times New Roman" w:hAnsi="Times New Roman" w:eastAsia="仿宋" w:cs="Times New Roman"/>
                <w:szCs w:val="21"/>
              </w:rPr>
            </w:pPr>
            <w:r>
              <w:rPr>
                <w:rFonts w:ascii="Times New Roman" w:hAnsi="Times New Roman" w:eastAsia="仿宋" w:cs="Times New Roman"/>
                <w:szCs w:val="21"/>
              </w:rPr>
              <w:t>晒北滩瑶族乡</w:t>
            </w:r>
          </w:p>
        </w:tc>
        <w:tc>
          <w:tcPr>
            <w:tcW w:w="1740" w:type="dxa"/>
            <w:vAlign w:val="center"/>
          </w:tcPr>
          <w:p w14:paraId="7E41823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重点生态功能区</w:t>
            </w:r>
          </w:p>
        </w:tc>
        <w:tc>
          <w:tcPr>
            <w:tcW w:w="2669" w:type="dxa"/>
            <w:gridSpan w:val="2"/>
            <w:vAlign w:val="center"/>
          </w:tcPr>
          <w:p w14:paraId="16CA85C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农业、旅游业、林业</w:t>
            </w:r>
          </w:p>
        </w:tc>
        <w:tc>
          <w:tcPr>
            <w:tcW w:w="2315" w:type="dxa"/>
            <w:vAlign w:val="center"/>
          </w:tcPr>
          <w:p w14:paraId="0944514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6514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505701E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60" w:type="dxa"/>
            <w:gridSpan w:val="11"/>
            <w:vAlign w:val="center"/>
          </w:tcPr>
          <w:p w14:paraId="324209D4">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水土流失敏感区/原生态红线/森林公园）；水环境一般管控区/水环境优先保护区；大气环境优先保护区；农用地优先保护区/其他重点管控区/一般管控区</w:t>
            </w:r>
          </w:p>
        </w:tc>
      </w:tr>
      <w:tr w14:paraId="2B97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1DD07CA6">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758" w:type="dxa"/>
            <w:gridSpan w:val="9"/>
            <w:vAlign w:val="center"/>
          </w:tcPr>
          <w:p w14:paraId="6B9E5DC0">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302" w:type="dxa"/>
            <w:gridSpan w:val="2"/>
            <w:vAlign w:val="center"/>
          </w:tcPr>
          <w:p w14:paraId="6FA1F8B9">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1F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5640251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758" w:type="dxa"/>
            <w:gridSpan w:val="9"/>
            <w:vAlign w:val="center"/>
          </w:tcPr>
          <w:p w14:paraId="0CE46B88">
            <w:pPr>
              <w:tabs>
                <w:tab w:val="left" w:pos="1021"/>
              </w:tabs>
              <w:ind w:firstLine="422" w:firstLineChars="200"/>
              <w:rPr>
                <w:rFonts w:ascii="Times New Roman" w:hAnsi="Times New Roman" w:eastAsia="仿宋" w:cs="Times New Roman"/>
                <w:szCs w:val="21"/>
              </w:rPr>
            </w:pPr>
            <w:r>
              <w:rPr>
                <w:rFonts w:ascii="Times New Roman" w:hAnsi="Times New Roman" w:eastAsia="仿宋" w:cs="Times New Roman"/>
                <w:b/>
                <w:szCs w:val="21"/>
              </w:rPr>
              <w:t>（1.1）</w:t>
            </w:r>
            <w:r>
              <w:rPr>
                <w:rFonts w:ascii="Times New Roman" w:hAnsi="Times New Roman" w:eastAsia="仿宋" w:cs="Times New Roman"/>
                <w:b/>
                <w:kern w:val="0"/>
                <w:szCs w:val="21"/>
              </w:rPr>
              <w:t>湖南金洞猛江河国家湿地公园</w:t>
            </w:r>
            <w:r>
              <w:rPr>
                <w:rFonts w:ascii="Times New Roman" w:hAnsi="Times New Roman" w:eastAsia="仿宋" w:cs="Times New Roman"/>
                <w:b/>
                <w:szCs w:val="21"/>
              </w:rPr>
              <w:t>：</w:t>
            </w:r>
            <w:r>
              <w:rPr>
                <w:rFonts w:ascii="Times New Roman" w:hAnsi="Times New Roman" w:eastAsia="仿宋" w:cs="Times New Roman"/>
                <w:szCs w:val="21"/>
              </w:rPr>
              <w:t xml:space="preserve"> </w:t>
            </w:r>
          </w:p>
          <w:p w14:paraId="616FBEA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（1.1.1）保护保育区内不得建设任何生产经营性设施，宣教展示区内不得建设污染环境、破坏资源和景观的生产经营性设施。已退田还湖、退塘还湖的地域禁止新建居民点或者其他永久性建筑物、构筑物。</w:t>
            </w:r>
          </w:p>
          <w:p w14:paraId="6882ED6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（1.1.2）湿地公园内禁止砍伐、采药、修坟、生产性放牧等改变地貌和破坏环境、景观的活动。公园管理机构划定的植被恢复区和栽培区内，禁止擅自放牧和种植。</w:t>
            </w:r>
          </w:p>
          <w:p w14:paraId="71D7723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（1.1.3）湿地公园内禁止猎捕野生动物（含鱼类资源）；禁止擅自在水面设置竹箔、网箱、拦网等障碍物，确需修建相关工程的，应当进行科学论证、评估，并征求相关部门的意见。</w:t>
            </w:r>
          </w:p>
          <w:p w14:paraId="4702A223">
            <w:pPr>
              <w:tabs>
                <w:tab w:val="left" w:pos="1021"/>
              </w:tabs>
              <w:ind w:firstLine="422" w:firstLineChars="200"/>
              <w:rPr>
                <w:rFonts w:ascii="Times New Roman" w:hAnsi="Times New Roman" w:eastAsia="仿宋" w:cs="Times New Roman"/>
                <w:szCs w:val="21"/>
              </w:rPr>
            </w:pPr>
            <w:r>
              <w:rPr>
                <w:rFonts w:ascii="Times New Roman" w:hAnsi="Times New Roman" w:eastAsia="仿宋" w:cs="Times New Roman"/>
                <w:b/>
                <w:bCs/>
                <w:szCs w:val="21"/>
              </w:rPr>
              <w:t>（1.2）</w:t>
            </w:r>
            <w:r>
              <w:rPr>
                <w:rFonts w:ascii="Times New Roman" w:hAnsi="Times New Roman" w:eastAsia="仿宋" w:cs="Times New Roman"/>
                <w:szCs w:val="21"/>
              </w:rPr>
              <w:t>晒北滩水电站库区取缔网箱养鱼。</w:t>
            </w:r>
          </w:p>
          <w:p w14:paraId="0BBEB228">
            <w:pPr>
              <w:tabs>
                <w:tab w:val="left" w:pos="1021"/>
              </w:tabs>
              <w:ind w:firstLine="422" w:firstLineChars="200"/>
              <w:rPr>
                <w:rFonts w:ascii="Times New Roman" w:hAnsi="Times New Roman" w:eastAsia="仿宋" w:cs="Times New Roman"/>
                <w:szCs w:val="21"/>
              </w:rPr>
            </w:pPr>
            <w:r>
              <w:rPr>
                <w:rFonts w:ascii="Times New Roman" w:hAnsi="Times New Roman" w:eastAsia="仿宋" w:cs="Times New Roman"/>
                <w:b/>
                <w:szCs w:val="21"/>
              </w:rPr>
              <w:t>（1.3）</w:t>
            </w:r>
            <w:r>
              <w:rPr>
                <w:rFonts w:ascii="Times New Roman" w:hAnsi="Times New Roman" w:eastAsia="仿宋" w:cs="Times New Roman"/>
                <w:szCs w:val="21"/>
              </w:rPr>
              <w:t>畜禽养殖产业布局应符合《金洞管理区畜禽规模养殖“三区”划定方案》。</w:t>
            </w:r>
          </w:p>
        </w:tc>
        <w:tc>
          <w:tcPr>
            <w:tcW w:w="3302" w:type="dxa"/>
            <w:gridSpan w:val="2"/>
            <w:vMerge w:val="restart"/>
            <w:vAlign w:val="center"/>
          </w:tcPr>
          <w:p w14:paraId="49791486">
            <w:pPr>
              <w:jc w:val="left"/>
              <w:rPr>
                <w:rFonts w:ascii="Times New Roman" w:hAnsi="Times New Roman" w:eastAsia="仿宋" w:cs="Times New Roman"/>
                <w:szCs w:val="21"/>
              </w:rPr>
            </w:pPr>
            <w:r>
              <w:rPr>
                <w:rFonts w:ascii="Times New Roman" w:hAnsi="Times New Roman" w:eastAsia="仿宋" w:cs="Times New Roman"/>
                <w:szCs w:val="21"/>
              </w:rPr>
              <w:t>（1.1）（2.1）《金洞管理区管委会办公室关于印发&lt;湖南金洞猛江河国家湿地公园保护管理细则&gt;和&lt;湖南金洞国家森林公园管理办法&gt;的通知》（金管办发〔2016〕25号）；</w:t>
            </w:r>
          </w:p>
          <w:p w14:paraId="7EB5167D">
            <w:pPr>
              <w:jc w:val="left"/>
              <w:rPr>
                <w:rFonts w:ascii="Times New Roman" w:hAnsi="Times New Roman" w:eastAsia="仿宋" w:cs="Times New Roman"/>
                <w:szCs w:val="21"/>
              </w:rPr>
            </w:pPr>
            <w:r>
              <w:rPr>
                <w:rFonts w:ascii="Times New Roman" w:hAnsi="Times New Roman" w:eastAsia="仿宋" w:cs="Times New Roman"/>
                <w:szCs w:val="21"/>
              </w:rPr>
              <w:t>（1.2）（2.5）（3.1）（4.1）《湖南省环境保护厅关于湖南省祁阳县晒北滩水库水电站工程竣工环境保护验收意见的函》（湘环评验〔2017〕65号）；</w:t>
            </w:r>
          </w:p>
          <w:p w14:paraId="40FEAA3D">
            <w:pPr>
              <w:jc w:val="left"/>
              <w:rPr>
                <w:rFonts w:ascii="Times New Roman" w:hAnsi="Times New Roman" w:eastAsia="仿宋" w:cs="Times New Roman"/>
                <w:szCs w:val="21"/>
              </w:rPr>
            </w:pPr>
            <w:r>
              <w:rPr>
                <w:rFonts w:ascii="Times New Roman" w:hAnsi="Times New Roman" w:eastAsia="仿宋" w:cs="Times New Roman"/>
                <w:szCs w:val="21"/>
              </w:rPr>
              <w:t>（1.3）《金洞管理区管理委员会关于发布&lt;金洞管理区畜禽规模养殖“三区”划定方案&gt;的公告》（2020年2月）；</w:t>
            </w:r>
          </w:p>
          <w:p w14:paraId="10992B36">
            <w:pPr>
              <w:jc w:val="left"/>
              <w:rPr>
                <w:rFonts w:ascii="Times New Roman" w:hAnsi="Times New Roman" w:eastAsia="仿宋" w:cs="Times New Roman"/>
                <w:szCs w:val="21"/>
              </w:rPr>
            </w:pPr>
            <w:r>
              <w:rPr>
                <w:rFonts w:ascii="Times New Roman" w:hAnsi="Times New Roman" w:eastAsia="仿宋" w:cs="Times New Roman"/>
                <w:szCs w:val="21"/>
              </w:rPr>
              <w:t>（2.2）《金洞管理区畜禽养殖废弃物资源化利用工作方案》（金管办函〔2018〕8号）；</w:t>
            </w:r>
          </w:p>
          <w:p w14:paraId="1E33DA36">
            <w:pPr>
              <w:jc w:val="left"/>
              <w:rPr>
                <w:rFonts w:ascii="Times New Roman" w:hAnsi="Times New Roman" w:eastAsia="仿宋" w:cs="Times New Roman"/>
                <w:szCs w:val="21"/>
              </w:rPr>
            </w:pPr>
            <w:r>
              <w:rPr>
                <w:rFonts w:ascii="Times New Roman" w:hAnsi="Times New Roman" w:eastAsia="仿宋" w:cs="Times New Roman"/>
                <w:szCs w:val="21"/>
              </w:rPr>
              <w:t>（2.4）《永州市金洞管理区管理委员会关于印发&lt;金洞管理区土壤污染防治工作方案&gt;的通知》；</w:t>
            </w:r>
          </w:p>
          <w:p w14:paraId="3B06717E">
            <w:pPr>
              <w:adjustRightInd w:val="0"/>
              <w:snapToGrid w:val="0"/>
              <w:rPr>
                <w:rFonts w:ascii="Times New Roman" w:hAnsi="Times New Roman" w:eastAsia="仿宋" w:cs="Times New Roman"/>
                <w:szCs w:val="21"/>
              </w:rPr>
            </w:pPr>
            <w:r>
              <w:rPr>
                <w:rFonts w:ascii="Times New Roman" w:hAnsi="Times New Roman" w:eastAsia="仿宋" w:cs="Times New Roman"/>
                <w:szCs w:val="21"/>
              </w:rPr>
              <w:t>（3.1）《企业事业单位突发环境事件应急预案备案管理办法》（环发〔2015〕4号）。</w:t>
            </w:r>
          </w:p>
          <w:p w14:paraId="5ABFAA1A">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3D39F095">
            <w:pPr>
              <w:widowControl/>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tc>
      </w:tr>
      <w:tr w14:paraId="2CA8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28EC5CB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758" w:type="dxa"/>
            <w:gridSpan w:val="9"/>
            <w:vAlign w:val="center"/>
          </w:tcPr>
          <w:p w14:paraId="3F2B670A">
            <w:pPr>
              <w:tabs>
                <w:tab w:val="left" w:pos="1021"/>
              </w:tabs>
              <w:ind w:firstLine="422" w:firstLineChars="200"/>
              <w:rPr>
                <w:rFonts w:ascii="Times New Roman" w:hAnsi="Times New Roman" w:eastAsia="仿宋" w:cs="Times New Roman"/>
                <w:b/>
                <w:szCs w:val="21"/>
              </w:rPr>
            </w:pPr>
            <w:r>
              <w:rPr>
                <w:rFonts w:ascii="Times New Roman" w:hAnsi="Times New Roman" w:eastAsia="仿宋" w:cs="Times New Roman"/>
                <w:b/>
                <w:szCs w:val="21"/>
              </w:rPr>
              <w:t>（2.1）</w:t>
            </w:r>
            <w:r>
              <w:rPr>
                <w:rFonts w:ascii="Times New Roman" w:hAnsi="Times New Roman" w:eastAsia="仿宋" w:cs="Times New Roman"/>
                <w:b/>
                <w:kern w:val="0"/>
                <w:szCs w:val="21"/>
              </w:rPr>
              <w:t>湖南金洞猛江河国家湿地公园</w:t>
            </w:r>
          </w:p>
          <w:p w14:paraId="343E8D1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（2.1.1）禁止任意存储固体废弃物，对农用薄膜和渔网等不可降解的废弃物，使用者应当采取回收利用等措施。</w:t>
            </w:r>
          </w:p>
          <w:p w14:paraId="1BE7493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（2.1.2）湿地公园内航行的船舶，应当配置符合国家规定的防污设备，不得排放污染物、生活污水及固体垃圾。</w:t>
            </w:r>
          </w:p>
          <w:p w14:paraId="4399A6C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强养殖污染治理。严格执行畜禽养殖分区管理制度，加快推进规模养殖场粪污处理设施建设和畜禽养殖废弃物资源化利用全覆盖。全区规模养殖场粪污处理设施装备配套率95%以上、畜禽污粪资源化利用率达到87%以上。</w:t>
            </w:r>
          </w:p>
          <w:p w14:paraId="0774EB8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（2.3）禁止露天焚烧生活垃圾和秸秆。</w:t>
            </w:r>
          </w:p>
          <w:p w14:paraId="412ED82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（2.4）严格控制林地、草地、园地的农药使用量，禁止使用高毒高残留农药。</w:t>
            </w:r>
          </w:p>
          <w:p w14:paraId="4305454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（2.5）晒北滩水电站进一步加强水上漂浮物的收集与处置，避免产生二次污染；加强鱼类资源人工恢复措施，定期投放鱼苗。</w:t>
            </w:r>
          </w:p>
        </w:tc>
        <w:tc>
          <w:tcPr>
            <w:tcW w:w="3302" w:type="dxa"/>
            <w:gridSpan w:val="2"/>
            <w:vMerge w:val="continue"/>
            <w:vAlign w:val="center"/>
          </w:tcPr>
          <w:p w14:paraId="6004A0FD">
            <w:pPr>
              <w:widowControl/>
              <w:jc w:val="left"/>
              <w:rPr>
                <w:rFonts w:ascii="Times New Roman" w:hAnsi="Times New Roman" w:eastAsia="仿宋" w:cs="Times New Roman"/>
                <w:szCs w:val="21"/>
              </w:rPr>
            </w:pPr>
          </w:p>
        </w:tc>
      </w:tr>
      <w:tr w14:paraId="2CD8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3FF89BD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758" w:type="dxa"/>
            <w:gridSpan w:val="9"/>
            <w:vAlign w:val="center"/>
          </w:tcPr>
          <w:p w14:paraId="12A4A4BA">
            <w:pPr>
              <w:tabs>
                <w:tab w:val="left" w:pos="1021"/>
              </w:tabs>
              <w:ind w:firstLine="315" w:firstLineChars="150"/>
              <w:rPr>
                <w:rFonts w:ascii="Times New Roman" w:hAnsi="Times New Roman" w:eastAsia="仿宋" w:cs="Times New Roman"/>
                <w:szCs w:val="21"/>
              </w:rPr>
            </w:pPr>
            <w:r>
              <w:rPr>
                <w:rFonts w:ascii="Times New Roman" w:hAnsi="Times New Roman" w:eastAsia="仿宋" w:cs="Times New Roman"/>
                <w:szCs w:val="21"/>
              </w:rPr>
              <w:t>（3.1）晒北滩水电站、众鑫矿业等可能发生突发环境事件的企业应建立风险事故防范措施和应急预案，做好环境风险防范与事故应急处置工作。</w:t>
            </w:r>
          </w:p>
        </w:tc>
        <w:tc>
          <w:tcPr>
            <w:tcW w:w="3302" w:type="dxa"/>
            <w:gridSpan w:val="2"/>
            <w:vMerge w:val="continue"/>
            <w:vAlign w:val="center"/>
          </w:tcPr>
          <w:p w14:paraId="3834CB93">
            <w:pPr>
              <w:widowControl/>
              <w:jc w:val="left"/>
              <w:rPr>
                <w:rFonts w:ascii="Times New Roman" w:hAnsi="Times New Roman" w:eastAsia="仿宋" w:cs="Times New Roman"/>
                <w:szCs w:val="21"/>
              </w:rPr>
            </w:pPr>
          </w:p>
        </w:tc>
      </w:tr>
      <w:tr w14:paraId="794B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Align w:val="center"/>
          </w:tcPr>
          <w:p w14:paraId="69FB3D3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758" w:type="dxa"/>
            <w:gridSpan w:val="9"/>
            <w:vAlign w:val="center"/>
          </w:tcPr>
          <w:p w14:paraId="222B617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6AAE15B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53FA256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30D79AA5">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（4.2.1）到</w:t>
            </w:r>
            <w:r>
              <w:rPr>
                <w:rFonts w:ascii="Times New Roman" w:hAnsi="Times New Roman" w:eastAsia="仿宋" w:cs="Times New Roman"/>
                <w:szCs w:val="21"/>
              </w:rPr>
              <w:t>2025年，金洞管理区用水总量控制在2466万立方米以内，农业用水总量控制在2113万立方米以内，万元地区生产总值用水量、万元工业增加值用水量分别比2020年降低18.06%、8.87%，农田灌溉水有效利用系数为0.555。</w:t>
            </w:r>
          </w:p>
          <w:p w14:paraId="28C263B6">
            <w:pPr>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spacing w:val="-6"/>
                <w:szCs w:val="21"/>
              </w:rPr>
              <w:t>晒北滩水电站</w:t>
            </w:r>
            <w:r>
              <w:rPr>
                <w:rFonts w:ascii="Times New Roman" w:hAnsi="Times New Roman" w:eastAsia="仿宋" w:cs="Times New Roman"/>
                <w:szCs w:val="21"/>
              </w:rPr>
              <w:t>加强生态流量泄放孔管理，设置流量测量装置进行监控，保证不间断下泄2.0m</w:t>
            </w:r>
            <w:r>
              <w:rPr>
                <w:rFonts w:ascii="Times New Roman" w:hAnsi="Times New Roman" w:eastAsia="仿宋" w:cs="Times New Roman"/>
                <w:szCs w:val="21"/>
                <w:vertAlign w:val="superscript"/>
              </w:rPr>
              <w:t>3</w:t>
            </w:r>
            <w:r>
              <w:rPr>
                <w:rFonts w:ascii="Times New Roman" w:hAnsi="Times New Roman" w:eastAsia="仿宋" w:cs="Times New Roman"/>
                <w:szCs w:val="21"/>
              </w:rPr>
              <w:t>/s生态流量。</w:t>
            </w:r>
          </w:p>
        </w:tc>
        <w:tc>
          <w:tcPr>
            <w:tcW w:w="3302" w:type="dxa"/>
            <w:gridSpan w:val="2"/>
            <w:vMerge w:val="continue"/>
            <w:vAlign w:val="center"/>
          </w:tcPr>
          <w:p w14:paraId="514D3DEC">
            <w:pPr>
              <w:widowControl/>
              <w:jc w:val="left"/>
              <w:rPr>
                <w:rFonts w:ascii="Times New Roman" w:hAnsi="Times New Roman" w:eastAsia="仿宋" w:cs="Times New Roman"/>
                <w:szCs w:val="21"/>
              </w:rPr>
            </w:pPr>
          </w:p>
        </w:tc>
      </w:tr>
    </w:tbl>
    <w:p w14:paraId="1CABCA83">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1AE59287">
      <w:pPr>
        <w:widowControl/>
        <w:jc w:val="left"/>
        <w:rPr>
          <w:rFonts w:ascii="Times New Roman" w:hAnsi="Times New Roman" w:eastAsia="仿宋" w:cs="Times New Roman"/>
          <w:szCs w:val="21"/>
        </w:r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567"/>
        <w:gridCol w:w="426"/>
        <w:gridCol w:w="607"/>
        <w:gridCol w:w="810"/>
        <w:gridCol w:w="1134"/>
        <w:gridCol w:w="1237"/>
        <w:gridCol w:w="1031"/>
        <w:gridCol w:w="1397"/>
        <w:gridCol w:w="4721"/>
      </w:tblGrid>
      <w:tr w14:paraId="0609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703C19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29" w:type="dxa"/>
            <w:vMerge w:val="restart"/>
            <w:vAlign w:val="center"/>
          </w:tcPr>
          <w:p w14:paraId="4D485DE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00" w:type="dxa"/>
            <w:gridSpan w:val="3"/>
            <w:vAlign w:val="center"/>
          </w:tcPr>
          <w:p w14:paraId="14B24B0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10" w:type="dxa"/>
            <w:vMerge w:val="restart"/>
            <w:vAlign w:val="center"/>
          </w:tcPr>
          <w:p w14:paraId="15EB22A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504652D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37" w:type="dxa"/>
            <w:vMerge w:val="restart"/>
            <w:vAlign w:val="center"/>
          </w:tcPr>
          <w:p w14:paraId="516DF1B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031" w:type="dxa"/>
            <w:vMerge w:val="restart"/>
            <w:vAlign w:val="center"/>
          </w:tcPr>
          <w:p w14:paraId="203DDF9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397" w:type="dxa"/>
            <w:vMerge w:val="restart"/>
            <w:vAlign w:val="center"/>
          </w:tcPr>
          <w:p w14:paraId="021AE0D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4721" w:type="dxa"/>
            <w:vMerge w:val="restart"/>
            <w:vAlign w:val="center"/>
          </w:tcPr>
          <w:p w14:paraId="44E2AAD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2C61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2D64DEF">
            <w:pPr>
              <w:widowControl/>
              <w:jc w:val="left"/>
              <w:rPr>
                <w:rFonts w:ascii="Times New Roman" w:hAnsi="Times New Roman" w:eastAsia="仿宋" w:cs="Times New Roman"/>
                <w:b/>
                <w:kern w:val="0"/>
                <w:szCs w:val="21"/>
              </w:rPr>
            </w:pPr>
          </w:p>
        </w:tc>
        <w:tc>
          <w:tcPr>
            <w:tcW w:w="1129" w:type="dxa"/>
            <w:vMerge w:val="continue"/>
            <w:vAlign w:val="center"/>
          </w:tcPr>
          <w:p w14:paraId="37D504AF">
            <w:pPr>
              <w:widowControl/>
              <w:jc w:val="left"/>
              <w:rPr>
                <w:rFonts w:ascii="Times New Roman" w:hAnsi="Times New Roman" w:eastAsia="仿宋" w:cs="Times New Roman"/>
                <w:b/>
                <w:kern w:val="0"/>
                <w:szCs w:val="21"/>
              </w:rPr>
            </w:pPr>
          </w:p>
        </w:tc>
        <w:tc>
          <w:tcPr>
            <w:tcW w:w="567" w:type="dxa"/>
            <w:vAlign w:val="center"/>
          </w:tcPr>
          <w:p w14:paraId="57787E3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1B747CF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07" w:type="dxa"/>
            <w:vAlign w:val="center"/>
          </w:tcPr>
          <w:p w14:paraId="6DBD0D2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10" w:type="dxa"/>
            <w:vMerge w:val="continue"/>
            <w:vAlign w:val="center"/>
          </w:tcPr>
          <w:p w14:paraId="7D224521">
            <w:pPr>
              <w:widowControl/>
              <w:jc w:val="left"/>
              <w:rPr>
                <w:rFonts w:ascii="Times New Roman" w:hAnsi="Times New Roman" w:eastAsia="仿宋" w:cs="Times New Roman"/>
                <w:b/>
                <w:kern w:val="0"/>
                <w:szCs w:val="21"/>
              </w:rPr>
            </w:pPr>
          </w:p>
        </w:tc>
        <w:tc>
          <w:tcPr>
            <w:tcW w:w="1134" w:type="dxa"/>
            <w:vMerge w:val="continue"/>
            <w:vAlign w:val="center"/>
          </w:tcPr>
          <w:p w14:paraId="229234CF">
            <w:pPr>
              <w:widowControl/>
              <w:jc w:val="left"/>
              <w:rPr>
                <w:rFonts w:ascii="Times New Roman" w:hAnsi="Times New Roman" w:eastAsia="仿宋" w:cs="Times New Roman"/>
                <w:b/>
                <w:kern w:val="0"/>
                <w:szCs w:val="21"/>
              </w:rPr>
            </w:pPr>
          </w:p>
        </w:tc>
        <w:tc>
          <w:tcPr>
            <w:tcW w:w="1237" w:type="dxa"/>
            <w:vMerge w:val="continue"/>
            <w:vAlign w:val="center"/>
          </w:tcPr>
          <w:p w14:paraId="026DDA6E">
            <w:pPr>
              <w:widowControl/>
              <w:jc w:val="left"/>
              <w:rPr>
                <w:rFonts w:ascii="Times New Roman" w:hAnsi="Times New Roman" w:eastAsia="仿宋" w:cs="Times New Roman"/>
                <w:b/>
                <w:kern w:val="0"/>
                <w:szCs w:val="21"/>
              </w:rPr>
            </w:pPr>
          </w:p>
        </w:tc>
        <w:tc>
          <w:tcPr>
            <w:tcW w:w="1031" w:type="dxa"/>
            <w:vMerge w:val="continue"/>
            <w:vAlign w:val="center"/>
          </w:tcPr>
          <w:p w14:paraId="3D2D5568">
            <w:pPr>
              <w:widowControl/>
              <w:jc w:val="left"/>
              <w:rPr>
                <w:rFonts w:ascii="Times New Roman" w:hAnsi="Times New Roman" w:eastAsia="仿宋" w:cs="Times New Roman"/>
                <w:b/>
                <w:kern w:val="0"/>
                <w:szCs w:val="21"/>
              </w:rPr>
            </w:pPr>
          </w:p>
        </w:tc>
        <w:tc>
          <w:tcPr>
            <w:tcW w:w="1397" w:type="dxa"/>
            <w:vMerge w:val="continue"/>
            <w:vAlign w:val="center"/>
          </w:tcPr>
          <w:p w14:paraId="0873C448">
            <w:pPr>
              <w:widowControl/>
              <w:jc w:val="left"/>
              <w:rPr>
                <w:rFonts w:ascii="Times New Roman" w:hAnsi="Times New Roman" w:eastAsia="仿宋" w:cs="Times New Roman"/>
                <w:b/>
                <w:kern w:val="0"/>
                <w:szCs w:val="21"/>
              </w:rPr>
            </w:pPr>
          </w:p>
        </w:tc>
        <w:tc>
          <w:tcPr>
            <w:tcW w:w="4721" w:type="dxa"/>
            <w:vMerge w:val="continue"/>
            <w:vAlign w:val="center"/>
          </w:tcPr>
          <w:p w14:paraId="2075FF32">
            <w:pPr>
              <w:widowControl/>
              <w:jc w:val="left"/>
              <w:rPr>
                <w:rFonts w:ascii="Times New Roman" w:hAnsi="Times New Roman" w:eastAsia="仿宋" w:cs="Times New Roman"/>
                <w:b/>
                <w:kern w:val="0"/>
                <w:szCs w:val="21"/>
              </w:rPr>
            </w:pPr>
          </w:p>
        </w:tc>
      </w:tr>
      <w:tr w14:paraId="3157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bottom w:val="single" w:color="auto" w:sz="4" w:space="0"/>
              <w:right w:val="single" w:color="auto" w:sz="4" w:space="0"/>
            </w:tcBorders>
            <w:vAlign w:val="center"/>
          </w:tcPr>
          <w:p w14:paraId="2D968BD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ZH43112120001</w:t>
            </w:r>
          </w:p>
        </w:tc>
        <w:tc>
          <w:tcPr>
            <w:tcW w:w="1129" w:type="dxa"/>
            <w:tcBorders>
              <w:top w:val="single" w:color="auto" w:sz="4" w:space="0"/>
              <w:left w:val="single" w:color="auto" w:sz="4" w:space="0"/>
              <w:bottom w:val="single" w:color="auto" w:sz="4" w:space="0"/>
              <w:right w:val="single" w:color="auto" w:sz="4" w:space="0"/>
            </w:tcBorders>
            <w:vAlign w:val="center"/>
          </w:tcPr>
          <w:p w14:paraId="097C52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黄泥塘镇/进宝塘镇</w:t>
            </w:r>
          </w:p>
        </w:tc>
        <w:tc>
          <w:tcPr>
            <w:tcW w:w="567" w:type="dxa"/>
            <w:tcBorders>
              <w:top w:val="single" w:color="auto" w:sz="4" w:space="0"/>
              <w:left w:val="single" w:color="auto" w:sz="4" w:space="0"/>
              <w:bottom w:val="single" w:color="auto" w:sz="4" w:space="0"/>
              <w:right w:val="single" w:color="auto" w:sz="4" w:space="0"/>
            </w:tcBorders>
            <w:vAlign w:val="center"/>
          </w:tcPr>
          <w:p w14:paraId="5770F44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tcBorders>
              <w:top w:val="single" w:color="auto" w:sz="4" w:space="0"/>
              <w:left w:val="single" w:color="auto" w:sz="4" w:space="0"/>
              <w:bottom w:val="single" w:color="auto" w:sz="4" w:space="0"/>
              <w:right w:val="single" w:color="auto" w:sz="4" w:space="0"/>
            </w:tcBorders>
            <w:vAlign w:val="center"/>
          </w:tcPr>
          <w:p w14:paraId="235B8E5C">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07" w:type="dxa"/>
            <w:tcBorders>
              <w:top w:val="single" w:color="auto" w:sz="4" w:space="0"/>
              <w:left w:val="single" w:color="auto" w:sz="4" w:space="0"/>
              <w:bottom w:val="single" w:color="auto" w:sz="4" w:space="0"/>
              <w:right w:val="single" w:color="auto" w:sz="4" w:space="0"/>
            </w:tcBorders>
            <w:vAlign w:val="center"/>
          </w:tcPr>
          <w:p w14:paraId="699FA5FA">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810" w:type="dxa"/>
            <w:tcBorders>
              <w:top w:val="single" w:color="auto" w:sz="4" w:space="0"/>
              <w:left w:val="single" w:color="auto" w:sz="4" w:space="0"/>
              <w:bottom w:val="single" w:color="auto" w:sz="4" w:space="0"/>
              <w:right w:val="single" w:color="auto" w:sz="4" w:space="0"/>
            </w:tcBorders>
            <w:vAlign w:val="center"/>
          </w:tcPr>
          <w:p w14:paraId="2E23D48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326640">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135.93</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7645852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黄泥塘镇/进宝塘镇</w:t>
            </w:r>
          </w:p>
        </w:tc>
        <w:tc>
          <w:tcPr>
            <w:tcW w:w="1031" w:type="dxa"/>
            <w:tcBorders>
              <w:top w:val="single" w:color="auto" w:sz="4" w:space="0"/>
              <w:left w:val="single" w:color="auto" w:sz="4" w:space="0"/>
              <w:bottom w:val="single" w:color="auto" w:sz="4" w:space="0"/>
              <w:right w:val="single" w:color="auto" w:sz="4" w:space="0"/>
            </w:tcBorders>
            <w:vAlign w:val="center"/>
          </w:tcPr>
          <w:p w14:paraId="619E42C0">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黄泥塘镇、进宝塘镇：</w:t>
            </w:r>
            <w:r>
              <w:rPr>
                <w:rFonts w:ascii="Times New Roman" w:hAnsi="Times New Roman" w:eastAsia="仿宋" w:cs="Times New Roman"/>
                <w:kern w:val="0"/>
                <w:szCs w:val="21"/>
              </w:rPr>
              <w:t>农产品主产区</w:t>
            </w:r>
          </w:p>
        </w:tc>
        <w:tc>
          <w:tcPr>
            <w:tcW w:w="1397" w:type="dxa"/>
            <w:tcBorders>
              <w:top w:val="single" w:color="auto" w:sz="4" w:space="0"/>
              <w:left w:val="single" w:color="auto" w:sz="4" w:space="0"/>
              <w:bottom w:val="single" w:color="auto" w:sz="4" w:space="0"/>
            </w:tcBorders>
            <w:vAlign w:val="center"/>
          </w:tcPr>
          <w:p w14:paraId="110B5878">
            <w:pPr>
              <w:widowControl/>
              <w:jc w:val="center"/>
              <w:rPr>
                <w:rFonts w:ascii="Times New Roman" w:hAnsi="Times New Roman" w:eastAsia="仿宋" w:cs="Times New Roman"/>
                <w:szCs w:val="21"/>
              </w:rPr>
            </w:pPr>
            <w:r>
              <w:rPr>
                <w:rFonts w:ascii="Times New Roman" w:hAnsi="Times New Roman" w:eastAsia="仿宋" w:cs="Times New Roman"/>
                <w:szCs w:val="21"/>
              </w:rPr>
              <w:t>农产品贸易、农产品加工等。</w:t>
            </w:r>
          </w:p>
        </w:tc>
        <w:tc>
          <w:tcPr>
            <w:tcW w:w="4721" w:type="dxa"/>
            <w:vAlign w:val="center"/>
          </w:tcPr>
          <w:p w14:paraId="0155327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6019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84AE9B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0"/>
            <w:vAlign w:val="center"/>
          </w:tcPr>
          <w:p w14:paraId="3AA267B1">
            <w:pPr>
              <w:widowControl/>
              <w:rPr>
                <w:rFonts w:ascii="Times New Roman" w:hAnsi="Times New Roman" w:eastAsia="仿宋" w:cs="Times New Roman"/>
                <w:szCs w:val="21"/>
              </w:rPr>
            </w:pPr>
            <w:r>
              <w:rPr>
                <w:rFonts w:ascii="Times New Roman" w:hAnsi="Times New Roman" w:eastAsia="仿宋" w:cs="Times New Roman"/>
                <w:b/>
                <w:kern w:val="0"/>
                <w:szCs w:val="21"/>
              </w:rPr>
              <w:t>黄泥塘镇</w:t>
            </w:r>
            <w:r>
              <w:rPr>
                <w:rFonts w:ascii="Times New Roman" w:hAnsi="Times New Roman" w:eastAsia="仿宋" w:cs="Times New Roman"/>
                <w:szCs w:val="21"/>
              </w:rPr>
              <w:t>：</w:t>
            </w:r>
          </w:p>
          <w:p w14:paraId="0C6D7DDC">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湿地公园/生物多样性保护功能重要区/原生态红线/水土流失敏感区）；水环境一般管控区/水环境优先保护区；大气环境优先保护区/大气环境受体敏感重点管控区/大气环境弱扩散重点管控区；农用地优先保护区/其他重点管控区/一般管控区</w:t>
            </w:r>
          </w:p>
          <w:p w14:paraId="4AF3A69D">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进宝塘镇：</w:t>
            </w:r>
          </w:p>
          <w:p w14:paraId="7813CBEF">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原生态红线/水土流失敏感区/三区三线生态红线）；水环境一般管控区/水环境优先保护区；大气环境优先保护区/大气环境受体敏感重点管控区/大气环境弱扩散重点管控区；农用地优先保护区/其他重点管控区/一般管控区</w:t>
            </w:r>
          </w:p>
        </w:tc>
      </w:tr>
      <w:tr w14:paraId="5524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957B294">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38" w:type="dxa"/>
            <w:gridSpan w:val="9"/>
            <w:vAlign w:val="center"/>
          </w:tcPr>
          <w:p w14:paraId="56AE88C8">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721" w:type="dxa"/>
            <w:vAlign w:val="center"/>
          </w:tcPr>
          <w:p w14:paraId="774BB2F4">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274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1134" w:type="dxa"/>
            <w:vAlign w:val="center"/>
          </w:tcPr>
          <w:p w14:paraId="3D5A429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38" w:type="dxa"/>
            <w:gridSpan w:val="9"/>
            <w:vAlign w:val="center"/>
          </w:tcPr>
          <w:p w14:paraId="143971A1">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（1.1）畜禽养殖产业布局应符合《祁阳县畜禽养殖布局规划》（2020-2024年）的要求。</w:t>
            </w:r>
          </w:p>
          <w:p w14:paraId="6A6C62FC">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（1.2）湖南祁阳浯溪国家湿地公园：执行《湖南祁阳浯溪国家湿地公园保护管理办法》相关规定。</w:t>
            </w:r>
          </w:p>
          <w:p w14:paraId="61A73FA8">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（1.3）开展沿江化工污染整治，落实湘江干流（祁阳段）及主要支流岸线1公里范围内不准新建、扩建化工园区和化工项目要求，依法淘汰取缔违法违规工业园区。</w:t>
            </w:r>
          </w:p>
          <w:p w14:paraId="530FD93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（1.4）生态保护红线内自然保护区、风景名胜区、饮用水水源保护区等区域依照法律法规执行。</w:t>
            </w:r>
          </w:p>
        </w:tc>
        <w:tc>
          <w:tcPr>
            <w:tcW w:w="4721" w:type="dxa"/>
            <w:vMerge w:val="restart"/>
            <w:vAlign w:val="center"/>
          </w:tcPr>
          <w:p w14:paraId="101392F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77EC6F51">
            <w:pPr>
              <w:widowControl/>
              <w:rPr>
                <w:rFonts w:ascii="Times New Roman" w:hAnsi="Times New Roman" w:eastAsia="仿宋" w:cs="Times New Roman"/>
                <w:szCs w:val="21"/>
              </w:rPr>
            </w:pPr>
            <w:r>
              <w:rPr>
                <w:rFonts w:ascii="Times New Roman" w:hAnsi="Times New Roman" w:eastAsia="仿宋" w:cs="Times New Roman"/>
                <w:szCs w:val="21"/>
              </w:rPr>
              <w:t>（1.2）《湖南祁阳浯溪国家湿地公园保护管理办法》；</w:t>
            </w:r>
          </w:p>
          <w:p w14:paraId="1A1FC277">
            <w:pPr>
              <w:widowControl/>
              <w:rPr>
                <w:rFonts w:ascii="Times New Roman" w:hAnsi="Times New Roman" w:eastAsia="仿宋" w:cs="Times New Roman"/>
                <w:szCs w:val="21"/>
              </w:rPr>
            </w:pPr>
            <w:r>
              <w:rPr>
                <w:rFonts w:ascii="Times New Roman" w:hAnsi="Times New Roman" w:eastAsia="仿宋" w:cs="Times New Roman"/>
                <w:szCs w:val="21"/>
              </w:rPr>
              <w:t>（1.3）《永州市祁阳市“十四五”生态环境保护规划》；</w:t>
            </w:r>
          </w:p>
          <w:p w14:paraId="1705CE8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（1.4）《祁阳市国土空间总体规划（2021-2035年）》；</w:t>
            </w:r>
          </w:p>
          <w:p w14:paraId="02B02DC5">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6BAF8021">
            <w:pPr>
              <w:widowControl/>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1307CE74">
            <w:pPr>
              <w:widowControl/>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《祁阳市突发环境事件应急预案》；</w:t>
            </w:r>
          </w:p>
          <w:p w14:paraId="6362BD32">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19650643">
            <w:pPr>
              <w:widowControl/>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6BEE8BB1">
            <w:pPr>
              <w:widowControl/>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61DA2923">
            <w:pPr>
              <w:widowControl/>
              <w:rPr>
                <w:rFonts w:ascii="Times New Roman" w:hAnsi="Times New Roman" w:eastAsia="仿宋" w:cs="Times New Roman"/>
                <w:szCs w:val="21"/>
              </w:rPr>
            </w:pPr>
            <w:r>
              <w:rPr>
                <w:rFonts w:ascii="Times New Roman" w:hAnsi="Times New Roman" w:eastAsia="仿宋" w:cs="Times New Roman"/>
                <w:szCs w:val="21"/>
              </w:rPr>
              <w:t>（4.3）《祁阳市国土空间总体规划（2021-2035年）》；</w:t>
            </w:r>
          </w:p>
          <w:p w14:paraId="046C94C0">
            <w:pPr>
              <w:widowControl/>
              <w:rPr>
                <w:rFonts w:ascii="Times New Roman" w:hAnsi="Times New Roman" w:eastAsia="仿宋" w:cs="Times New Roman"/>
                <w:szCs w:val="21"/>
              </w:rPr>
            </w:pPr>
            <w:r>
              <w:rPr>
                <w:rFonts w:ascii="Times New Roman" w:hAnsi="Times New Roman" w:eastAsia="仿宋" w:cs="Times New Roman"/>
                <w:szCs w:val="21"/>
              </w:rPr>
              <w:t>（4.4）《祁阳县人民政府关于调整高污染燃料禁燃区的通知》（祁政发〔2020〕23号）。</w:t>
            </w:r>
          </w:p>
        </w:tc>
      </w:tr>
      <w:tr w14:paraId="1C08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90534A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38" w:type="dxa"/>
            <w:gridSpan w:val="9"/>
            <w:vAlign w:val="center"/>
          </w:tcPr>
          <w:p w14:paraId="5CDDD411">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508529D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721" w:type="dxa"/>
            <w:vMerge w:val="continue"/>
            <w:vAlign w:val="center"/>
          </w:tcPr>
          <w:p w14:paraId="7475C320">
            <w:pPr>
              <w:widowControl/>
              <w:jc w:val="left"/>
              <w:rPr>
                <w:rFonts w:ascii="Times New Roman" w:hAnsi="Times New Roman" w:eastAsia="仿宋" w:cs="Times New Roman"/>
                <w:szCs w:val="21"/>
              </w:rPr>
            </w:pPr>
          </w:p>
        </w:tc>
      </w:tr>
      <w:tr w14:paraId="3EBD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FA1E22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38" w:type="dxa"/>
            <w:gridSpan w:val="9"/>
            <w:vAlign w:val="center"/>
          </w:tcPr>
          <w:p w14:paraId="6FD7ADF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721" w:type="dxa"/>
            <w:vMerge w:val="continue"/>
            <w:vAlign w:val="center"/>
          </w:tcPr>
          <w:p w14:paraId="68427E33">
            <w:pPr>
              <w:widowControl/>
              <w:jc w:val="left"/>
              <w:rPr>
                <w:rFonts w:ascii="Times New Roman" w:hAnsi="Times New Roman" w:eastAsia="仿宋" w:cs="Times New Roman"/>
                <w:szCs w:val="21"/>
              </w:rPr>
            </w:pPr>
          </w:p>
        </w:tc>
      </w:tr>
      <w:tr w14:paraId="1F61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83F14D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38" w:type="dxa"/>
            <w:gridSpan w:val="9"/>
            <w:vAlign w:val="center"/>
          </w:tcPr>
          <w:p w14:paraId="0462BD8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416AA048">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1A6DA55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2AFB281D">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72628AFE">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7CCA3C65">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327F7F7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6725806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（4.4）</w:t>
            </w:r>
            <w:r>
              <w:rPr>
                <w:rFonts w:ascii="Times New Roman" w:hAnsi="Times New Roman" w:eastAsia="仿宋" w:cs="Times New Roman"/>
                <w:b/>
                <w:bCs/>
                <w:szCs w:val="21"/>
              </w:rPr>
              <w:t>黄泥塘镇：</w:t>
            </w:r>
            <w:r>
              <w:rPr>
                <w:rFonts w:ascii="Times New Roman" w:hAnsi="Times New Roman" w:eastAsia="仿宋" w:cs="Times New Roman"/>
                <w:szCs w:val="21"/>
              </w:rPr>
              <w:t>高污染燃料禁燃区执行《祁阳县人民政府关于调整高污染燃料禁燃区的通知》（祁政发〔2020〕23号）有关规定。</w:t>
            </w:r>
          </w:p>
        </w:tc>
        <w:tc>
          <w:tcPr>
            <w:tcW w:w="4721" w:type="dxa"/>
            <w:vMerge w:val="continue"/>
            <w:vAlign w:val="center"/>
          </w:tcPr>
          <w:p w14:paraId="776D0FAB">
            <w:pPr>
              <w:widowControl/>
              <w:jc w:val="left"/>
              <w:rPr>
                <w:rFonts w:ascii="Times New Roman" w:hAnsi="Times New Roman" w:eastAsia="仿宋" w:cs="Times New Roman"/>
                <w:szCs w:val="21"/>
              </w:rPr>
            </w:pPr>
          </w:p>
        </w:tc>
      </w:tr>
    </w:tbl>
    <w:p w14:paraId="04EFC181">
      <w:pPr>
        <w:widowControl/>
        <w:jc w:val="left"/>
        <w:rPr>
          <w:rFonts w:ascii="Times New Roman" w:hAnsi="Times New Roman" w:eastAsia="仿宋" w:cs="Times New Roman"/>
          <w:szCs w:val="21"/>
        </w:rPr>
      </w:pPr>
    </w:p>
    <w:p w14:paraId="1918AD39">
      <w:pPr>
        <w:widowControl/>
        <w:jc w:val="left"/>
        <w:rPr>
          <w:rFonts w:ascii="Times New Roman" w:hAnsi="Times New Roman" w:eastAsia="仿宋" w:cs="Times New Roman"/>
          <w:szCs w:val="21"/>
        </w:rPr>
      </w:pPr>
    </w:p>
    <w:p w14:paraId="7D3B9CC4">
      <w:pPr>
        <w:widowControl/>
        <w:jc w:val="left"/>
        <w:rPr>
          <w:rFonts w:ascii="Times New Roman" w:hAnsi="Times New Roman" w:eastAsia="仿宋" w:cs="Times New Roman"/>
          <w:szCs w:val="21"/>
        </w:rPr>
      </w:pPr>
    </w:p>
    <w:tbl>
      <w:tblPr>
        <w:tblStyle w:val="20"/>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696"/>
        <w:gridCol w:w="425"/>
        <w:gridCol w:w="425"/>
        <w:gridCol w:w="426"/>
        <w:gridCol w:w="709"/>
        <w:gridCol w:w="1134"/>
        <w:gridCol w:w="1701"/>
        <w:gridCol w:w="1417"/>
        <w:gridCol w:w="540"/>
        <w:gridCol w:w="3429"/>
        <w:gridCol w:w="1139"/>
      </w:tblGrid>
      <w:tr w14:paraId="7CC0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404579C">
            <w:pPr>
              <w:widowControl/>
              <w:jc w:val="center"/>
              <w:rPr>
                <w:rFonts w:ascii="Times New Roman" w:hAnsi="Times New Roman" w:eastAsia="仿宋" w:cs="Times New Roman"/>
                <w:b/>
                <w:kern w:val="0"/>
                <w:szCs w:val="21"/>
              </w:rPr>
            </w:pPr>
            <w:r>
              <w:rPr>
                <w:rFonts w:ascii="Times New Roman" w:hAnsi="Times New Roman" w:eastAsia="仿宋" w:cs="Times New Roman"/>
                <w:szCs w:val="21"/>
              </w:rPr>
              <w:br w:type="page"/>
            </w:r>
            <w:r>
              <w:rPr>
                <w:rFonts w:ascii="Times New Roman" w:hAnsi="Times New Roman" w:eastAsia="仿宋" w:cs="Times New Roman"/>
                <w:b/>
                <w:kern w:val="0"/>
                <w:szCs w:val="21"/>
              </w:rPr>
              <w:t>环境管控单元编码</w:t>
            </w:r>
          </w:p>
        </w:tc>
        <w:tc>
          <w:tcPr>
            <w:tcW w:w="1696" w:type="dxa"/>
            <w:vMerge w:val="restart"/>
            <w:vAlign w:val="center"/>
          </w:tcPr>
          <w:p w14:paraId="7772F8E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3"/>
            <w:vAlign w:val="center"/>
          </w:tcPr>
          <w:p w14:paraId="115704C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0709F82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0759BA3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701" w:type="dxa"/>
            <w:vMerge w:val="restart"/>
            <w:vAlign w:val="center"/>
          </w:tcPr>
          <w:p w14:paraId="7E2521B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957" w:type="dxa"/>
            <w:gridSpan w:val="2"/>
            <w:vMerge w:val="restart"/>
            <w:vAlign w:val="center"/>
          </w:tcPr>
          <w:p w14:paraId="58A35FB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429" w:type="dxa"/>
            <w:vMerge w:val="restart"/>
            <w:vAlign w:val="center"/>
          </w:tcPr>
          <w:p w14:paraId="0944C5A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139" w:type="dxa"/>
            <w:vMerge w:val="restart"/>
            <w:vAlign w:val="center"/>
          </w:tcPr>
          <w:p w14:paraId="11E3C9B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458A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6524680">
            <w:pPr>
              <w:widowControl/>
              <w:jc w:val="left"/>
              <w:rPr>
                <w:rFonts w:ascii="Times New Roman" w:hAnsi="Times New Roman" w:eastAsia="仿宋" w:cs="Times New Roman"/>
                <w:b/>
                <w:kern w:val="0"/>
                <w:szCs w:val="21"/>
              </w:rPr>
            </w:pPr>
          </w:p>
        </w:tc>
        <w:tc>
          <w:tcPr>
            <w:tcW w:w="1696" w:type="dxa"/>
            <w:vMerge w:val="continue"/>
            <w:vAlign w:val="center"/>
          </w:tcPr>
          <w:p w14:paraId="01A2E210">
            <w:pPr>
              <w:widowControl/>
              <w:jc w:val="left"/>
              <w:rPr>
                <w:rFonts w:ascii="Times New Roman" w:hAnsi="Times New Roman" w:eastAsia="仿宋" w:cs="Times New Roman"/>
                <w:b/>
                <w:kern w:val="0"/>
                <w:szCs w:val="21"/>
              </w:rPr>
            </w:pPr>
          </w:p>
        </w:tc>
        <w:tc>
          <w:tcPr>
            <w:tcW w:w="425" w:type="dxa"/>
            <w:vAlign w:val="center"/>
          </w:tcPr>
          <w:p w14:paraId="78726D6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2B5037C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6" w:type="dxa"/>
            <w:vAlign w:val="center"/>
          </w:tcPr>
          <w:p w14:paraId="07D3BF3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1E016F39">
            <w:pPr>
              <w:widowControl/>
              <w:jc w:val="left"/>
              <w:rPr>
                <w:rFonts w:ascii="Times New Roman" w:hAnsi="Times New Roman" w:eastAsia="仿宋" w:cs="Times New Roman"/>
                <w:b/>
                <w:kern w:val="0"/>
                <w:szCs w:val="21"/>
              </w:rPr>
            </w:pPr>
          </w:p>
        </w:tc>
        <w:tc>
          <w:tcPr>
            <w:tcW w:w="1134" w:type="dxa"/>
            <w:vMerge w:val="continue"/>
            <w:vAlign w:val="center"/>
          </w:tcPr>
          <w:p w14:paraId="695F614F">
            <w:pPr>
              <w:widowControl/>
              <w:jc w:val="left"/>
              <w:rPr>
                <w:rFonts w:ascii="Times New Roman" w:hAnsi="Times New Roman" w:eastAsia="仿宋" w:cs="Times New Roman"/>
                <w:b/>
                <w:kern w:val="0"/>
                <w:szCs w:val="21"/>
              </w:rPr>
            </w:pPr>
          </w:p>
        </w:tc>
        <w:tc>
          <w:tcPr>
            <w:tcW w:w="1701" w:type="dxa"/>
            <w:vMerge w:val="continue"/>
            <w:vAlign w:val="center"/>
          </w:tcPr>
          <w:p w14:paraId="74476965">
            <w:pPr>
              <w:widowControl/>
              <w:jc w:val="left"/>
              <w:rPr>
                <w:rFonts w:ascii="Times New Roman" w:hAnsi="Times New Roman" w:eastAsia="仿宋" w:cs="Times New Roman"/>
                <w:b/>
                <w:kern w:val="0"/>
                <w:szCs w:val="21"/>
              </w:rPr>
            </w:pPr>
          </w:p>
        </w:tc>
        <w:tc>
          <w:tcPr>
            <w:tcW w:w="1957" w:type="dxa"/>
            <w:gridSpan w:val="2"/>
            <w:vMerge w:val="continue"/>
            <w:vAlign w:val="center"/>
          </w:tcPr>
          <w:p w14:paraId="4369DD21">
            <w:pPr>
              <w:widowControl/>
              <w:jc w:val="left"/>
              <w:rPr>
                <w:rFonts w:ascii="Times New Roman" w:hAnsi="Times New Roman" w:eastAsia="仿宋" w:cs="Times New Roman"/>
                <w:b/>
                <w:kern w:val="0"/>
                <w:szCs w:val="21"/>
              </w:rPr>
            </w:pPr>
          </w:p>
        </w:tc>
        <w:tc>
          <w:tcPr>
            <w:tcW w:w="3429" w:type="dxa"/>
            <w:vMerge w:val="continue"/>
            <w:vAlign w:val="center"/>
          </w:tcPr>
          <w:p w14:paraId="0DAE2DE2">
            <w:pPr>
              <w:widowControl/>
              <w:jc w:val="left"/>
              <w:rPr>
                <w:rFonts w:ascii="Times New Roman" w:hAnsi="Times New Roman" w:eastAsia="仿宋" w:cs="Times New Roman"/>
                <w:b/>
                <w:kern w:val="0"/>
                <w:szCs w:val="21"/>
              </w:rPr>
            </w:pPr>
          </w:p>
        </w:tc>
        <w:tc>
          <w:tcPr>
            <w:tcW w:w="1139" w:type="dxa"/>
            <w:vMerge w:val="continue"/>
            <w:vAlign w:val="center"/>
          </w:tcPr>
          <w:p w14:paraId="37037E79">
            <w:pPr>
              <w:widowControl/>
              <w:jc w:val="left"/>
              <w:rPr>
                <w:rFonts w:ascii="Times New Roman" w:hAnsi="Times New Roman" w:eastAsia="仿宋" w:cs="Times New Roman"/>
                <w:b/>
                <w:kern w:val="0"/>
                <w:szCs w:val="21"/>
              </w:rPr>
            </w:pPr>
          </w:p>
        </w:tc>
      </w:tr>
      <w:tr w14:paraId="52B4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AC187A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ZH43112120002</w:t>
            </w:r>
          </w:p>
        </w:tc>
        <w:tc>
          <w:tcPr>
            <w:tcW w:w="1696" w:type="dxa"/>
            <w:vAlign w:val="center"/>
          </w:tcPr>
          <w:p w14:paraId="3F80CEC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观音滩镇/龙山街道/茅竹镇/三口塘镇/浯溪街道/下马渡镇/长虹街道</w:t>
            </w:r>
          </w:p>
        </w:tc>
        <w:tc>
          <w:tcPr>
            <w:tcW w:w="425" w:type="dxa"/>
            <w:vAlign w:val="center"/>
          </w:tcPr>
          <w:p w14:paraId="7990D12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71F6A8AE">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6" w:type="dxa"/>
            <w:vAlign w:val="center"/>
          </w:tcPr>
          <w:p w14:paraId="6AA0265B">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709" w:type="dxa"/>
            <w:vAlign w:val="center"/>
          </w:tcPr>
          <w:p w14:paraId="6F41898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134" w:type="dxa"/>
            <w:vAlign w:val="center"/>
          </w:tcPr>
          <w:p w14:paraId="0E882875">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344.70</w:t>
            </w:r>
          </w:p>
        </w:tc>
        <w:tc>
          <w:tcPr>
            <w:tcW w:w="1701" w:type="dxa"/>
            <w:vAlign w:val="center"/>
          </w:tcPr>
          <w:p w14:paraId="3DE799A1">
            <w:pPr>
              <w:widowControl/>
              <w:rPr>
                <w:rFonts w:ascii="Times New Roman" w:hAnsi="Times New Roman" w:eastAsia="仿宋" w:cs="Times New Roman"/>
                <w:szCs w:val="21"/>
              </w:rPr>
            </w:pPr>
            <w:r>
              <w:rPr>
                <w:rFonts w:ascii="Times New Roman" w:hAnsi="Times New Roman" w:eastAsia="仿宋" w:cs="Times New Roman"/>
                <w:kern w:val="0"/>
                <w:szCs w:val="21"/>
              </w:rPr>
              <w:t>观音滩镇/龙山街道/茅竹镇/三口塘镇/浯溪街道/下马渡镇/长虹街道</w:t>
            </w:r>
          </w:p>
        </w:tc>
        <w:tc>
          <w:tcPr>
            <w:tcW w:w="1957" w:type="dxa"/>
            <w:gridSpan w:val="2"/>
            <w:vAlign w:val="center"/>
          </w:tcPr>
          <w:p w14:paraId="7ED5100C">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观音滩镇、茅竹镇、三口塘镇：</w:t>
            </w:r>
            <w:r>
              <w:rPr>
                <w:rFonts w:ascii="Times New Roman" w:hAnsi="Times New Roman" w:eastAsia="仿宋" w:cs="Times New Roman"/>
                <w:kern w:val="0"/>
                <w:szCs w:val="21"/>
              </w:rPr>
              <w:t>农产品主产区；</w:t>
            </w:r>
          </w:p>
          <w:p w14:paraId="50A6E22B">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龙山街道、浯溪街道、长虹街道：</w:t>
            </w:r>
            <w:r>
              <w:rPr>
                <w:rFonts w:ascii="Times New Roman" w:hAnsi="Times New Roman" w:eastAsia="仿宋" w:cs="Times New Roman"/>
                <w:kern w:val="0"/>
                <w:szCs w:val="21"/>
              </w:rPr>
              <w:t>城市化地区；</w:t>
            </w:r>
          </w:p>
          <w:p w14:paraId="47B1490F">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下马渡镇：</w:t>
            </w:r>
            <w:r>
              <w:rPr>
                <w:rFonts w:ascii="Times New Roman" w:hAnsi="Times New Roman" w:eastAsia="仿宋" w:cs="Times New Roman"/>
                <w:kern w:val="0"/>
                <w:szCs w:val="21"/>
              </w:rPr>
              <w:t>重点生态功能区</w:t>
            </w:r>
          </w:p>
        </w:tc>
        <w:tc>
          <w:tcPr>
            <w:tcW w:w="3429" w:type="dxa"/>
            <w:vAlign w:val="center"/>
          </w:tcPr>
          <w:p w14:paraId="53897D77">
            <w:pPr>
              <w:pStyle w:val="8"/>
              <w:spacing w:after="0"/>
              <w:rPr>
                <w:rFonts w:eastAsia="仿宋"/>
                <w:sz w:val="21"/>
                <w:szCs w:val="21"/>
              </w:rPr>
            </w:pPr>
            <w:r>
              <w:rPr>
                <w:rFonts w:eastAsia="仿宋"/>
                <w:b/>
                <w:bCs/>
                <w:sz w:val="21"/>
                <w:szCs w:val="21"/>
              </w:rPr>
              <w:t>观音滩镇</w:t>
            </w:r>
            <w:r>
              <w:rPr>
                <w:rFonts w:eastAsia="仿宋"/>
                <w:sz w:val="21"/>
                <w:szCs w:val="21"/>
              </w:rPr>
              <w:t>：农业、农林产品加工、生态旅游。</w:t>
            </w:r>
          </w:p>
          <w:p w14:paraId="51146D10">
            <w:pPr>
              <w:widowControl/>
              <w:rPr>
                <w:rFonts w:ascii="Times New Roman" w:hAnsi="Times New Roman" w:eastAsia="仿宋" w:cs="Times New Roman"/>
                <w:szCs w:val="21"/>
              </w:rPr>
            </w:pPr>
            <w:r>
              <w:rPr>
                <w:rFonts w:ascii="Times New Roman" w:hAnsi="Times New Roman" w:eastAsia="仿宋" w:cs="Times New Roman"/>
                <w:b/>
                <w:bCs/>
                <w:szCs w:val="21"/>
                <w:lang w:eastAsia="zh-Hans"/>
              </w:rPr>
              <w:t>龙山街道、</w:t>
            </w:r>
            <w:r>
              <w:rPr>
                <w:rFonts w:ascii="Times New Roman" w:hAnsi="Times New Roman" w:eastAsia="仿宋" w:cs="Times New Roman"/>
                <w:b/>
                <w:bCs/>
                <w:szCs w:val="21"/>
              </w:rPr>
              <w:t>七里桥镇、三口塘镇</w:t>
            </w:r>
            <w:r>
              <w:rPr>
                <w:rFonts w:ascii="Times New Roman" w:hAnsi="Times New Roman" w:eastAsia="仿宋" w:cs="Times New Roman"/>
                <w:szCs w:val="21"/>
              </w:rPr>
              <w:t>、</w:t>
            </w:r>
            <w:r>
              <w:rPr>
                <w:rFonts w:ascii="Times New Roman" w:hAnsi="Times New Roman" w:eastAsia="仿宋" w:cs="Times New Roman"/>
                <w:b/>
                <w:bCs/>
                <w:szCs w:val="21"/>
              </w:rPr>
              <w:t>下马渡镇</w:t>
            </w:r>
            <w:r>
              <w:rPr>
                <w:rFonts w:ascii="Times New Roman" w:hAnsi="Times New Roman" w:eastAsia="仿宋" w:cs="Times New Roman"/>
                <w:b/>
                <w:bCs/>
                <w:szCs w:val="21"/>
                <w:lang w:eastAsia="zh-Hans"/>
              </w:rPr>
              <w:t>：</w:t>
            </w:r>
            <w:r>
              <w:rPr>
                <w:rFonts w:ascii="Times New Roman" w:hAnsi="Times New Roman" w:eastAsia="仿宋" w:cs="Times New Roman"/>
                <w:szCs w:val="21"/>
              </w:rPr>
              <w:t>农业、生态旅游。</w:t>
            </w:r>
          </w:p>
          <w:p w14:paraId="2DBA7CA0">
            <w:pPr>
              <w:pStyle w:val="8"/>
              <w:spacing w:after="0"/>
              <w:rPr>
                <w:rFonts w:eastAsia="仿宋"/>
                <w:sz w:val="21"/>
                <w:szCs w:val="21"/>
              </w:rPr>
            </w:pPr>
            <w:r>
              <w:rPr>
                <w:rFonts w:eastAsia="仿宋"/>
                <w:b/>
                <w:bCs/>
                <w:sz w:val="21"/>
                <w:szCs w:val="21"/>
              </w:rPr>
              <w:t>茅竹镇：</w:t>
            </w:r>
            <w:r>
              <w:rPr>
                <w:rFonts w:eastAsia="仿宋"/>
                <w:sz w:val="21"/>
                <w:szCs w:val="21"/>
              </w:rPr>
              <w:t>农业、农林产品加工。</w:t>
            </w:r>
          </w:p>
          <w:p w14:paraId="2DD3740F">
            <w:pPr>
              <w:widowControl/>
              <w:rPr>
                <w:rFonts w:ascii="Times New Roman" w:hAnsi="Times New Roman" w:eastAsia="仿宋" w:cs="Times New Roman"/>
                <w:szCs w:val="21"/>
              </w:rPr>
            </w:pPr>
            <w:r>
              <w:rPr>
                <w:rFonts w:ascii="Times New Roman" w:hAnsi="Times New Roman" w:eastAsia="仿宋" w:cs="Times New Roman"/>
                <w:b/>
                <w:bCs/>
                <w:szCs w:val="21"/>
              </w:rPr>
              <w:t>浯溪街道、长虹街道：</w:t>
            </w:r>
            <w:r>
              <w:rPr>
                <w:rFonts w:ascii="Times New Roman" w:hAnsi="Times New Roman" w:eastAsia="仿宋" w:cs="Times New Roman"/>
                <w:szCs w:val="21"/>
              </w:rPr>
              <w:t>服务业。</w:t>
            </w:r>
          </w:p>
        </w:tc>
        <w:tc>
          <w:tcPr>
            <w:tcW w:w="1139" w:type="dxa"/>
            <w:vAlign w:val="center"/>
          </w:tcPr>
          <w:p w14:paraId="1E8A08F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763E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FE5448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41" w:type="dxa"/>
            <w:gridSpan w:val="11"/>
            <w:vAlign w:val="center"/>
          </w:tcPr>
          <w:p w14:paraId="5C865238">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观音滩镇：</w:t>
            </w:r>
          </w:p>
          <w:p w14:paraId="3E08B24F">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原生态红线/水土流失敏感区）；水环境优先保护区/水环境工业污染重点管控区/水环境一般管控区；大气环境优先保护区/大气环境高排放重点管控区/大气环境受体敏感重点管控区/大气环境布局敏感重点管控区/大气环境弱扩散重点管控区；农用地优先保护区/农用地重点管控区/建设用地重点管控区/一般管控区；高污染燃料禁燃区</w:t>
            </w:r>
          </w:p>
          <w:p w14:paraId="79D9780D">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龙山街道：</w:t>
            </w:r>
          </w:p>
          <w:p w14:paraId="00C08C3B">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湿地公园）；水环境优先保护区/水环境城镇生活污染重点管控区/水环境一般管控区；大气环境优先保护区/大气环境高排放重点管控区/大气环境受体敏感重点管控区/大气环境布局敏感重点管控区；农用地优先保护区/ 建设用地重点管控区/一般管控区；高污染燃料禁燃区</w:t>
            </w:r>
          </w:p>
          <w:p w14:paraId="308D2D4C">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茅竹镇：</w:t>
            </w:r>
          </w:p>
          <w:p w14:paraId="3C0D46D0">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原生态红线/水土流失敏感区/生物多样性保护功能重要区/三区三线生态红线）；水环境一般管控区/水环境优先保护区；大气环境优先保护区/大气环境高排放重点管控区/大气环境受体敏感重点管控区/大气环境弱扩散重点管控区；农用地优先保护区/建设用地重点管控区/其他重点管控区/一般管控区</w:t>
            </w:r>
          </w:p>
          <w:p w14:paraId="6C530FAB">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三口塘镇：</w:t>
            </w:r>
          </w:p>
          <w:p w14:paraId="33CBA96D">
            <w:pPr>
              <w:widowControl/>
              <w:rPr>
                <w:rFonts w:ascii="Times New Roman" w:hAnsi="Times New Roman" w:eastAsia="仿宋" w:cs="Times New Roman"/>
                <w:kern w:val="0"/>
                <w:szCs w:val="21"/>
              </w:rPr>
            </w:pPr>
            <w:r>
              <w:rPr>
                <w:rFonts w:ascii="Times New Roman" w:hAnsi="Times New Roman" w:eastAsia="仿宋" w:cs="Times New Roman"/>
                <w:kern w:val="0"/>
                <w:szCs w:val="21"/>
              </w:rPr>
              <w:t>一般生态空间（水源涵养重要区/原生态红线/水土流失敏感区）；水环境一般管控区；大气环境受体敏感重点管控区/大气环境弱扩散重点管控区；农用地优先保护区/其他重点管控区/一般管控区</w:t>
            </w:r>
          </w:p>
          <w:p w14:paraId="01D8353D">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浯溪街道：</w:t>
            </w:r>
          </w:p>
          <w:p w14:paraId="3CF6D709">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湿地公园/原生态红线/水土流失敏感区/生物多样性保护功能重要区/水源涵养重要区）；水环境优先保护区/水环境城镇生活污染重点管控区/水环境工业污染重点管控区/水环境一般管控区；大气环境优先保护区/大气环境高排放重点管控区/大气环境受体敏感重点管控区/大气环境布局敏感重点管控区/大气环境弱扩散重点管控区；农用地优先保护区/其他重点管控区/一般管控区；高污染燃料禁燃区</w:t>
            </w:r>
          </w:p>
          <w:p w14:paraId="2A1C2D83">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下马渡镇：</w:t>
            </w:r>
          </w:p>
          <w:p w14:paraId="6614665A">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自然保护区/水源涵养重要区/风景名胜区/三区三线生态红线/湿地公园/原生态红线/水土流失敏感区/生物多样性保护功能重要区）；水环境一般管控区/水环境优先保护区；大气环境优先保护区/大气环境受体敏感重点管控区/大气环境布局敏感重点管控区；农用地优先保护区/建设用地重点管控区/其他重点管控区/一般管控区</w:t>
            </w:r>
          </w:p>
          <w:p w14:paraId="00AA70A6">
            <w:pPr>
              <w:widowControl/>
              <w:rPr>
                <w:rFonts w:ascii="Times New Roman" w:hAnsi="Times New Roman" w:eastAsia="仿宋" w:cs="Times New Roman"/>
                <w:b/>
                <w:bCs/>
                <w:kern w:val="0"/>
                <w:szCs w:val="21"/>
              </w:rPr>
            </w:pPr>
            <w:r>
              <w:rPr>
                <w:rFonts w:eastAsia="仿宋"/>
                <w:b/>
                <w:bCs/>
                <w:szCs w:val="21"/>
              </w:rPr>
              <w:t>长虹街</w:t>
            </w:r>
            <w:r>
              <w:rPr>
                <w:rFonts w:ascii="Times New Roman" w:hAnsi="Times New Roman" w:eastAsia="仿宋" w:cs="Times New Roman"/>
                <w:b/>
                <w:bCs/>
                <w:kern w:val="0"/>
                <w:szCs w:val="21"/>
              </w:rPr>
              <w:t>道：</w:t>
            </w:r>
          </w:p>
          <w:p w14:paraId="715BF5E8">
            <w:pPr>
              <w:widowControl/>
              <w:rPr>
                <w:rFonts w:ascii="Times New Roman" w:hAnsi="Times New Roman" w:eastAsia="仿宋" w:cs="Times New Roman"/>
                <w:kern w:val="0"/>
                <w:szCs w:val="21"/>
              </w:rPr>
            </w:pPr>
            <w:r>
              <w:rPr>
                <w:rFonts w:ascii="Times New Roman" w:hAnsi="Times New Roman" w:eastAsia="仿宋" w:cs="Times New Roman"/>
                <w:bCs/>
                <w:kern w:val="0"/>
                <w:szCs w:val="21"/>
              </w:rPr>
              <w:t>红线/一般生态空间（风景名胜区/三区三线生态红线/水源涵养重要区/湿地公园/原生态红线）；水环境优先保护区/水环境城镇生活污染重点管控区/水环境一般管控区；大气环境优先保护区/大气环境高排放重点管控区/大气环境受体敏感重点管控区/大气环境布局敏感重点管控区；农用地优先保护区/其他重点</w:t>
            </w:r>
            <w:r>
              <w:rPr>
                <w:rFonts w:ascii="Times New Roman" w:hAnsi="Times New Roman" w:eastAsia="仿宋" w:cs="Times New Roman"/>
                <w:kern w:val="0"/>
                <w:szCs w:val="21"/>
              </w:rPr>
              <w:t>管控区/一般管控区；高污染燃料禁燃区</w:t>
            </w:r>
          </w:p>
        </w:tc>
      </w:tr>
      <w:tr w14:paraId="7421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34" w:type="dxa"/>
            <w:vAlign w:val="center"/>
          </w:tcPr>
          <w:p w14:paraId="78A0FC8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933" w:type="dxa"/>
            <w:gridSpan w:val="8"/>
            <w:vAlign w:val="center"/>
          </w:tcPr>
          <w:p w14:paraId="216A7EF6">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108" w:type="dxa"/>
            <w:gridSpan w:val="3"/>
            <w:vAlign w:val="center"/>
          </w:tcPr>
          <w:p w14:paraId="27D784EF">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09C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jc w:val="center"/>
        </w:trPr>
        <w:tc>
          <w:tcPr>
            <w:tcW w:w="1134" w:type="dxa"/>
            <w:vAlign w:val="center"/>
          </w:tcPr>
          <w:p w14:paraId="146F758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933" w:type="dxa"/>
            <w:gridSpan w:val="8"/>
            <w:vAlign w:val="center"/>
          </w:tcPr>
          <w:p w14:paraId="732631A6">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（1.1）畜禽养殖产业布局应符合《祁阳县畜禽养殖禁养区限养区适养区划分方案》的规定。畜禽养殖产业布局应符合《祁阳县畜禽养殖布局规划》（2020-2024年）的要求。</w:t>
            </w:r>
          </w:p>
          <w:p w14:paraId="513B8303">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（1.2）湖南祁阳浯溪国家湿地公园：执行《湖南祁阳浯溪国家湿地公园保护管理办法》相关规定。</w:t>
            </w:r>
          </w:p>
          <w:p w14:paraId="7DA2745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（1.3）祁阳经济开发区调区扩区原则上不应超出省级主管部门确定的拓展空间；对园区外的现有企业加强环境监管，确保污染物达标排放。</w:t>
            </w:r>
          </w:p>
          <w:p w14:paraId="22C2B8B1">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（1.4）开展沿江化工污染整治，落实湘江干流（祁阳段）及主要支流岸线1公里范围内不准新建、扩建化工园区和化工项目要求，依法淘汰取缔违法违规工业园区。</w:t>
            </w:r>
          </w:p>
          <w:p w14:paraId="0E9C9E2F">
            <w:pPr>
              <w:pStyle w:val="8"/>
              <w:keepNext w:val="0"/>
              <w:keepLines w:val="0"/>
              <w:pageBreakBefore w:val="0"/>
              <w:widowControl w:val="0"/>
              <w:kinsoku/>
              <w:wordWrap/>
              <w:overflowPunct/>
              <w:topLinePunct w:val="0"/>
              <w:autoSpaceDE/>
              <w:autoSpaceDN/>
              <w:bidi w:val="0"/>
              <w:adjustRightInd/>
              <w:snapToGrid/>
              <w:spacing w:after="0" w:line="300" w:lineRule="exact"/>
              <w:ind w:firstLine="420" w:firstLineChars="200"/>
              <w:textAlignment w:val="auto"/>
              <w:rPr>
                <w:rFonts w:eastAsia="仿宋"/>
                <w:sz w:val="21"/>
                <w:szCs w:val="21"/>
              </w:rPr>
            </w:pPr>
            <w:r>
              <w:rPr>
                <w:rFonts w:eastAsia="仿宋"/>
                <w:sz w:val="21"/>
                <w:szCs w:val="21"/>
              </w:rPr>
              <w:t>（1.5）生态保护红线内自然保护区、风景名胜区、饮用水水源保护区等区域依照法律法规执行。</w:t>
            </w:r>
          </w:p>
        </w:tc>
        <w:tc>
          <w:tcPr>
            <w:tcW w:w="5108" w:type="dxa"/>
            <w:gridSpan w:val="3"/>
            <w:vMerge w:val="restart"/>
            <w:vAlign w:val="center"/>
          </w:tcPr>
          <w:p w14:paraId="21F839EC">
            <w:pPr>
              <w:tabs>
                <w:tab w:val="left" w:pos="1021"/>
              </w:tabs>
              <w:ind w:left="-105" w:leftChars="-50"/>
              <w:rPr>
                <w:rFonts w:ascii="Times New Roman" w:hAnsi="Times New Roman" w:eastAsia="仿宋" w:cs="Times New Roman"/>
                <w:szCs w:val="21"/>
              </w:rPr>
            </w:pPr>
            <w:r>
              <w:rPr>
                <w:rFonts w:ascii="Times New Roman" w:hAnsi="Times New Roman" w:eastAsia="仿宋" w:cs="Times New Roman"/>
                <w:szCs w:val="21"/>
              </w:rPr>
              <w:t>（1.1）《祁阳县畜禽养殖布局规划》（2020-2024年）；（1.2）《湖南祁阳浯溪国家湿地公园保护管理办法》；</w:t>
            </w:r>
          </w:p>
          <w:p w14:paraId="724A8ED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（1.4）《永州市祁阳市“十四五”生态环境保护规划》；</w:t>
            </w:r>
          </w:p>
          <w:p w14:paraId="0D35DA7A">
            <w:pPr>
              <w:adjustRightInd w:val="0"/>
              <w:snapToGrid w:val="0"/>
              <w:rPr>
                <w:rFonts w:ascii="Times New Roman" w:hAnsi="Times New Roman" w:eastAsia="仿宋" w:cs="Times New Roman"/>
                <w:szCs w:val="21"/>
              </w:rPr>
            </w:pPr>
            <w:r>
              <w:rPr>
                <w:rFonts w:ascii="Times New Roman" w:hAnsi="Times New Roman" w:eastAsia="仿宋" w:cs="Times New Roman"/>
                <w:szCs w:val="21"/>
              </w:rPr>
              <w:t>（1.5）《祁阳市国土空间总体规划（2021-2035年）》；</w:t>
            </w:r>
          </w:p>
          <w:p w14:paraId="0318573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（2.1）《永州市祁阳市“十四五”生态环境保护规划》；</w:t>
            </w:r>
          </w:p>
          <w:p w14:paraId="2B0896C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5806EBA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《祁阳市突发环境事件应急预案》；</w:t>
            </w:r>
          </w:p>
          <w:p w14:paraId="790A6562">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r>
              <w:rPr>
                <w:rFonts w:ascii="Times New Roman" w:hAnsi="Times New Roman" w:eastAsia="仿宋" w:cs="Times New Roman"/>
                <w:kern w:val="0"/>
                <w:szCs w:val="21"/>
              </w:rPr>
              <w:t>；</w:t>
            </w:r>
          </w:p>
          <w:p w14:paraId="3F9EFF5B">
            <w:pPr>
              <w:adjustRightInd w:val="0"/>
              <w:snapToGrid w:val="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7EB782DD">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5078CC4B">
            <w:pPr>
              <w:rPr>
                <w:rFonts w:ascii="Times New Roman" w:hAnsi="Times New Roman" w:eastAsia="仿宋" w:cs="Times New Roman"/>
                <w:kern w:val="0"/>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p w14:paraId="3FDDCA9C">
            <w:pPr>
              <w:rPr>
                <w:rFonts w:ascii="Times New Roman" w:hAnsi="Times New Roman" w:eastAsia="仿宋" w:cs="Times New Roman"/>
                <w:szCs w:val="21"/>
              </w:rPr>
            </w:pPr>
            <w:r>
              <w:rPr>
                <w:rFonts w:ascii="Times New Roman" w:hAnsi="Times New Roman" w:eastAsia="仿宋" w:cs="Times New Roman"/>
                <w:kern w:val="0"/>
                <w:szCs w:val="21"/>
              </w:rPr>
              <w:t>（4.4）</w:t>
            </w:r>
            <w:r>
              <w:rPr>
                <w:rFonts w:ascii="Times New Roman" w:hAnsi="Times New Roman" w:eastAsia="仿宋" w:cs="Times New Roman"/>
                <w:szCs w:val="21"/>
              </w:rPr>
              <w:t>《祁阳县人民政府关于调整高污染燃料禁燃区的通知》（祁政发〔2020〕23号。</w:t>
            </w:r>
          </w:p>
        </w:tc>
      </w:tr>
      <w:tr w14:paraId="21BE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406530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933" w:type="dxa"/>
            <w:gridSpan w:val="8"/>
            <w:vAlign w:val="center"/>
          </w:tcPr>
          <w:p w14:paraId="4C3BC8D5">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71E05FCD">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（2.2）严格禁养区管理，依法处理违规畜禽养殖行为。对全市限养区、适养区内传统畜禽养殖场全面进行提质改造，配套建设畜禽废弃物无害化处理和资源化利用设施设备，使畜禽养殖污水稳定达标排放。</w:t>
            </w:r>
          </w:p>
        </w:tc>
        <w:tc>
          <w:tcPr>
            <w:tcW w:w="5108" w:type="dxa"/>
            <w:gridSpan w:val="3"/>
            <w:vMerge w:val="continue"/>
            <w:vAlign w:val="center"/>
          </w:tcPr>
          <w:p w14:paraId="64232D94">
            <w:pPr>
              <w:widowControl/>
              <w:jc w:val="left"/>
              <w:rPr>
                <w:rFonts w:ascii="Times New Roman" w:hAnsi="Times New Roman" w:eastAsia="仿宋" w:cs="Times New Roman"/>
                <w:szCs w:val="21"/>
              </w:rPr>
            </w:pPr>
          </w:p>
        </w:tc>
      </w:tr>
      <w:tr w14:paraId="6333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84540B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933" w:type="dxa"/>
            <w:gridSpan w:val="8"/>
            <w:vAlign w:val="center"/>
          </w:tcPr>
          <w:p w14:paraId="3671161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5108" w:type="dxa"/>
            <w:gridSpan w:val="3"/>
            <w:vMerge w:val="continue"/>
            <w:vAlign w:val="center"/>
          </w:tcPr>
          <w:p w14:paraId="45909061">
            <w:pPr>
              <w:widowControl/>
              <w:jc w:val="left"/>
              <w:rPr>
                <w:rFonts w:ascii="Times New Roman" w:hAnsi="Times New Roman" w:eastAsia="仿宋" w:cs="Times New Roman"/>
                <w:szCs w:val="21"/>
              </w:rPr>
            </w:pPr>
          </w:p>
        </w:tc>
      </w:tr>
      <w:tr w14:paraId="4670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B81146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933" w:type="dxa"/>
            <w:gridSpan w:val="8"/>
            <w:vAlign w:val="center"/>
          </w:tcPr>
          <w:p w14:paraId="540B8E9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A5AA373">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0EB90C47">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（4.2）水资源：</w:t>
            </w:r>
          </w:p>
          <w:p w14:paraId="41966840">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4635981F">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4BB39F01">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szCs w:val="21"/>
              </w:rPr>
            </w:pPr>
            <w:r>
              <w:rPr>
                <w:rFonts w:ascii="Times New Roman" w:hAnsi="Times New Roman" w:eastAsia="仿宋" w:cs="Times New Roman"/>
                <w:szCs w:val="21"/>
              </w:rPr>
              <w:t>（4.3）土地资源：</w:t>
            </w:r>
          </w:p>
          <w:p w14:paraId="5161FB25">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6CCBC29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（4.4）</w:t>
            </w:r>
            <w:r>
              <w:rPr>
                <w:rFonts w:ascii="Times New Roman" w:hAnsi="Times New Roman" w:eastAsia="仿宋" w:cs="Times New Roman"/>
                <w:b/>
                <w:bCs/>
                <w:szCs w:val="21"/>
              </w:rPr>
              <w:t>观音滩镇、浯溪街道：</w:t>
            </w:r>
            <w:r>
              <w:rPr>
                <w:rFonts w:ascii="Times New Roman" w:hAnsi="Times New Roman" w:eastAsia="仿宋" w:cs="Times New Roman"/>
                <w:szCs w:val="21"/>
              </w:rPr>
              <w:t>高污染燃料禁燃区执行《祁阳县人民政府关于调整高污染燃料禁燃区的通知》（祁政发〔2020〕23号）有关规定。</w:t>
            </w:r>
          </w:p>
        </w:tc>
        <w:tc>
          <w:tcPr>
            <w:tcW w:w="5108" w:type="dxa"/>
            <w:gridSpan w:val="3"/>
            <w:vMerge w:val="continue"/>
            <w:vAlign w:val="center"/>
          </w:tcPr>
          <w:p w14:paraId="20818EB7">
            <w:pPr>
              <w:widowControl/>
              <w:jc w:val="left"/>
              <w:rPr>
                <w:rFonts w:ascii="Times New Roman" w:hAnsi="Times New Roman" w:eastAsia="仿宋" w:cs="Times New Roman"/>
                <w:szCs w:val="21"/>
              </w:rPr>
            </w:pPr>
          </w:p>
        </w:tc>
      </w:tr>
    </w:tbl>
    <w:p w14:paraId="7229F2F6">
      <w:pPr>
        <w:rPr>
          <w:rFonts w:ascii="Times New Roman" w:hAnsi="Times New Roman" w:eastAsia="仿宋" w:cs="Times New Roman"/>
          <w:szCs w:val="21"/>
        </w:rPr>
      </w:pPr>
    </w:p>
    <w:p w14:paraId="60DC1FB1">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425"/>
        <w:gridCol w:w="709"/>
        <w:gridCol w:w="1276"/>
        <w:gridCol w:w="1276"/>
        <w:gridCol w:w="1134"/>
        <w:gridCol w:w="1701"/>
        <w:gridCol w:w="2976"/>
        <w:gridCol w:w="1724"/>
      </w:tblGrid>
      <w:tr w14:paraId="089C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56EED29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7E923A8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12" w:type="dxa"/>
            <w:gridSpan w:val="3"/>
            <w:vAlign w:val="center"/>
          </w:tcPr>
          <w:p w14:paraId="232584D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7D47BB3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7FF0695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6" w:type="dxa"/>
            <w:vMerge w:val="restart"/>
            <w:vAlign w:val="center"/>
          </w:tcPr>
          <w:p w14:paraId="2334CD6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34" w:type="dxa"/>
            <w:vMerge w:val="restart"/>
            <w:vAlign w:val="center"/>
          </w:tcPr>
          <w:p w14:paraId="0B31F2E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677" w:type="dxa"/>
            <w:gridSpan w:val="2"/>
            <w:vMerge w:val="restart"/>
            <w:vAlign w:val="center"/>
          </w:tcPr>
          <w:p w14:paraId="5AB8E39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724" w:type="dxa"/>
            <w:vMerge w:val="restart"/>
            <w:vAlign w:val="center"/>
          </w:tcPr>
          <w:p w14:paraId="02443BB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18FB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70C7951">
            <w:pPr>
              <w:widowControl/>
              <w:jc w:val="left"/>
              <w:rPr>
                <w:rFonts w:ascii="Times New Roman" w:hAnsi="Times New Roman" w:eastAsia="仿宋" w:cs="Times New Roman"/>
                <w:b/>
                <w:kern w:val="0"/>
                <w:szCs w:val="21"/>
              </w:rPr>
            </w:pPr>
          </w:p>
        </w:tc>
        <w:tc>
          <w:tcPr>
            <w:tcW w:w="851" w:type="dxa"/>
            <w:vMerge w:val="continue"/>
            <w:vAlign w:val="center"/>
          </w:tcPr>
          <w:p w14:paraId="50950A66">
            <w:pPr>
              <w:widowControl/>
              <w:jc w:val="left"/>
              <w:rPr>
                <w:rFonts w:ascii="Times New Roman" w:hAnsi="Times New Roman" w:eastAsia="仿宋" w:cs="Times New Roman"/>
                <w:b/>
                <w:kern w:val="0"/>
                <w:szCs w:val="21"/>
              </w:rPr>
            </w:pPr>
          </w:p>
        </w:tc>
        <w:tc>
          <w:tcPr>
            <w:tcW w:w="425" w:type="dxa"/>
            <w:vAlign w:val="center"/>
          </w:tcPr>
          <w:p w14:paraId="56A68F9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62" w:type="dxa"/>
            <w:vAlign w:val="center"/>
          </w:tcPr>
          <w:p w14:paraId="11EBA50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0D1EA4C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1FEAB124">
            <w:pPr>
              <w:widowControl/>
              <w:jc w:val="left"/>
              <w:rPr>
                <w:rFonts w:ascii="Times New Roman" w:hAnsi="Times New Roman" w:eastAsia="仿宋" w:cs="Times New Roman"/>
                <w:b/>
                <w:kern w:val="0"/>
                <w:szCs w:val="21"/>
              </w:rPr>
            </w:pPr>
          </w:p>
        </w:tc>
        <w:tc>
          <w:tcPr>
            <w:tcW w:w="1276" w:type="dxa"/>
            <w:vMerge w:val="continue"/>
            <w:vAlign w:val="center"/>
          </w:tcPr>
          <w:p w14:paraId="6099F756">
            <w:pPr>
              <w:widowControl/>
              <w:jc w:val="left"/>
              <w:rPr>
                <w:rFonts w:ascii="Times New Roman" w:hAnsi="Times New Roman" w:eastAsia="仿宋" w:cs="Times New Roman"/>
                <w:b/>
                <w:kern w:val="0"/>
                <w:szCs w:val="21"/>
              </w:rPr>
            </w:pPr>
          </w:p>
        </w:tc>
        <w:tc>
          <w:tcPr>
            <w:tcW w:w="1276" w:type="dxa"/>
            <w:vMerge w:val="continue"/>
            <w:vAlign w:val="center"/>
          </w:tcPr>
          <w:p w14:paraId="69D1B6BC">
            <w:pPr>
              <w:widowControl/>
              <w:jc w:val="left"/>
              <w:rPr>
                <w:rFonts w:ascii="Times New Roman" w:hAnsi="Times New Roman" w:eastAsia="仿宋" w:cs="Times New Roman"/>
                <w:b/>
                <w:kern w:val="0"/>
                <w:szCs w:val="21"/>
              </w:rPr>
            </w:pPr>
          </w:p>
        </w:tc>
        <w:tc>
          <w:tcPr>
            <w:tcW w:w="1134" w:type="dxa"/>
            <w:vMerge w:val="continue"/>
            <w:vAlign w:val="center"/>
          </w:tcPr>
          <w:p w14:paraId="5E0933F0">
            <w:pPr>
              <w:widowControl/>
              <w:jc w:val="left"/>
              <w:rPr>
                <w:rFonts w:ascii="Times New Roman" w:hAnsi="Times New Roman" w:eastAsia="仿宋" w:cs="Times New Roman"/>
                <w:b/>
                <w:kern w:val="0"/>
                <w:szCs w:val="21"/>
              </w:rPr>
            </w:pPr>
          </w:p>
        </w:tc>
        <w:tc>
          <w:tcPr>
            <w:tcW w:w="4677" w:type="dxa"/>
            <w:gridSpan w:val="2"/>
            <w:vMerge w:val="continue"/>
            <w:vAlign w:val="center"/>
          </w:tcPr>
          <w:p w14:paraId="53BD33BA">
            <w:pPr>
              <w:widowControl/>
              <w:jc w:val="left"/>
              <w:rPr>
                <w:rFonts w:ascii="Times New Roman" w:hAnsi="Times New Roman" w:eastAsia="仿宋" w:cs="Times New Roman"/>
                <w:b/>
                <w:kern w:val="0"/>
                <w:szCs w:val="21"/>
              </w:rPr>
            </w:pPr>
          </w:p>
        </w:tc>
        <w:tc>
          <w:tcPr>
            <w:tcW w:w="1724" w:type="dxa"/>
            <w:vMerge w:val="continue"/>
            <w:vAlign w:val="center"/>
          </w:tcPr>
          <w:p w14:paraId="49CB7B49">
            <w:pPr>
              <w:widowControl/>
              <w:jc w:val="left"/>
              <w:rPr>
                <w:rFonts w:ascii="Times New Roman" w:hAnsi="Times New Roman" w:eastAsia="仿宋" w:cs="Times New Roman"/>
                <w:b/>
                <w:kern w:val="0"/>
                <w:szCs w:val="21"/>
              </w:rPr>
            </w:pPr>
          </w:p>
        </w:tc>
      </w:tr>
      <w:tr w14:paraId="34B6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C8A2C0B">
            <w:pPr>
              <w:widowControl/>
              <w:jc w:val="center"/>
              <w:rPr>
                <w:rFonts w:ascii="Times New Roman" w:hAnsi="Times New Roman" w:eastAsia="仿宋" w:cs="Times New Roman"/>
                <w:kern w:val="0"/>
                <w:szCs w:val="21"/>
              </w:rPr>
            </w:pPr>
            <w:bookmarkStart w:id="20" w:name="_Hlk58574194"/>
            <w:r>
              <w:rPr>
                <w:rFonts w:ascii="Times New Roman" w:hAnsi="Times New Roman" w:eastAsia="仿宋" w:cs="Times New Roman"/>
                <w:kern w:val="0"/>
                <w:szCs w:val="21"/>
              </w:rPr>
              <w:t>ZH43112130001</w:t>
            </w:r>
            <w:bookmarkEnd w:id="20"/>
          </w:p>
        </w:tc>
        <w:tc>
          <w:tcPr>
            <w:tcW w:w="851" w:type="dxa"/>
            <w:vAlign w:val="center"/>
          </w:tcPr>
          <w:p w14:paraId="4FAE37D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梅溪镇/羊角塘镇</w:t>
            </w:r>
          </w:p>
        </w:tc>
        <w:tc>
          <w:tcPr>
            <w:tcW w:w="425" w:type="dxa"/>
            <w:vAlign w:val="center"/>
          </w:tcPr>
          <w:p w14:paraId="37A1778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2" w:type="dxa"/>
            <w:vAlign w:val="center"/>
          </w:tcPr>
          <w:p w14:paraId="5896860C">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7D15201C">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709" w:type="dxa"/>
            <w:vAlign w:val="center"/>
          </w:tcPr>
          <w:p w14:paraId="6A67EE1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276" w:type="dxa"/>
            <w:shd w:val="clear" w:color="auto" w:fill="auto"/>
            <w:vAlign w:val="center"/>
          </w:tcPr>
          <w:p w14:paraId="75FB66F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190.34</w:t>
            </w:r>
          </w:p>
        </w:tc>
        <w:tc>
          <w:tcPr>
            <w:tcW w:w="1276" w:type="dxa"/>
            <w:shd w:val="clear" w:color="auto" w:fill="auto"/>
            <w:vAlign w:val="center"/>
          </w:tcPr>
          <w:p w14:paraId="568ED7D7">
            <w:pPr>
              <w:widowControl/>
              <w:rPr>
                <w:rFonts w:ascii="Times New Roman" w:hAnsi="Times New Roman" w:eastAsia="仿宋" w:cs="Times New Roman"/>
                <w:kern w:val="0"/>
                <w:szCs w:val="21"/>
              </w:rPr>
            </w:pPr>
            <w:r>
              <w:rPr>
                <w:rFonts w:ascii="Times New Roman" w:hAnsi="Times New Roman" w:eastAsia="仿宋" w:cs="Times New Roman"/>
                <w:kern w:val="0"/>
                <w:szCs w:val="21"/>
              </w:rPr>
              <w:t>梅溪镇/羊角塘镇</w:t>
            </w:r>
          </w:p>
        </w:tc>
        <w:tc>
          <w:tcPr>
            <w:tcW w:w="1134" w:type="dxa"/>
            <w:vAlign w:val="center"/>
          </w:tcPr>
          <w:p w14:paraId="2B01F59C">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梅溪镇：</w:t>
            </w:r>
            <w:r>
              <w:rPr>
                <w:rFonts w:ascii="Times New Roman" w:hAnsi="Times New Roman" w:eastAsia="仿宋" w:cs="Times New Roman"/>
                <w:kern w:val="0"/>
                <w:szCs w:val="21"/>
              </w:rPr>
              <w:t>农产品主产区；</w:t>
            </w:r>
            <w:r>
              <w:rPr>
                <w:rFonts w:ascii="Times New Roman" w:hAnsi="Times New Roman" w:eastAsia="仿宋" w:cs="Times New Roman"/>
                <w:b/>
                <w:bCs/>
                <w:kern w:val="0"/>
                <w:szCs w:val="21"/>
              </w:rPr>
              <w:t>羊角塘镇：</w:t>
            </w:r>
            <w:r>
              <w:rPr>
                <w:rFonts w:ascii="Times New Roman" w:hAnsi="Times New Roman" w:eastAsia="仿宋" w:cs="Times New Roman"/>
                <w:kern w:val="0"/>
                <w:szCs w:val="21"/>
              </w:rPr>
              <w:t>农产品主产区</w:t>
            </w:r>
          </w:p>
        </w:tc>
        <w:tc>
          <w:tcPr>
            <w:tcW w:w="4677" w:type="dxa"/>
            <w:gridSpan w:val="2"/>
            <w:vAlign w:val="center"/>
          </w:tcPr>
          <w:p w14:paraId="7ACFEB45">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梅溪镇：</w:t>
            </w:r>
            <w:r>
              <w:rPr>
                <w:rFonts w:ascii="Times New Roman" w:hAnsi="Times New Roman" w:eastAsia="仿宋" w:cs="Times New Roman"/>
                <w:kern w:val="0"/>
                <w:szCs w:val="21"/>
              </w:rPr>
              <w:t>农业、农产品加工业、</w:t>
            </w:r>
            <w:r>
              <w:rPr>
                <w:rFonts w:ascii="Times New Roman" w:hAnsi="Times New Roman" w:eastAsia="仿宋" w:cs="Times New Roman"/>
                <w:szCs w:val="21"/>
              </w:rPr>
              <w:t>鞭炮生产、采矿业、矿产品加工</w:t>
            </w:r>
            <w:r>
              <w:rPr>
                <w:rFonts w:ascii="Times New Roman" w:hAnsi="Times New Roman" w:eastAsia="仿宋" w:cs="Times New Roman"/>
                <w:kern w:val="0"/>
                <w:szCs w:val="21"/>
              </w:rPr>
              <w:t>。</w:t>
            </w:r>
          </w:p>
          <w:p w14:paraId="7944EC72">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羊角塘镇：</w:t>
            </w:r>
            <w:r>
              <w:rPr>
                <w:rFonts w:ascii="Times New Roman" w:hAnsi="Times New Roman" w:eastAsia="仿宋" w:cs="Times New Roman"/>
                <w:szCs w:val="21"/>
              </w:rPr>
              <w:t>商贸、旅游业、鞭炮生产、采矿业、矿产品加工等。</w:t>
            </w:r>
          </w:p>
        </w:tc>
        <w:tc>
          <w:tcPr>
            <w:tcW w:w="1724" w:type="dxa"/>
            <w:vAlign w:val="center"/>
          </w:tcPr>
          <w:p w14:paraId="59294C9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3FEA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92C13A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39865C3E">
            <w:pPr>
              <w:widowControl/>
              <w:rPr>
                <w:rFonts w:ascii="Times New Roman" w:hAnsi="Times New Roman" w:eastAsia="仿宋" w:cs="Times New Roman"/>
                <w:b/>
                <w:bCs/>
                <w:szCs w:val="21"/>
              </w:rPr>
            </w:pPr>
            <w:r>
              <w:rPr>
                <w:rFonts w:ascii="Times New Roman" w:hAnsi="Times New Roman" w:eastAsia="仿宋" w:cs="Times New Roman"/>
                <w:b/>
                <w:bCs/>
                <w:szCs w:val="21"/>
              </w:rPr>
              <w:t>梅溪镇：</w:t>
            </w:r>
          </w:p>
          <w:p w14:paraId="4CBB3974">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生物多样性保护功能重要区/水土流失敏感区/原生态红线/湿地公园/石漠化敏感区/森林公园）；水环境优先保护区/水环境一般管控区；大气环境优先保护区/大气环境受体敏感重点管控区/大气环境弱扩散重点管控区；农用地优先保护区/其他重点管控区/一般管控区</w:t>
            </w:r>
          </w:p>
          <w:p w14:paraId="09003F22">
            <w:pPr>
              <w:widowControl/>
              <w:rPr>
                <w:rFonts w:ascii="Times New Roman" w:hAnsi="Times New Roman" w:eastAsia="仿宋" w:cs="Times New Roman"/>
                <w:b/>
                <w:bCs/>
                <w:szCs w:val="21"/>
              </w:rPr>
            </w:pPr>
            <w:r>
              <w:rPr>
                <w:rFonts w:ascii="Times New Roman" w:hAnsi="Times New Roman" w:eastAsia="仿宋" w:cs="Times New Roman"/>
                <w:b/>
                <w:bCs/>
                <w:szCs w:val="21"/>
              </w:rPr>
              <w:t>羊角塘镇：</w:t>
            </w:r>
          </w:p>
          <w:p w14:paraId="173EC22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森林公园/水土流失敏感区/原生态红线/生物多样性保护功能重要区）；水环境一般管控区；大气环境优先保护区/大气环境受体敏感重点管控区/大气环境弱扩散重点管控区；农用地优先保护区/其他重点管控区/一般管控区</w:t>
            </w:r>
          </w:p>
        </w:tc>
      </w:tr>
      <w:tr w14:paraId="58F8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34" w:type="dxa"/>
            <w:vAlign w:val="center"/>
          </w:tcPr>
          <w:p w14:paraId="1CCAE157">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59" w:type="dxa"/>
            <w:gridSpan w:val="9"/>
            <w:vAlign w:val="center"/>
          </w:tcPr>
          <w:p w14:paraId="20FC1A67">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700" w:type="dxa"/>
            <w:gridSpan w:val="2"/>
            <w:vAlign w:val="center"/>
          </w:tcPr>
          <w:p w14:paraId="01F92784">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DD7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9" w:hRule="atLeast"/>
          <w:jc w:val="center"/>
        </w:trPr>
        <w:tc>
          <w:tcPr>
            <w:tcW w:w="1134" w:type="dxa"/>
            <w:vAlign w:val="center"/>
          </w:tcPr>
          <w:p w14:paraId="1043520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59" w:type="dxa"/>
            <w:gridSpan w:val="9"/>
            <w:vAlign w:val="center"/>
          </w:tcPr>
          <w:p w14:paraId="58A4357F">
            <w:pPr>
              <w:tabs>
                <w:tab w:val="left" w:pos="1021"/>
              </w:tabs>
              <w:ind w:firstLine="420" w:firstLineChars="200"/>
              <w:rPr>
                <w:rFonts w:ascii="Times New Roman" w:hAnsi="Times New Roman" w:eastAsia="仿宋" w:cs="Times New Roman"/>
                <w:szCs w:val="21"/>
              </w:rPr>
            </w:pPr>
            <w:bookmarkStart w:id="21" w:name="_Hlk58574185"/>
            <w:r>
              <w:rPr>
                <w:rFonts w:ascii="Times New Roman" w:hAnsi="Times New Roman" w:eastAsia="仿宋" w:cs="Times New Roman"/>
                <w:szCs w:val="21"/>
              </w:rPr>
              <w:t>（1.1）羊角塘镇：鞭炮生产企业应当避开生态保护红线、自然保护区、风景名胜区及人口集中区等环境敏感区域。</w:t>
            </w:r>
          </w:p>
          <w:bookmarkEnd w:id="21"/>
          <w:p w14:paraId="633CA09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（1.2）畜禽养殖产业布局应符合《祁阳县畜禽养殖布局规划》（2020-2024年）的要求。</w:t>
            </w:r>
          </w:p>
          <w:p w14:paraId="759FF95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（1.3）开展沿江化工污染整治，落实湘江干流（祁阳段）及主要支流岸线1公里范围内不准新建、扩建化工园区和化工项目要求，依法淘汰取缔违法违规工业园区。</w:t>
            </w:r>
          </w:p>
          <w:p w14:paraId="7865D9F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（1.4）生态保护红线内自然保护区、风景名胜区、饮用水水源保护区等区域依照法律法规执行。</w:t>
            </w:r>
          </w:p>
        </w:tc>
        <w:tc>
          <w:tcPr>
            <w:tcW w:w="4700" w:type="dxa"/>
            <w:gridSpan w:val="2"/>
            <w:vMerge w:val="restart"/>
            <w:vAlign w:val="center"/>
          </w:tcPr>
          <w:p w14:paraId="1CD7CC7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（1.2）《祁阳县畜禽养殖布局规划》（2020-2024年）；</w:t>
            </w:r>
          </w:p>
          <w:p w14:paraId="4361A4A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（1.3）《永州市祁阳市“十四五”生态环境保护规划》；</w:t>
            </w:r>
          </w:p>
          <w:p w14:paraId="5700203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（1.4）《祁阳市国土空间总体规划（2021-2035年）》；</w:t>
            </w:r>
          </w:p>
          <w:p w14:paraId="60FB7DB4">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1281053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26FFB371">
            <w:pPr>
              <w:pStyle w:val="8"/>
              <w:rPr>
                <w:rFonts w:eastAsia="仿宋"/>
                <w:sz w:val="21"/>
                <w:szCs w:val="21"/>
              </w:rPr>
            </w:pPr>
            <w:r>
              <w:rPr>
                <w:rFonts w:eastAsia="仿宋"/>
                <w:sz w:val="21"/>
                <w:szCs w:val="21"/>
              </w:rPr>
              <w:t>（3.1）</w:t>
            </w:r>
            <w:r>
              <w:rPr>
                <w:rFonts w:eastAsia="仿宋"/>
                <w:sz w:val="21"/>
                <w:szCs w:val="21"/>
                <w:lang w:eastAsia="zh-Hans"/>
              </w:rPr>
              <w:t>《</w:t>
            </w:r>
            <w:r>
              <w:rPr>
                <w:rFonts w:eastAsia="仿宋"/>
                <w:sz w:val="21"/>
                <w:szCs w:val="21"/>
              </w:rPr>
              <w:t>永州</w:t>
            </w:r>
            <w:r>
              <w:rPr>
                <w:rFonts w:eastAsia="仿宋"/>
                <w:sz w:val="21"/>
                <w:szCs w:val="21"/>
                <w:lang w:eastAsia="zh-Hans"/>
              </w:rPr>
              <w:t>市“十四五”生态环境保护规划》</w:t>
            </w:r>
            <w:r>
              <w:rPr>
                <w:rFonts w:eastAsia="仿宋"/>
                <w:sz w:val="21"/>
                <w:szCs w:val="21"/>
              </w:rPr>
              <w:t>《祁阳市突发环境事件应急预案》；</w:t>
            </w:r>
          </w:p>
          <w:p w14:paraId="4160C2A9">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6F6AFAC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43E9AFF8">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74AA3AB0">
            <w:pPr>
              <w:rPr>
                <w:rFonts w:ascii="Times New Roman" w:hAnsi="Times New Roman" w:eastAsia="仿宋" w:cs="Times New Roman"/>
                <w:kern w:val="0"/>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p w14:paraId="2ED2C3BB">
            <w:pPr>
              <w:rPr>
                <w:rFonts w:ascii="Times New Roman" w:hAnsi="Times New Roman" w:eastAsia="仿宋" w:cs="Times New Roman"/>
                <w:szCs w:val="21"/>
              </w:rPr>
            </w:pPr>
            <w:r>
              <w:rPr>
                <w:rFonts w:ascii="Times New Roman" w:hAnsi="Times New Roman" w:eastAsia="仿宋" w:cs="Times New Roman"/>
                <w:kern w:val="0"/>
                <w:szCs w:val="21"/>
              </w:rPr>
              <w:t>（4.4）</w:t>
            </w:r>
            <w:r>
              <w:rPr>
                <w:rFonts w:ascii="Times New Roman" w:hAnsi="Times New Roman" w:eastAsia="仿宋" w:cs="Times New Roman"/>
                <w:szCs w:val="21"/>
              </w:rPr>
              <w:t>《祁阳县人民政府关于调整高污染燃料禁燃区的通知》（祁政发〔2020〕23号</w:t>
            </w:r>
            <w:r>
              <w:rPr>
                <w:rFonts w:hint="eastAsia" w:ascii="Times New Roman" w:hAnsi="Times New Roman" w:eastAsia="仿宋" w:cs="Times New Roman"/>
                <w:szCs w:val="21"/>
              </w:rPr>
              <w:t>）</w:t>
            </w:r>
            <w:r>
              <w:rPr>
                <w:rFonts w:ascii="Times New Roman" w:hAnsi="Times New Roman" w:eastAsia="仿宋" w:cs="Times New Roman"/>
                <w:szCs w:val="21"/>
              </w:rPr>
              <w:t>。</w:t>
            </w:r>
          </w:p>
        </w:tc>
      </w:tr>
      <w:tr w14:paraId="2ABE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8A86C4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59" w:type="dxa"/>
            <w:gridSpan w:val="9"/>
            <w:vAlign w:val="center"/>
          </w:tcPr>
          <w:p w14:paraId="2BD19DDD">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5CE83FB7">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700" w:type="dxa"/>
            <w:gridSpan w:val="2"/>
            <w:vMerge w:val="continue"/>
            <w:vAlign w:val="center"/>
          </w:tcPr>
          <w:p w14:paraId="016520E3">
            <w:pPr>
              <w:widowControl/>
              <w:jc w:val="left"/>
              <w:rPr>
                <w:rFonts w:ascii="Times New Roman" w:hAnsi="Times New Roman" w:eastAsia="仿宋" w:cs="Times New Roman"/>
                <w:szCs w:val="21"/>
              </w:rPr>
            </w:pPr>
          </w:p>
        </w:tc>
      </w:tr>
      <w:tr w14:paraId="372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55C554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59" w:type="dxa"/>
            <w:gridSpan w:val="9"/>
            <w:vAlign w:val="center"/>
          </w:tcPr>
          <w:p w14:paraId="27F4E610">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700" w:type="dxa"/>
            <w:gridSpan w:val="2"/>
            <w:vMerge w:val="continue"/>
            <w:vAlign w:val="center"/>
          </w:tcPr>
          <w:p w14:paraId="44FF9961">
            <w:pPr>
              <w:widowControl/>
              <w:jc w:val="left"/>
              <w:rPr>
                <w:rFonts w:ascii="Times New Roman" w:hAnsi="Times New Roman" w:eastAsia="仿宋" w:cs="Times New Roman"/>
                <w:szCs w:val="21"/>
              </w:rPr>
            </w:pPr>
          </w:p>
        </w:tc>
      </w:tr>
      <w:tr w14:paraId="0827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0" w:hRule="atLeast"/>
          <w:jc w:val="center"/>
        </w:trPr>
        <w:tc>
          <w:tcPr>
            <w:tcW w:w="1134" w:type="dxa"/>
            <w:vAlign w:val="center"/>
          </w:tcPr>
          <w:p w14:paraId="50BC83F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59" w:type="dxa"/>
            <w:gridSpan w:val="9"/>
            <w:vAlign w:val="center"/>
          </w:tcPr>
          <w:p w14:paraId="541E97E4">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（4.1）能源：</w:t>
            </w:r>
          </w:p>
          <w:p w14:paraId="56797084">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394D446A">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（4.2）水资源：</w:t>
            </w:r>
          </w:p>
          <w:p w14:paraId="4E98A6A8">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506EACAF">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406CA402">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szCs w:val="21"/>
              </w:rPr>
            </w:pPr>
            <w:r>
              <w:rPr>
                <w:rFonts w:ascii="Times New Roman" w:hAnsi="Times New Roman" w:eastAsia="仿宋" w:cs="Times New Roman"/>
                <w:szCs w:val="21"/>
              </w:rPr>
              <w:t>（4.3）土地资源：</w:t>
            </w:r>
          </w:p>
          <w:p w14:paraId="07DDCE5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09F93CC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kern w:val="0"/>
                <w:szCs w:val="21"/>
              </w:rPr>
            </w:pPr>
            <w:r>
              <w:rPr>
                <w:rFonts w:ascii="Times New Roman" w:hAnsi="Times New Roman" w:eastAsia="仿宋" w:cs="Times New Roman"/>
                <w:szCs w:val="21"/>
              </w:rPr>
              <w:t>（4.4）</w:t>
            </w:r>
            <w:r>
              <w:rPr>
                <w:rFonts w:ascii="Times New Roman" w:hAnsi="Times New Roman" w:eastAsia="仿宋" w:cs="Times New Roman"/>
                <w:b/>
                <w:bCs/>
                <w:szCs w:val="21"/>
              </w:rPr>
              <w:t>梅溪镇：</w:t>
            </w:r>
            <w:r>
              <w:rPr>
                <w:rFonts w:ascii="Times New Roman" w:hAnsi="Times New Roman" w:eastAsia="仿宋" w:cs="Times New Roman"/>
                <w:szCs w:val="21"/>
              </w:rPr>
              <w:t>高污染燃料禁燃区执行《祁阳县人民政府关于调整高污染燃料禁燃区的通知》（祁政发〔2020〕23号</w:t>
            </w:r>
            <w:r>
              <w:rPr>
                <w:rFonts w:hint="eastAsia" w:ascii="Times New Roman" w:hAnsi="Times New Roman" w:eastAsia="仿宋" w:cs="Times New Roman"/>
                <w:szCs w:val="21"/>
              </w:rPr>
              <w:t>）</w:t>
            </w:r>
            <w:r>
              <w:rPr>
                <w:rFonts w:ascii="Times New Roman" w:hAnsi="Times New Roman" w:eastAsia="仿宋" w:cs="Times New Roman"/>
                <w:szCs w:val="21"/>
              </w:rPr>
              <w:t>有关规定。</w:t>
            </w:r>
          </w:p>
        </w:tc>
        <w:tc>
          <w:tcPr>
            <w:tcW w:w="4700" w:type="dxa"/>
            <w:gridSpan w:val="2"/>
            <w:vMerge w:val="continue"/>
            <w:vAlign w:val="center"/>
          </w:tcPr>
          <w:p w14:paraId="05B7A852">
            <w:pPr>
              <w:widowControl/>
              <w:jc w:val="left"/>
              <w:rPr>
                <w:rFonts w:ascii="Times New Roman" w:hAnsi="Times New Roman" w:eastAsia="仿宋" w:cs="Times New Roman"/>
                <w:szCs w:val="21"/>
              </w:rPr>
            </w:pPr>
          </w:p>
        </w:tc>
      </w:tr>
    </w:tbl>
    <w:p w14:paraId="1695714C">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018F597E">
      <w:pPr>
        <w:rPr>
          <w:rFonts w:ascii="Times New Roman" w:hAnsi="Times New Roman" w:eastAsia="仿宋" w:cs="Times New Roman"/>
          <w:szCs w:val="21"/>
        </w:rPr>
      </w:pPr>
    </w:p>
    <w:tbl>
      <w:tblPr>
        <w:tblStyle w:val="20"/>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567"/>
        <w:gridCol w:w="567"/>
        <w:gridCol w:w="572"/>
        <w:gridCol w:w="992"/>
        <w:gridCol w:w="1276"/>
        <w:gridCol w:w="1476"/>
        <w:gridCol w:w="1643"/>
        <w:gridCol w:w="64"/>
        <w:gridCol w:w="2912"/>
        <w:gridCol w:w="1724"/>
      </w:tblGrid>
      <w:tr w14:paraId="263C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7E4AF5BA">
            <w:pPr>
              <w:widowControl/>
              <w:jc w:val="center"/>
              <w:rPr>
                <w:rFonts w:ascii="Times New Roman" w:hAnsi="Times New Roman" w:eastAsia="仿宋" w:cs="Times New Roman"/>
                <w:b/>
                <w:kern w:val="0"/>
                <w:szCs w:val="21"/>
              </w:rPr>
            </w:pPr>
            <w:r>
              <w:rPr>
                <w:rFonts w:ascii="Times New Roman" w:hAnsi="Times New Roman" w:eastAsia="仿宋" w:cs="Times New Roman"/>
                <w:szCs w:val="21"/>
              </w:rPr>
              <w:br w:type="page"/>
            </w:r>
            <w:r>
              <w:rPr>
                <w:rFonts w:ascii="Times New Roman" w:hAnsi="Times New Roman" w:eastAsia="仿宋" w:cs="Times New Roman"/>
                <w:b/>
                <w:kern w:val="0"/>
                <w:szCs w:val="21"/>
              </w:rPr>
              <w:t>环境管控单元编码</w:t>
            </w:r>
          </w:p>
        </w:tc>
        <w:tc>
          <w:tcPr>
            <w:tcW w:w="1129" w:type="dxa"/>
            <w:vMerge w:val="restart"/>
            <w:vAlign w:val="center"/>
          </w:tcPr>
          <w:p w14:paraId="11A00AF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706" w:type="dxa"/>
            <w:gridSpan w:val="3"/>
            <w:vAlign w:val="center"/>
          </w:tcPr>
          <w:p w14:paraId="0314133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992" w:type="dxa"/>
            <w:vMerge w:val="restart"/>
            <w:vAlign w:val="center"/>
          </w:tcPr>
          <w:p w14:paraId="7775BED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1A48CB4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476" w:type="dxa"/>
            <w:vMerge w:val="restart"/>
            <w:vAlign w:val="center"/>
          </w:tcPr>
          <w:p w14:paraId="4E123A3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643" w:type="dxa"/>
            <w:vMerge w:val="restart"/>
            <w:vAlign w:val="center"/>
          </w:tcPr>
          <w:p w14:paraId="592EB63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976" w:type="dxa"/>
            <w:gridSpan w:val="2"/>
            <w:vMerge w:val="restart"/>
            <w:vAlign w:val="center"/>
          </w:tcPr>
          <w:p w14:paraId="4A17A0A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724" w:type="dxa"/>
            <w:vMerge w:val="restart"/>
            <w:vAlign w:val="center"/>
          </w:tcPr>
          <w:p w14:paraId="747CB1E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0DD7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387E278">
            <w:pPr>
              <w:widowControl/>
              <w:jc w:val="left"/>
              <w:rPr>
                <w:rFonts w:ascii="Times New Roman" w:hAnsi="Times New Roman" w:eastAsia="仿宋" w:cs="Times New Roman"/>
                <w:b/>
                <w:kern w:val="0"/>
                <w:szCs w:val="21"/>
              </w:rPr>
            </w:pPr>
          </w:p>
        </w:tc>
        <w:tc>
          <w:tcPr>
            <w:tcW w:w="1129" w:type="dxa"/>
            <w:vMerge w:val="continue"/>
            <w:vAlign w:val="center"/>
          </w:tcPr>
          <w:p w14:paraId="76AF8AE3">
            <w:pPr>
              <w:widowControl/>
              <w:jc w:val="left"/>
              <w:rPr>
                <w:rFonts w:ascii="Times New Roman" w:hAnsi="Times New Roman" w:eastAsia="仿宋" w:cs="Times New Roman"/>
                <w:b/>
                <w:kern w:val="0"/>
                <w:szCs w:val="21"/>
              </w:rPr>
            </w:pPr>
          </w:p>
        </w:tc>
        <w:tc>
          <w:tcPr>
            <w:tcW w:w="567" w:type="dxa"/>
            <w:vAlign w:val="center"/>
          </w:tcPr>
          <w:p w14:paraId="0DC11806">
            <w:pPr>
              <w:widowControl/>
              <w:jc w:val="center"/>
              <w:rPr>
                <w:rFonts w:ascii="Times New Roman" w:hAnsi="Times New Roman" w:eastAsia="仿宋" w:cs="Times New Roman"/>
                <w:szCs w:val="21"/>
              </w:rPr>
            </w:pPr>
            <w:r>
              <w:rPr>
                <w:rFonts w:ascii="Times New Roman" w:hAnsi="Times New Roman" w:eastAsia="仿宋" w:cs="Times New Roman"/>
                <w:szCs w:val="21"/>
              </w:rPr>
              <w:t>省</w:t>
            </w:r>
          </w:p>
        </w:tc>
        <w:tc>
          <w:tcPr>
            <w:tcW w:w="567" w:type="dxa"/>
            <w:vAlign w:val="center"/>
          </w:tcPr>
          <w:p w14:paraId="1880F80C">
            <w:pPr>
              <w:widowControl/>
              <w:jc w:val="center"/>
              <w:rPr>
                <w:rFonts w:ascii="Times New Roman" w:hAnsi="Times New Roman" w:eastAsia="仿宋" w:cs="Times New Roman"/>
                <w:szCs w:val="21"/>
              </w:rPr>
            </w:pPr>
            <w:r>
              <w:rPr>
                <w:rFonts w:ascii="Times New Roman" w:hAnsi="Times New Roman" w:eastAsia="仿宋" w:cs="Times New Roman"/>
                <w:szCs w:val="21"/>
              </w:rPr>
              <w:t>市</w:t>
            </w:r>
          </w:p>
        </w:tc>
        <w:tc>
          <w:tcPr>
            <w:tcW w:w="572" w:type="dxa"/>
            <w:vAlign w:val="center"/>
          </w:tcPr>
          <w:p w14:paraId="3EEC0DC3">
            <w:pPr>
              <w:widowControl/>
              <w:jc w:val="center"/>
              <w:rPr>
                <w:rFonts w:ascii="Times New Roman" w:hAnsi="Times New Roman" w:eastAsia="仿宋" w:cs="Times New Roman"/>
                <w:szCs w:val="21"/>
              </w:rPr>
            </w:pPr>
            <w:r>
              <w:rPr>
                <w:rFonts w:ascii="Times New Roman" w:hAnsi="Times New Roman" w:eastAsia="仿宋" w:cs="Times New Roman"/>
                <w:szCs w:val="21"/>
              </w:rPr>
              <w:t>县</w:t>
            </w:r>
          </w:p>
        </w:tc>
        <w:tc>
          <w:tcPr>
            <w:tcW w:w="992" w:type="dxa"/>
            <w:vMerge w:val="continue"/>
            <w:vAlign w:val="center"/>
          </w:tcPr>
          <w:p w14:paraId="26E4BE7E">
            <w:pPr>
              <w:widowControl/>
              <w:jc w:val="left"/>
              <w:rPr>
                <w:rFonts w:ascii="Times New Roman" w:hAnsi="Times New Roman" w:eastAsia="仿宋" w:cs="Times New Roman"/>
                <w:b/>
                <w:kern w:val="0"/>
                <w:szCs w:val="21"/>
              </w:rPr>
            </w:pPr>
          </w:p>
        </w:tc>
        <w:tc>
          <w:tcPr>
            <w:tcW w:w="1276" w:type="dxa"/>
            <w:vMerge w:val="continue"/>
            <w:vAlign w:val="center"/>
          </w:tcPr>
          <w:p w14:paraId="41443899">
            <w:pPr>
              <w:widowControl/>
              <w:jc w:val="left"/>
              <w:rPr>
                <w:rFonts w:ascii="Times New Roman" w:hAnsi="Times New Roman" w:eastAsia="仿宋" w:cs="Times New Roman"/>
                <w:b/>
                <w:kern w:val="0"/>
                <w:szCs w:val="21"/>
              </w:rPr>
            </w:pPr>
          </w:p>
        </w:tc>
        <w:tc>
          <w:tcPr>
            <w:tcW w:w="1476" w:type="dxa"/>
            <w:vMerge w:val="continue"/>
            <w:vAlign w:val="center"/>
          </w:tcPr>
          <w:p w14:paraId="7024429A">
            <w:pPr>
              <w:widowControl/>
              <w:jc w:val="left"/>
              <w:rPr>
                <w:rFonts w:ascii="Times New Roman" w:hAnsi="Times New Roman" w:eastAsia="仿宋" w:cs="Times New Roman"/>
                <w:b/>
                <w:kern w:val="0"/>
                <w:szCs w:val="21"/>
              </w:rPr>
            </w:pPr>
          </w:p>
        </w:tc>
        <w:tc>
          <w:tcPr>
            <w:tcW w:w="1643" w:type="dxa"/>
            <w:vMerge w:val="continue"/>
            <w:vAlign w:val="center"/>
          </w:tcPr>
          <w:p w14:paraId="4CF3B23B">
            <w:pPr>
              <w:widowControl/>
              <w:jc w:val="left"/>
              <w:rPr>
                <w:rFonts w:ascii="Times New Roman" w:hAnsi="Times New Roman" w:eastAsia="仿宋" w:cs="Times New Roman"/>
                <w:b/>
                <w:kern w:val="0"/>
                <w:szCs w:val="21"/>
              </w:rPr>
            </w:pPr>
          </w:p>
        </w:tc>
        <w:tc>
          <w:tcPr>
            <w:tcW w:w="2976" w:type="dxa"/>
            <w:gridSpan w:val="2"/>
            <w:vMerge w:val="continue"/>
            <w:vAlign w:val="center"/>
          </w:tcPr>
          <w:p w14:paraId="1E7E6B0B">
            <w:pPr>
              <w:widowControl/>
              <w:jc w:val="left"/>
              <w:rPr>
                <w:rFonts w:ascii="Times New Roman" w:hAnsi="Times New Roman" w:eastAsia="仿宋" w:cs="Times New Roman"/>
                <w:b/>
                <w:kern w:val="0"/>
                <w:szCs w:val="21"/>
              </w:rPr>
            </w:pPr>
          </w:p>
        </w:tc>
        <w:tc>
          <w:tcPr>
            <w:tcW w:w="1724" w:type="dxa"/>
            <w:vMerge w:val="continue"/>
            <w:vAlign w:val="center"/>
          </w:tcPr>
          <w:p w14:paraId="15CB8BEB">
            <w:pPr>
              <w:widowControl/>
              <w:jc w:val="left"/>
              <w:rPr>
                <w:rFonts w:ascii="Times New Roman" w:hAnsi="Times New Roman" w:eastAsia="仿宋" w:cs="Times New Roman"/>
                <w:b/>
                <w:kern w:val="0"/>
                <w:szCs w:val="21"/>
              </w:rPr>
            </w:pPr>
          </w:p>
        </w:tc>
      </w:tr>
      <w:tr w14:paraId="6D76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bottom w:val="single" w:color="auto" w:sz="4" w:space="0"/>
              <w:right w:val="single" w:color="auto" w:sz="4" w:space="0"/>
            </w:tcBorders>
            <w:vAlign w:val="center"/>
          </w:tcPr>
          <w:p w14:paraId="51C84EE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ZH43112130002</w:t>
            </w:r>
          </w:p>
        </w:tc>
        <w:tc>
          <w:tcPr>
            <w:tcW w:w="1129" w:type="dxa"/>
            <w:tcBorders>
              <w:top w:val="single" w:color="auto" w:sz="4" w:space="0"/>
              <w:left w:val="single" w:color="auto" w:sz="4" w:space="0"/>
              <w:bottom w:val="single" w:color="auto" w:sz="4" w:space="0"/>
              <w:right w:val="single" w:color="auto" w:sz="4" w:space="0"/>
            </w:tcBorders>
            <w:vAlign w:val="center"/>
          </w:tcPr>
          <w:p w14:paraId="4DABB6A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龚家坪镇/黎家坪镇/文富市镇/文明铺镇/长虹街道</w:t>
            </w:r>
          </w:p>
        </w:tc>
        <w:tc>
          <w:tcPr>
            <w:tcW w:w="567" w:type="dxa"/>
            <w:tcBorders>
              <w:top w:val="single" w:color="auto" w:sz="4" w:space="0"/>
              <w:left w:val="single" w:color="auto" w:sz="4" w:space="0"/>
              <w:bottom w:val="single" w:color="auto" w:sz="4" w:space="0"/>
              <w:right w:val="single" w:color="auto" w:sz="4" w:space="0"/>
            </w:tcBorders>
            <w:vAlign w:val="center"/>
          </w:tcPr>
          <w:p w14:paraId="1CED19C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7" w:type="dxa"/>
            <w:tcBorders>
              <w:top w:val="single" w:color="auto" w:sz="4" w:space="0"/>
              <w:left w:val="single" w:color="auto" w:sz="4" w:space="0"/>
              <w:bottom w:val="single" w:color="auto" w:sz="4" w:space="0"/>
              <w:right w:val="single" w:color="auto" w:sz="4" w:space="0"/>
            </w:tcBorders>
            <w:vAlign w:val="center"/>
          </w:tcPr>
          <w:p w14:paraId="4210ECF9">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72" w:type="dxa"/>
            <w:tcBorders>
              <w:top w:val="single" w:color="auto" w:sz="4" w:space="0"/>
              <w:left w:val="single" w:color="auto" w:sz="4" w:space="0"/>
              <w:bottom w:val="single" w:color="auto" w:sz="4" w:space="0"/>
              <w:right w:val="single" w:color="auto" w:sz="4" w:space="0"/>
            </w:tcBorders>
            <w:vAlign w:val="center"/>
          </w:tcPr>
          <w:p w14:paraId="47478CC2">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992" w:type="dxa"/>
            <w:tcBorders>
              <w:top w:val="single" w:color="auto" w:sz="4" w:space="0"/>
              <w:left w:val="single" w:color="auto" w:sz="4" w:space="0"/>
              <w:bottom w:val="single" w:color="auto" w:sz="4" w:space="0"/>
              <w:right w:val="single" w:color="auto" w:sz="4" w:space="0"/>
            </w:tcBorders>
            <w:vAlign w:val="center"/>
          </w:tcPr>
          <w:p w14:paraId="0B1F0F5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E6E888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357.78</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4A924F2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龚家坪镇/黎家坪镇/文富市镇/文明铺镇/长虹街道</w:t>
            </w:r>
          </w:p>
        </w:tc>
        <w:tc>
          <w:tcPr>
            <w:tcW w:w="1643" w:type="dxa"/>
            <w:tcBorders>
              <w:top w:val="single" w:color="auto" w:sz="4" w:space="0"/>
              <w:left w:val="single" w:color="auto" w:sz="4" w:space="0"/>
              <w:bottom w:val="single" w:color="auto" w:sz="4" w:space="0"/>
              <w:right w:val="single" w:color="auto" w:sz="4" w:space="0"/>
            </w:tcBorders>
            <w:vAlign w:val="center"/>
          </w:tcPr>
          <w:p w14:paraId="3405E267">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龚家坪镇、文富市镇、文明铺镇：</w:t>
            </w:r>
            <w:r>
              <w:rPr>
                <w:rFonts w:ascii="Times New Roman" w:hAnsi="Times New Roman" w:eastAsia="仿宋" w:cs="Times New Roman"/>
                <w:kern w:val="0"/>
                <w:szCs w:val="21"/>
              </w:rPr>
              <w:t>农产品主产区；</w:t>
            </w:r>
            <w:r>
              <w:rPr>
                <w:rFonts w:ascii="Times New Roman" w:hAnsi="Times New Roman" w:eastAsia="仿宋" w:cs="Times New Roman"/>
                <w:b/>
                <w:bCs/>
                <w:kern w:val="0"/>
                <w:szCs w:val="21"/>
              </w:rPr>
              <w:t>黎家坪镇、长虹街道：</w:t>
            </w:r>
            <w:r>
              <w:rPr>
                <w:rFonts w:ascii="Times New Roman" w:hAnsi="Times New Roman" w:eastAsia="仿宋" w:cs="Times New Roman"/>
                <w:kern w:val="0"/>
                <w:szCs w:val="21"/>
              </w:rPr>
              <w:t>城市化地区；</w:t>
            </w:r>
          </w:p>
        </w:tc>
        <w:tc>
          <w:tcPr>
            <w:tcW w:w="2976" w:type="dxa"/>
            <w:gridSpan w:val="2"/>
            <w:tcBorders>
              <w:top w:val="single" w:color="auto" w:sz="4" w:space="0"/>
              <w:left w:val="single" w:color="auto" w:sz="4" w:space="0"/>
              <w:bottom w:val="single" w:color="auto" w:sz="4" w:space="0"/>
              <w:right w:val="single" w:color="auto" w:sz="4" w:space="0"/>
            </w:tcBorders>
            <w:vAlign w:val="center"/>
          </w:tcPr>
          <w:p w14:paraId="3D05F6A9">
            <w:pPr>
              <w:widowControl/>
              <w:rPr>
                <w:rFonts w:ascii="Times New Roman" w:hAnsi="Times New Roman" w:eastAsia="仿宋" w:cs="Times New Roman"/>
                <w:kern w:val="0"/>
                <w:szCs w:val="21"/>
              </w:rPr>
            </w:pPr>
            <w:r>
              <w:rPr>
                <w:rFonts w:ascii="Times New Roman" w:hAnsi="Times New Roman" w:eastAsia="仿宋" w:cs="Times New Roman"/>
                <w:b/>
                <w:bCs/>
                <w:szCs w:val="21"/>
              </w:rPr>
              <w:t>龚家坪镇：</w:t>
            </w:r>
            <w:r>
              <w:rPr>
                <w:rFonts w:ascii="Times New Roman" w:hAnsi="Times New Roman" w:eastAsia="仿宋" w:cs="Times New Roman"/>
                <w:kern w:val="0"/>
                <w:szCs w:val="21"/>
              </w:rPr>
              <w:t>农业、农产品交易。</w:t>
            </w:r>
          </w:p>
          <w:p w14:paraId="1DB3DCEB">
            <w:pPr>
              <w:widowControl/>
              <w:rPr>
                <w:rFonts w:ascii="Times New Roman" w:hAnsi="Times New Roman" w:eastAsia="仿宋" w:cs="Times New Roman"/>
                <w:kern w:val="0"/>
                <w:szCs w:val="21"/>
              </w:rPr>
            </w:pPr>
            <w:r>
              <w:rPr>
                <w:rFonts w:ascii="Times New Roman" w:hAnsi="Times New Roman" w:eastAsia="仿宋" w:cs="Times New Roman"/>
                <w:b/>
                <w:bCs/>
                <w:szCs w:val="21"/>
              </w:rPr>
              <w:t>文富市</w:t>
            </w:r>
            <w:r>
              <w:rPr>
                <w:rFonts w:ascii="Times New Roman" w:hAnsi="Times New Roman" w:eastAsia="仿宋" w:cs="Times New Roman"/>
                <w:b/>
                <w:bCs/>
                <w:kern w:val="0"/>
                <w:szCs w:val="21"/>
              </w:rPr>
              <w:t>镇：</w:t>
            </w:r>
            <w:r>
              <w:rPr>
                <w:rFonts w:ascii="Times New Roman" w:hAnsi="Times New Roman" w:eastAsia="仿宋" w:cs="Times New Roman"/>
                <w:kern w:val="0"/>
                <w:szCs w:val="21"/>
              </w:rPr>
              <w:t>农业、农林产品加工。</w:t>
            </w:r>
          </w:p>
          <w:p w14:paraId="3D857297">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文明铺镇：</w:t>
            </w:r>
            <w:r>
              <w:rPr>
                <w:rFonts w:ascii="Times New Roman" w:hAnsi="Times New Roman" w:eastAsia="仿宋" w:cs="Times New Roman"/>
                <w:kern w:val="0"/>
                <w:szCs w:val="21"/>
              </w:rPr>
              <w:t>农业、养殖业。</w:t>
            </w:r>
          </w:p>
          <w:p w14:paraId="01D18762">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长虹街道：</w:t>
            </w:r>
            <w:r>
              <w:rPr>
                <w:rFonts w:ascii="Times New Roman" w:hAnsi="Times New Roman" w:eastAsia="仿宋" w:cs="Times New Roman"/>
                <w:kern w:val="0"/>
                <w:szCs w:val="21"/>
              </w:rPr>
              <w:t>服务业。</w:t>
            </w:r>
          </w:p>
        </w:tc>
        <w:tc>
          <w:tcPr>
            <w:tcW w:w="1724" w:type="dxa"/>
            <w:tcBorders>
              <w:top w:val="single" w:color="auto" w:sz="4" w:space="0"/>
              <w:left w:val="single" w:color="auto" w:sz="4" w:space="0"/>
              <w:bottom w:val="single" w:color="auto" w:sz="4" w:space="0"/>
            </w:tcBorders>
            <w:vAlign w:val="center"/>
          </w:tcPr>
          <w:p w14:paraId="629B2B2F">
            <w:pPr>
              <w:widowControl/>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38DE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BE3CA6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22" w:type="dxa"/>
            <w:gridSpan w:val="11"/>
            <w:vAlign w:val="center"/>
          </w:tcPr>
          <w:p w14:paraId="1539DDEC">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龚家坪镇：</w:t>
            </w:r>
          </w:p>
          <w:p w14:paraId="77B3030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生物多样性保护功能重要区/原生态红线/水土流失敏感区）；水环境一般管控区；大气环境受体敏感重点管控区；农用地优先保护区/其他重点管控区/一般管控区</w:t>
            </w:r>
          </w:p>
          <w:p w14:paraId="0A80FEDB">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黎家坪镇</w:t>
            </w:r>
            <w:r>
              <w:rPr>
                <w:rFonts w:ascii="Times New Roman" w:hAnsi="Times New Roman" w:eastAsia="仿宋" w:cs="Times New Roman"/>
                <w:kern w:val="0"/>
                <w:szCs w:val="21"/>
              </w:rPr>
              <w:t>：</w:t>
            </w:r>
          </w:p>
          <w:p w14:paraId="209285D3">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风景名胜区/三区三线生态红线/水源涵养重要区/原生态红线/水土流失敏感区）；水环境一般管控区/水环境工业污染重点管控区；大气环境优先保护区/大气环境高排放重点管控区/大气环境受体敏感重点管控区；农用地优先保护区/建设用地重点管控区/其他重点管控区/一般管控区；高污染燃料禁燃区</w:t>
            </w:r>
          </w:p>
          <w:p w14:paraId="3C0E3351">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文富市镇：</w:t>
            </w:r>
          </w:p>
          <w:p w14:paraId="63171AC4">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红线/一般生态空间（三区三线生态红线/水源涵养重要区/原生态红线/水土流失敏感区）；水环境一般管控区；大气环境受体敏感重点管控区；农用地优先保护区/其他重点管控区/一般管控区</w:t>
            </w:r>
          </w:p>
          <w:p w14:paraId="318985A8">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文明铺镇</w:t>
            </w:r>
            <w:r>
              <w:rPr>
                <w:rFonts w:ascii="Times New Roman" w:hAnsi="Times New Roman" w:eastAsia="仿宋" w:cs="Times New Roman"/>
                <w:kern w:val="0"/>
                <w:szCs w:val="21"/>
              </w:rPr>
              <w:t>：</w:t>
            </w:r>
          </w:p>
          <w:p w14:paraId="44B2078C">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生物多样性保护功能重要区/原生态红线/水土流失敏感区）；水环境一般管控区/水环境其他重点管控区；大气环境受体敏感重点管控区；农用地优先保护区/其他重点管控区/一般管控区</w:t>
            </w:r>
          </w:p>
          <w:p w14:paraId="64197A9A">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长虹街道：</w:t>
            </w:r>
          </w:p>
          <w:p w14:paraId="2C7ED21C">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红线/一般生态空间（风景名胜区/三区三线生态红线/水源涵养重要区/湿地公园/原生态红线）；水环境优先保护区 /水环境城镇生活污染重点管控区/水环境一般管控区；大气环境优先保护区/大气环境高排放重点管控区/大气环境受体敏感重点管控区/大气环境布局敏感重点管控区；农用地优先保护区/其他重点管控区/一般管控区；高污染燃料禁燃区</w:t>
            </w:r>
          </w:p>
        </w:tc>
      </w:tr>
      <w:tr w14:paraId="3226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E7FD630">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286" w:type="dxa"/>
            <w:gridSpan w:val="9"/>
            <w:vAlign w:val="center"/>
          </w:tcPr>
          <w:p w14:paraId="34D007EB">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636" w:type="dxa"/>
            <w:gridSpan w:val="2"/>
            <w:vAlign w:val="center"/>
          </w:tcPr>
          <w:p w14:paraId="1B40971D">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2EDC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BB1133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286" w:type="dxa"/>
            <w:gridSpan w:val="9"/>
            <w:vAlign w:val="center"/>
          </w:tcPr>
          <w:p w14:paraId="04643E2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（1.1）畜禽养殖产业布局应符合《祁阳县畜禽养殖布局规划》（2020-2024年）的要求。</w:t>
            </w:r>
          </w:p>
          <w:p w14:paraId="6A7DE95B">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（1.2）湖南祁阳浯溪国家湿地公园：执行《湖南祁阳浯溪国家湿地公园保护管理办法》相关规定。</w:t>
            </w:r>
          </w:p>
          <w:p w14:paraId="69881602">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（1.3）开展沿江化工污染整治，落实湘江干流（祁阳段）及主要支流岸线1公里范围内不准新建、扩建化工园区和化工项目要求，依法淘汰取缔违法违规工业园区。</w:t>
            </w:r>
          </w:p>
          <w:p w14:paraId="18A1508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（1.4）生态保护红线内自然保护区、风景名胜区、饮用水水源保护区等区域依照法律法规执行。</w:t>
            </w:r>
          </w:p>
        </w:tc>
        <w:tc>
          <w:tcPr>
            <w:tcW w:w="4636" w:type="dxa"/>
            <w:gridSpan w:val="2"/>
            <w:vMerge w:val="restart"/>
            <w:vAlign w:val="center"/>
          </w:tcPr>
          <w:p w14:paraId="02D6D59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162C726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（1.2）《湖南祁阳浯溪国家湿地公园保护管理办法》；</w:t>
            </w:r>
          </w:p>
          <w:p w14:paraId="4FFA0A1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（1.3）《永州市祁阳市“十四五”生态环境保护规划》；</w:t>
            </w:r>
          </w:p>
          <w:p w14:paraId="6E57E11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（1.4）《祁阳市国土空间总体规划（2021-2035年）》；</w:t>
            </w:r>
          </w:p>
          <w:p w14:paraId="120E2AF6">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4C55F2E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31CD34A3">
            <w:pPr>
              <w:widowControl/>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《祁阳市突发环境事件应急预案》；</w:t>
            </w:r>
          </w:p>
          <w:p w14:paraId="55A19C7A">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3357CA7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2F2DB7B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w:t>
            </w: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2560ED5D">
            <w:pPr>
              <w:rPr>
                <w:rFonts w:ascii="Times New Roman" w:hAnsi="Times New Roman" w:eastAsia="仿宋" w:cs="Times New Roman"/>
                <w:szCs w:val="21"/>
              </w:rPr>
            </w:pPr>
            <w:r>
              <w:rPr>
                <w:rFonts w:ascii="Times New Roman" w:hAnsi="Times New Roman" w:eastAsia="仿宋" w:cs="Times New Roman"/>
                <w:szCs w:val="21"/>
              </w:rPr>
              <w:t>（4.3）《祁阳市国土空间总体规划（2021-2035年）》；</w:t>
            </w:r>
          </w:p>
          <w:p w14:paraId="226216D7">
            <w:pPr>
              <w:rPr>
                <w:rFonts w:ascii="Times New Roman" w:hAnsi="Times New Roman" w:eastAsia="仿宋" w:cs="Times New Roman"/>
                <w:kern w:val="0"/>
                <w:szCs w:val="21"/>
              </w:rPr>
            </w:pPr>
            <w:r>
              <w:rPr>
                <w:rFonts w:ascii="Times New Roman" w:hAnsi="Times New Roman" w:eastAsia="仿宋" w:cs="Times New Roman"/>
                <w:kern w:val="0"/>
                <w:szCs w:val="21"/>
              </w:rPr>
              <w:t>（4.4）</w:t>
            </w:r>
            <w:r>
              <w:rPr>
                <w:rFonts w:ascii="Times New Roman" w:hAnsi="Times New Roman" w:eastAsia="仿宋" w:cs="Times New Roman"/>
                <w:szCs w:val="21"/>
              </w:rPr>
              <w:t>《祁阳县人民政府关于调整高污染燃料禁燃区的通知》（祁政发〔2020〕23号）。</w:t>
            </w:r>
          </w:p>
        </w:tc>
      </w:tr>
      <w:tr w14:paraId="61CB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E9ABC3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286" w:type="dxa"/>
            <w:gridSpan w:val="9"/>
            <w:vAlign w:val="center"/>
          </w:tcPr>
          <w:p w14:paraId="1C6F8AEA">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2C21D1D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636" w:type="dxa"/>
            <w:gridSpan w:val="2"/>
            <w:vMerge w:val="continue"/>
            <w:vAlign w:val="center"/>
          </w:tcPr>
          <w:p w14:paraId="7A9793AC">
            <w:pPr>
              <w:widowControl/>
              <w:jc w:val="left"/>
              <w:rPr>
                <w:rFonts w:ascii="Times New Roman" w:hAnsi="Times New Roman" w:eastAsia="仿宋" w:cs="Times New Roman"/>
                <w:szCs w:val="21"/>
              </w:rPr>
            </w:pPr>
          </w:p>
        </w:tc>
      </w:tr>
      <w:tr w14:paraId="13AD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547AC9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286" w:type="dxa"/>
            <w:gridSpan w:val="9"/>
            <w:vAlign w:val="center"/>
          </w:tcPr>
          <w:p w14:paraId="590E0F00">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636" w:type="dxa"/>
            <w:gridSpan w:val="2"/>
            <w:vMerge w:val="continue"/>
            <w:vAlign w:val="center"/>
          </w:tcPr>
          <w:p w14:paraId="3804A54C">
            <w:pPr>
              <w:widowControl/>
              <w:jc w:val="left"/>
              <w:rPr>
                <w:rFonts w:ascii="Times New Roman" w:hAnsi="Times New Roman" w:eastAsia="仿宋" w:cs="Times New Roman"/>
                <w:szCs w:val="21"/>
              </w:rPr>
            </w:pPr>
          </w:p>
        </w:tc>
      </w:tr>
      <w:tr w14:paraId="2475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3A4FDB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286" w:type="dxa"/>
            <w:gridSpan w:val="9"/>
            <w:vAlign w:val="center"/>
          </w:tcPr>
          <w:p w14:paraId="4BDB8AA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08D2939">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4EF831C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A600953">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72F8D34F">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74F524BA">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5F8E2510">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37A5AB26">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szCs w:val="21"/>
              </w:rPr>
              <w:t>（4.4）</w:t>
            </w:r>
            <w:r>
              <w:rPr>
                <w:rFonts w:ascii="Times New Roman" w:hAnsi="Times New Roman" w:eastAsia="仿宋" w:cs="Times New Roman"/>
                <w:b/>
                <w:bCs/>
                <w:szCs w:val="21"/>
              </w:rPr>
              <w:t>文富市镇、文明铺镇：</w:t>
            </w:r>
            <w:r>
              <w:rPr>
                <w:rFonts w:ascii="Times New Roman" w:hAnsi="Times New Roman" w:eastAsia="仿宋" w:cs="Times New Roman"/>
                <w:szCs w:val="21"/>
              </w:rPr>
              <w:t>高污染燃料禁燃区执行《祁阳县人民政府关于调整高污染燃料禁燃区的通知》（祁政发〔2020〕23号）有关规定。</w:t>
            </w:r>
          </w:p>
        </w:tc>
        <w:tc>
          <w:tcPr>
            <w:tcW w:w="4636" w:type="dxa"/>
            <w:gridSpan w:val="2"/>
            <w:vMerge w:val="continue"/>
            <w:vAlign w:val="center"/>
          </w:tcPr>
          <w:p w14:paraId="154EFD1C">
            <w:pPr>
              <w:widowControl/>
              <w:jc w:val="left"/>
              <w:rPr>
                <w:rFonts w:ascii="Times New Roman" w:hAnsi="Times New Roman" w:eastAsia="仿宋" w:cs="Times New Roman"/>
                <w:szCs w:val="21"/>
              </w:rPr>
            </w:pPr>
          </w:p>
        </w:tc>
      </w:tr>
    </w:tbl>
    <w:p w14:paraId="4CBE823D">
      <w:pPr>
        <w:rPr>
          <w:rFonts w:ascii="Times New Roman" w:hAnsi="Times New Roman" w:eastAsia="仿宋" w:cs="Times New Roman"/>
          <w:szCs w:val="21"/>
        </w:rPr>
      </w:pPr>
    </w:p>
    <w:p w14:paraId="12D3F8B5">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19B9064B">
      <w:pPr>
        <w:jc w:val="center"/>
        <w:rPr>
          <w:rFonts w:ascii="Times New Roman" w:hAnsi="Times New Roman" w:eastAsia="仿宋" w:cs="Times New Roman"/>
          <w:b/>
          <w:szCs w:val="21"/>
        </w:r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567"/>
        <w:gridCol w:w="426"/>
        <w:gridCol w:w="607"/>
        <w:gridCol w:w="810"/>
        <w:gridCol w:w="1134"/>
        <w:gridCol w:w="1237"/>
        <w:gridCol w:w="1031"/>
        <w:gridCol w:w="1380"/>
        <w:gridCol w:w="3298"/>
        <w:gridCol w:w="1440"/>
      </w:tblGrid>
      <w:tr w14:paraId="1AB9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3C5E9EC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29" w:type="dxa"/>
            <w:vMerge w:val="restart"/>
            <w:vAlign w:val="center"/>
          </w:tcPr>
          <w:p w14:paraId="1DF6F26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00" w:type="dxa"/>
            <w:gridSpan w:val="3"/>
            <w:vAlign w:val="center"/>
          </w:tcPr>
          <w:p w14:paraId="28C0AE7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10" w:type="dxa"/>
            <w:vMerge w:val="restart"/>
            <w:vAlign w:val="center"/>
          </w:tcPr>
          <w:p w14:paraId="23D2DB2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1F0222B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37" w:type="dxa"/>
            <w:vMerge w:val="restart"/>
            <w:vAlign w:val="center"/>
          </w:tcPr>
          <w:p w14:paraId="253E417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031" w:type="dxa"/>
            <w:vMerge w:val="restart"/>
            <w:vAlign w:val="center"/>
          </w:tcPr>
          <w:p w14:paraId="2161A14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678" w:type="dxa"/>
            <w:gridSpan w:val="2"/>
            <w:vMerge w:val="restart"/>
            <w:vAlign w:val="center"/>
          </w:tcPr>
          <w:p w14:paraId="775268C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440" w:type="dxa"/>
            <w:vMerge w:val="restart"/>
            <w:vAlign w:val="center"/>
          </w:tcPr>
          <w:p w14:paraId="2C00176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3F59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D86664A">
            <w:pPr>
              <w:widowControl/>
              <w:jc w:val="left"/>
              <w:rPr>
                <w:rFonts w:ascii="Times New Roman" w:hAnsi="Times New Roman" w:eastAsia="仿宋" w:cs="Times New Roman"/>
                <w:b/>
                <w:kern w:val="0"/>
                <w:szCs w:val="21"/>
              </w:rPr>
            </w:pPr>
          </w:p>
        </w:tc>
        <w:tc>
          <w:tcPr>
            <w:tcW w:w="1129" w:type="dxa"/>
            <w:vMerge w:val="continue"/>
            <w:vAlign w:val="center"/>
          </w:tcPr>
          <w:p w14:paraId="5B764AF6">
            <w:pPr>
              <w:widowControl/>
              <w:jc w:val="left"/>
              <w:rPr>
                <w:rFonts w:ascii="Times New Roman" w:hAnsi="Times New Roman" w:eastAsia="仿宋" w:cs="Times New Roman"/>
                <w:b/>
                <w:kern w:val="0"/>
                <w:szCs w:val="21"/>
              </w:rPr>
            </w:pPr>
          </w:p>
        </w:tc>
        <w:tc>
          <w:tcPr>
            <w:tcW w:w="567" w:type="dxa"/>
            <w:vAlign w:val="center"/>
          </w:tcPr>
          <w:p w14:paraId="36D7879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48B69A1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07" w:type="dxa"/>
            <w:vAlign w:val="center"/>
          </w:tcPr>
          <w:p w14:paraId="1A9342C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10" w:type="dxa"/>
            <w:vMerge w:val="continue"/>
            <w:vAlign w:val="center"/>
          </w:tcPr>
          <w:p w14:paraId="6C3D2663">
            <w:pPr>
              <w:widowControl/>
              <w:jc w:val="left"/>
              <w:rPr>
                <w:rFonts w:ascii="Times New Roman" w:hAnsi="Times New Roman" w:eastAsia="仿宋" w:cs="Times New Roman"/>
                <w:b/>
                <w:kern w:val="0"/>
                <w:szCs w:val="21"/>
              </w:rPr>
            </w:pPr>
          </w:p>
        </w:tc>
        <w:tc>
          <w:tcPr>
            <w:tcW w:w="1134" w:type="dxa"/>
            <w:vMerge w:val="continue"/>
            <w:vAlign w:val="center"/>
          </w:tcPr>
          <w:p w14:paraId="3D834101">
            <w:pPr>
              <w:widowControl/>
              <w:jc w:val="left"/>
              <w:rPr>
                <w:rFonts w:ascii="Times New Roman" w:hAnsi="Times New Roman" w:eastAsia="仿宋" w:cs="Times New Roman"/>
                <w:b/>
                <w:kern w:val="0"/>
                <w:szCs w:val="21"/>
              </w:rPr>
            </w:pPr>
          </w:p>
        </w:tc>
        <w:tc>
          <w:tcPr>
            <w:tcW w:w="1237" w:type="dxa"/>
            <w:vMerge w:val="continue"/>
            <w:vAlign w:val="center"/>
          </w:tcPr>
          <w:p w14:paraId="6ECFD447">
            <w:pPr>
              <w:widowControl/>
              <w:jc w:val="left"/>
              <w:rPr>
                <w:rFonts w:ascii="Times New Roman" w:hAnsi="Times New Roman" w:eastAsia="仿宋" w:cs="Times New Roman"/>
                <w:b/>
                <w:kern w:val="0"/>
                <w:szCs w:val="21"/>
              </w:rPr>
            </w:pPr>
          </w:p>
        </w:tc>
        <w:tc>
          <w:tcPr>
            <w:tcW w:w="1031" w:type="dxa"/>
            <w:vMerge w:val="continue"/>
            <w:vAlign w:val="center"/>
          </w:tcPr>
          <w:p w14:paraId="6605C26D">
            <w:pPr>
              <w:widowControl/>
              <w:jc w:val="left"/>
              <w:rPr>
                <w:rFonts w:ascii="Times New Roman" w:hAnsi="Times New Roman" w:eastAsia="仿宋" w:cs="Times New Roman"/>
                <w:b/>
                <w:kern w:val="0"/>
                <w:szCs w:val="21"/>
              </w:rPr>
            </w:pPr>
          </w:p>
        </w:tc>
        <w:tc>
          <w:tcPr>
            <w:tcW w:w="4678" w:type="dxa"/>
            <w:gridSpan w:val="2"/>
            <w:vMerge w:val="continue"/>
            <w:vAlign w:val="center"/>
          </w:tcPr>
          <w:p w14:paraId="7373B3B2">
            <w:pPr>
              <w:widowControl/>
              <w:jc w:val="left"/>
              <w:rPr>
                <w:rFonts w:ascii="Times New Roman" w:hAnsi="Times New Roman" w:eastAsia="仿宋" w:cs="Times New Roman"/>
                <w:b/>
                <w:kern w:val="0"/>
                <w:szCs w:val="21"/>
              </w:rPr>
            </w:pPr>
          </w:p>
        </w:tc>
        <w:tc>
          <w:tcPr>
            <w:tcW w:w="1440" w:type="dxa"/>
            <w:vMerge w:val="continue"/>
            <w:vAlign w:val="center"/>
          </w:tcPr>
          <w:p w14:paraId="0DF1DD6E">
            <w:pPr>
              <w:widowControl/>
              <w:jc w:val="left"/>
              <w:rPr>
                <w:rFonts w:ascii="Times New Roman" w:hAnsi="Times New Roman" w:eastAsia="仿宋" w:cs="Times New Roman"/>
                <w:b/>
                <w:kern w:val="0"/>
                <w:szCs w:val="21"/>
              </w:rPr>
            </w:pPr>
          </w:p>
        </w:tc>
      </w:tr>
      <w:tr w14:paraId="0686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0E3AF6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ZH43112130003</w:t>
            </w:r>
          </w:p>
        </w:tc>
        <w:tc>
          <w:tcPr>
            <w:tcW w:w="1129" w:type="dxa"/>
            <w:vAlign w:val="center"/>
          </w:tcPr>
          <w:p w14:paraId="2D34BB0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大忠桥镇</w:t>
            </w:r>
          </w:p>
        </w:tc>
        <w:tc>
          <w:tcPr>
            <w:tcW w:w="567" w:type="dxa"/>
            <w:vAlign w:val="center"/>
          </w:tcPr>
          <w:p w14:paraId="13BC41E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6C19CFFC">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07" w:type="dxa"/>
            <w:vAlign w:val="center"/>
          </w:tcPr>
          <w:p w14:paraId="601B1853">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810" w:type="dxa"/>
            <w:vAlign w:val="center"/>
          </w:tcPr>
          <w:p w14:paraId="0631995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shd w:val="clear" w:color="auto" w:fill="auto"/>
            <w:vAlign w:val="center"/>
          </w:tcPr>
          <w:p w14:paraId="31F5ADC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128.47</w:t>
            </w:r>
          </w:p>
        </w:tc>
        <w:tc>
          <w:tcPr>
            <w:tcW w:w="1237" w:type="dxa"/>
            <w:shd w:val="clear" w:color="auto" w:fill="auto"/>
            <w:vAlign w:val="center"/>
          </w:tcPr>
          <w:p w14:paraId="4D5F210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大忠桥镇</w:t>
            </w:r>
          </w:p>
        </w:tc>
        <w:tc>
          <w:tcPr>
            <w:tcW w:w="1031" w:type="dxa"/>
            <w:vAlign w:val="center"/>
          </w:tcPr>
          <w:p w14:paraId="159EE1A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农产品主产区</w:t>
            </w:r>
          </w:p>
        </w:tc>
        <w:tc>
          <w:tcPr>
            <w:tcW w:w="4678" w:type="dxa"/>
            <w:gridSpan w:val="2"/>
            <w:vAlign w:val="center"/>
          </w:tcPr>
          <w:p w14:paraId="3640E167">
            <w:pPr>
              <w:widowControl/>
              <w:jc w:val="left"/>
              <w:rPr>
                <w:rFonts w:ascii="Times New Roman" w:hAnsi="Times New Roman" w:eastAsia="仿宋" w:cs="Times New Roman"/>
                <w:szCs w:val="21"/>
              </w:rPr>
            </w:pPr>
            <w:r>
              <w:rPr>
                <w:rFonts w:ascii="Times New Roman" w:hAnsi="Times New Roman" w:eastAsia="仿宋" w:cs="Times New Roman"/>
                <w:b/>
                <w:bCs/>
                <w:szCs w:val="21"/>
              </w:rPr>
              <w:t>大忠桥镇：</w:t>
            </w:r>
            <w:r>
              <w:rPr>
                <w:rFonts w:ascii="Times New Roman" w:hAnsi="Times New Roman" w:eastAsia="仿宋" w:cs="Times New Roman"/>
                <w:kern w:val="0"/>
                <w:szCs w:val="21"/>
              </w:rPr>
              <w:t>农产品加工业、木材加工、旅游业。</w:t>
            </w:r>
          </w:p>
        </w:tc>
        <w:tc>
          <w:tcPr>
            <w:tcW w:w="1440" w:type="dxa"/>
            <w:vAlign w:val="center"/>
          </w:tcPr>
          <w:p w14:paraId="4BE46B2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1775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4" w:type="dxa"/>
            <w:vAlign w:val="center"/>
          </w:tcPr>
          <w:p w14:paraId="7B7F9B6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297E029F">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大忠桥镇：</w:t>
            </w:r>
          </w:p>
          <w:p w14:paraId="65769F77">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三区三线生态红线/原生态红线/水土流失敏感区/生物多样性保护功能重要区/湿地公园/森林公园）；水环境优先保护区/水环境一般管控区；大气环境优先保护区/大气环境受体敏感重点管控区/大气环境弱扩散重点管控区；农用地优先保护区/农用地重点管控区/其他重点管控区/一般管控区</w:t>
            </w:r>
          </w:p>
        </w:tc>
      </w:tr>
      <w:tr w14:paraId="7E83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6702726">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21" w:type="dxa"/>
            <w:gridSpan w:val="9"/>
            <w:vAlign w:val="center"/>
          </w:tcPr>
          <w:p w14:paraId="24D1C27F">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738" w:type="dxa"/>
            <w:gridSpan w:val="2"/>
            <w:vAlign w:val="center"/>
          </w:tcPr>
          <w:p w14:paraId="368845DA">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DBC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7023B4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21" w:type="dxa"/>
            <w:gridSpan w:val="9"/>
            <w:vAlign w:val="center"/>
          </w:tcPr>
          <w:p w14:paraId="5D8FC1D1">
            <w:pPr>
              <w:numPr>
                <w:ilvl w:val="1"/>
                <w:numId w:val="5"/>
              </w:num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畜禽养殖产业布局应符合《祁阳县畜禽养殖布局规划》（2020-2024年）的要求。</w:t>
            </w:r>
          </w:p>
          <w:p w14:paraId="56916363">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（1.2）开展沿江化工污染整治，落实湘江干流（祁阳段）及主要支流岸线1公里范围内不准新建、扩建化工园区和化工项目要求，依法淘汰取缔违法违规工业园区。</w:t>
            </w:r>
          </w:p>
          <w:p w14:paraId="54E6D05B">
            <w:pPr>
              <w:pStyle w:val="8"/>
              <w:ind w:firstLine="420" w:firstLineChars="200"/>
              <w:rPr>
                <w:rFonts w:eastAsia="仿宋"/>
                <w:sz w:val="21"/>
                <w:szCs w:val="21"/>
              </w:rPr>
            </w:pPr>
            <w:r>
              <w:rPr>
                <w:rFonts w:eastAsia="仿宋"/>
                <w:sz w:val="21"/>
                <w:szCs w:val="21"/>
              </w:rPr>
              <w:t>（1.3）</w:t>
            </w:r>
            <w:r>
              <w:rPr>
                <w:rFonts w:eastAsia="仿宋"/>
                <w:szCs w:val="21"/>
              </w:rPr>
              <w:t>生态保护红线内自然保护区、风景名胜区、饮用水水源保护区等区域依照法律法规执行。</w:t>
            </w:r>
          </w:p>
        </w:tc>
        <w:tc>
          <w:tcPr>
            <w:tcW w:w="4738" w:type="dxa"/>
            <w:gridSpan w:val="2"/>
            <w:vMerge w:val="restart"/>
            <w:vAlign w:val="center"/>
          </w:tcPr>
          <w:p w14:paraId="7D0B02B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2F94093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（1.2）《永州市祁阳市“十四五”生态环境保护规划》；</w:t>
            </w:r>
          </w:p>
          <w:p w14:paraId="6C5AB884">
            <w:pPr>
              <w:widowControl/>
              <w:rPr>
                <w:rFonts w:ascii="Times New Roman" w:hAnsi="Times New Roman" w:eastAsia="仿宋" w:cs="Times New Roman"/>
                <w:szCs w:val="21"/>
              </w:rPr>
            </w:pPr>
            <w:r>
              <w:rPr>
                <w:rFonts w:ascii="Times New Roman" w:hAnsi="Times New Roman" w:eastAsia="仿宋" w:cs="Times New Roman"/>
                <w:szCs w:val="21"/>
              </w:rPr>
              <w:t>（1.3）《祁阳市国土空间总体规划（2021-2035年）》；</w:t>
            </w:r>
          </w:p>
          <w:p w14:paraId="46712C11">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《永州市祁阳市“十四五”生态环境保护规划》；</w:t>
            </w:r>
          </w:p>
          <w:p w14:paraId="5BF1FF74">
            <w:pPr>
              <w:widowControl/>
              <w:rPr>
                <w:rFonts w:ascii="Times New Roman" w:hAnsi="Times New Roman" w:eastAsia="仿宋" w:cs="Times New Roman"/>
                <w:szCs w:val="21"/>
              </w:rPr>
            </w:pPr>
            <w:r>
              <w:rPr>
                <w:rFonts w:ascii="Times New Roman" w:hAnsi="Times New Roman" w:eastAsia="仿宋" w:cs="Times New Roman"/>
                <w:szCs w:val="21"/>
              </w:rPr>
              <w:t>（2.2）《永州市祁阳市“十四五”生态环境保护规划》；</w:t>
            </w:r>
          </w:p>
          <w:p w14:paraId="57C0A11E">
            <w:pPr>
              <w:widowControl/>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《祁阳市突发环境事件应急预案》；</w:t>
            </w:r>
          </w:p>
          <w:p w14:paraId="5D5A8BF1">
            <w:pPr>
              <w:widowControl/>
              <w:rPr>
                <w:rFonts w:ascii="Times New Roman" w:hAnsi="Times New Roman" w:eastAsia="仿宋" w:cs="Times New Roman"/>
                <w:kern w:val="0"/>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7DBB3094">
            <w:pPr>
              <w:widowControl/>
              <w:rPr>
                <w:rFonts w:ascii="Times New Roman" w:hAnsi="Times New Roman" w:eastAsia="仿宋" w:cs="Times New Roman"/>
                <w:kern w:val="0"/>
                <w:szCs w:val="21"/>
              </w:rPr>
            </w:pPr>
            <w:r>
              <w:rPr>
                <w:rFonts w:ascii="Times New Roman" w:hAnsi="Times New Roman" w:eastAsia="仿宋" w:cs="Times New Roman"/>
                <w:kern w:val="0"/>
                <w:szCs w:val="21"/>
              </w:rPr>
              <w:t>（4.2.1）《关于调整永州市“十四五”用水总量和强度双控目标的通知》（永水发〔2024〕1号）；</w:t>
            </w:r>
          </w:p>
          <w:p w14:paraId="0590D53A">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561FA94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tc>
      </w:tr>
      <w:tr w14:paraId="74BD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1134" w:type="dxa"/>
            <w:vAlign w:val="center"/>
          </w:tcPr>
          <w:p w14:paraId="50D0EEA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21" w:type="dxa"/>
            <w:gridSpan w:val="9"/>
            <w:vAlign w:val="center"/>
          </w:tcPr>
          <w:p w14:paraId="3D0C60D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56ADF83B">
            <w:pPr>
              <w:tabs>
                <w:tab w:val="left" w:pos="1021"/>
              </w:tabs>
              <w:ind w:left="210" w:leftChars="100" w:firstLine="207" w:firstLineChars="99"/>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738" w:type="dxa"/>
            <w:gridSpan w:val="2"/>
            <w:vMerge w:val="continue"/>
            <w:vAlign w:val="center"/>
          </w:tcPr>
          <w:p w14:paraId="3E179D74">
            <w:pPr>
              <w:widowControl/>
              <w:jc w:val="left"/>
              <w:rPr>
                <w:rFonts w:ascii="Times New Roman" w:hAnsi="Times New Roman" w:eastAsia="仿宋" w:cs="Times New Roman"/>
                <w:szCs w:val="21"/>
              </w:rPr>
            </w:pPr>
          </w:p>
        </w:tc>
      </w:tr>
      <w:tr w14:paraId="25E9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134" w:type="dxa"/>
            <w:vAlign w:val="center"/>
          </w:tcPr>
          <w:p w14:paraId="7C1B622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21" w:type="dxa"/>
            <w:gridSpan w:val="9"/>
            <w:vAlign w:val="center"/>
          </w:tcPr>
          <w:p w14:paraId="30ADE57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738" w:type="dxa"/>
            <w:gridSpan w:val="2"/>
            <w:vMerge w:val="continue"/>
            <w:vAlign w:val="center"/>
          </w:tcPr>
          <w:p w14:paraId="3F9F78D0">
            <w:pPr>
              <w:widowControl/>
              <w:jc w:val="left"/>
              <w:rPr>
                <w:rFonts w:ascii="Times New Roman" w:hAnsi="Times New Roman" w:eastAsia="仿宋" w:cs="Times New Roman"/>
                <w:szCs w:val="21"/>
              </w:rPr>
            </w:pPr>
          </w:p>
        </w:tc>
      </w:tr>
      <w:tr w14:paraId="52E5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D74F1D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21" w:type="dxa"/>
            <w:gridSpan w:val="9"/>
            <w:vAlign w:val="center"/>
          </w:tcPr>
          <w:p w14:paraId="2E57D0C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68FC3E4E">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50%以内。</w:t>
            </w:r>
          </w:p>
          <w:p w14:paraId="03633C1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02AE0BA8">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1E7B0C27">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0F047738">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166DC88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tc>
        <w:tc>
          <w:tcPr>
            <w:tcW w:w="4738" w:type="dxa"/>
            <w:gridSpan w:val="2"/>
            <w:vMerge w:val="continue"/>
            <w:vAlign w:val="center"/>
          </w:tcPr>
          <w:p w14:paraId="191F7E6E">
            <w:pPr>
              <w:widowControl/>
              <w:jc w:val="left"/>
              <w:rPr>
                <w:rFonts w:ascii="Times New Roman" w:hAnsi="Times New Roman" w:eastAsia="仿宋" w:cs="Times New Roman"/>
                <w:szCs w:val="21"/>
              </w:rPr>
            </w:pPr>
          </w:p>
        </w:tc>
      </w:tr>
    </w:tbl>
    <w:p w14:paraId="578B36C8">
      <w:pPr>
        <w:jc w:val="center"/>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567"/>
        <w:gridCol w:w="426"/>
        <w:gridCol w:w="607"/>
        <w:gridCol w:w="810"/>
        <w:gridCol w:w="1134"/>
        <w:gridCol w:w="1237"/>
        <w:gridCol w:w="1668"/>
        <w:gridCol w:w="943"/>
        <w:gridCol w:w="3098"/>
        <w:gridCol w:w="1440"/>
      </w:tblGrid>
      <w:tr w14:paraId="7B02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6244925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29" w:type="dxa"/>
            <w:vMerge w:val="restart"/>
            <w:vAlign w:val="center"/>
          </w:tcPr>
          <w:p w14:paraId="778D37D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00" w:type="dxa"/>
            <w:gridSpan w:val="3"/>
            <w:vAlign w:val="center"/>
          </w:tcPr>
          <w:p w14:paraId="549C100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10" w:type="dxa"/>
            <w:vMerge w:val="restart"/>
            <w:vAlign w:val="center"/>
          </w:tcPr>
          <w:p w14:paraId="486E754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2CB59A4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37" w:type="dxa"/>
            <w:vMerge w:val="restart"/>
            <w:vAlign w:val="center"/>
          </w:tcPr>
          <w:p w14:paraId="59BA445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668" w:type="dxa"/>
            <w:vMerge w:val="restart"/>
            <w:vAlign w:val="center"/>
          </w:tcPr>
          <w:p w14:paraId="59ACAA8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041" w:type="dxa"/>
            <w:gridSpan w:val="2"/>
            <w:vMerge w:val="restart"/>
            <w:vAlign w:val="center"/>
          </w:tcPr>
          <w:p w14:paraId="3EE7ECD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440" w:type="dxa"/>
            <w:vMerge w:val="restart"/>
            <w:vAlign w:val="center"/>
          </w:tcPr>
          <w:p w14:paraId="2CDCF06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0217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7A640CB4">
            <w:pPr>
              <w:widowControl/>
              <w:jc w:val="left"/>
              <w:rPr>
                <w:rFonts w:ascii="Times New Roman" w:hAnsi="Times New Roman" w:eastAsia="仿宋" w:cs="Times New Roman"/>
                <w:b/>
                <w:kern w:val="0"/>
                <w:szCs w:val="21"/>
              </w:rPr>
            </w:pPr>
          </w:p>
        </w:tc>
        <w:tc>
          <w:tcPr>
            <w:tcW w:w="1129" w:type="dxa"/>
            <w:vMerge w:val="continue"/>
            <w:vAlign w:val="center"/>
          </w:tcPr>
          <w:p w14:paraId="5A70AD35">
            <w:pPr>
              <w:widowControl/>
              <w:jc w:val="left"/>
              <w:rPr>
                <w:rFonts w:ascii="Times New Roman" w:hAnsi="Times New Roman" w:eastAsia="仿宋" w:cs="Times New Roman"/>
                <w:b/>
                <w:kern w:val="0"/>
                <w:szCs w:val="21"/>
              </w:rPr>
            </w:pPr>
          </w:p>
        </w:tc>
        <w:tc>
          <w:tcPr>
            <w:tcW w:w="567" w:type="dxa"/>
            <w:vAlign w:val="center"/>
          </w:tcPr>
          <w:p w14:paraId="4CDF2E5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614CBDF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07" w:type="dxa"/>
            <w:vAlign w:val="center"/>
          </w:tcPr>
          <w:p w14:paraId="0BF762D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810" w:type="dxa"/>
            <w:vMerge w:val="continue"/>
            <w:vAlign w:val="center"/>
          </w:tcPr>
          <w:p w14:paraId="71A377E5">
            <w:pPr>
              <w:widowControl/>
              <w:jc w:val="left"/>
              <w:rPr>
                <w:rFonts w:ascii="Times New Roman" w:hAnsi="Times New Roman" w:eastAsia="仿宋" w:cs="Times New Roman"/>
                <w:b/>
                <w:kern w:val="0"/>
                <w:szCs w:val="21"/>
              </w:rPr>
            </w:pPr>
          </w:p>
        </w:tc>
        <w:tc>
          <w:tcPr>
            <w:tcW w:w="1134" w:type="dxa"/>
            <w:vMerge w:val="continue"/>
            <w:vAlign w:val="center"/>
          </w:tcPr>
          <w:p w14:paraId="7062C23A">
            <w:pPr>
              <w:widowControl/>
              <w:jc w:val="left"/>
              <w:rPr>
                <w:rFonts w:ascii="Times New Roman" w:hAnsi="Times New Roman" w:eastAsia="仿宋" w:cs="Times New Roman"/>
                <w:b/>
                <w:kern w:val="0"/>
                <w:szCs w:val="21"/>
              </w:rPr>
            </w:pPr>
          </w:p>
        </w:tc>
        <w:tc>
          <w:tcPr>
            <w:tcW w:w="1237" w:type="dxa"/>
            <w:vMerge w:val="continue"/>
            <w:vAlign w:val="center"/>
          </w:tcPr>
          <w:p w14:paraId="47F2E516">
            <w:pPr>
              <w:widowControl/>
              <w:jc w:val="left"/>
              <w:rPr>
                <w:rFonts w:ascii="Times New Roman" w:hAnsi="Times New Roman" w:eastAsia="仿宋" w:cs="Times New Roman"/>
                <w:b/>
                <w:kern w:val="0"/>
                <w:szCs w:val="21"/>
              </w:rPr>
            </w:pPr>
          </w:p>
        </w:tc>
        <w:tc>
          <w:tcPr>
            <w:tcW w:w="1668" w:type="dxa"/>
            <w:vMerge w:val="continue"/>
            <w:vAlign w:val="center"/>
          </w:tcPr>
          <w:p w14:paraId="2EF5BA27">
            <w:pPr>
              <w:widowControl/>
              <w:jc w:val="left"/>
              <w:rPr>
                <w:rFonts w:ascii="Times New Roman" w:hAnsi="Times New Roman" w:eastAsia="仿宋" w:cs="Times New Roman"/>
                <w:b/>
                <w:kern w:val="0"/>
                <w:szCs w:val="21"/>
              </w:rPr>
            </w:pPr>
          </w:p>
        </w:tc>
        <w:tc>
          <w:tcPr>
            <w:tcW w:w="4041" w:type="dxa"/>
            <w:gridSpan w:val="2"/>
            <w:vMerge w:val="continue"/>
            <w:vAlign w:val="center"/>
          </w:tcPr>
          <w:p w14:paraId="751B8D9B">
            <w:pPr>
              <w:widowControl/>
              <w:jc w:val="left"/>
              <w:rPr>
                <w:rFonts w:ascii="Times New Roman" w:hAnsi="Times New Roman" w:eastAsia="仿宋" w:cs="Times New Roman"/>
                <w:b/>
                <w:kern w:val="0"/>
                <w:szCs w:val="21"/>
              </w:rPr>
            </w:pPr>
          </w:p>
        </w:tc>
        <w:tc>
          <w:tcPr>
            <w:tcW w:w="1440" w:type="dxa"/>
            <w:vMerge w:val="continue"/>
            <w:vAlign w:val="center"/>
          </w:tcPr>
          <w:p w14:paraId="41BC51F6">
            <w:pPr>
              <w:widowControl/>
              <w:jc w:val="left"/>
              <w:rPr>
                <w:rFonts w:ascii="Times New Roman" w:hAnsi="Times New Roman" w:eastAsia="仿宋" w:cs="Times New Roman"/>
                <w:b/>
                <w:kern w:val="0"/>
                <w:szCs w:val="21"/>
              </w:rPr>
            </w:pPr>
          </w:p>
        </w:tc>
      </w:tr>
      <w:tr w14:paraId="1B1A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6725B1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ZH43117230001</w:t>
            </w:r>
          </w:p>
        </w:tc>
        <w:tc>
          <w:tcPr>
            <w:tcW w:w="1129" w:type="dxa"/>
            <w:vAlign w:val="center"/>
          </w:tcPr>
          <w:p w14:paraId="5D7312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八宝镇/石鼓源乡</w:t>
            </w:r>
          </w:p>
        </w:tc>
        <w:tc>
          <w:tcPr>
            <w:tcW w:w="567" w:type="dxa"/>
            <w:vAlign w:val="center"/>
          </w:tcPr>
          <w:p w14:paraId="7830CD3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003D8792">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07" w:type="dxa"/>
            <w:vAlign w:val="center"/>
          </w:tcPr>
          <w:p w14:paraId="76158EAA">
            <w:pPr>
              <w:widowControl/>
              <w:jc w:val="center"/>
              <w:rPr>
                <w:rFonts w:ascii="Times New Roman" w:hAnsi="Times New Roman" w:eastAsia="仿宋" w:cs="Times New Roman"/>
                <w:szCs w:val="21"/>
              </w:rPr>
            </w:pPr>
            <w:r>
              <w:rPr>
                <w:rFonts w:ascii="Times New Roman" w:hAnsi="Times New Roman" w:eastAsia="仿宋" w:cs="Times New Roman"/>
                <w:szCs w:val="21"/>
              </w:rPr>
              <w:t>祁阳市</w:t>
            </w:r>
          </w:p>
        </w:tc>
        <w:tc>
          <w:tcPr>
            <w:tcW w:w="810" w:type="dxa"/>
            <w:vAlign w:val="center"/>
          </w:tcPr>
          <w:p w14:paraId="5ACE9EF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shd w:val="clear" w:color="auto" w:fill="auto"/>
            <w:vAlign w:val="center"/>
          </w:tcPr>
          <w:p w14:paraId="0085AF5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199.81</w:t>
            </w:r>
          </w:p>
        </w:tc>
        <w:tc>
          <w:tcPr>
            <w:tcW w:w="1237" w:type="dxa"/>
            <w:shd w:val="clear" w:color="auto" w:fill="auto"/>
            <w:vAlign w:val="center"/>
          </w:tcPr>
          <w:p w14:paraId="6C51FD5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八宝镇/石鼓源乡</w:t>
            </w:r>
          </w:p>
        </w:tc>
        <w:tc>
          <w:tcPr>
            <w:tcW w:w="1668" w:type="dxa"/>
            <w:vAlign w:val="center"/>
          </w:tcPr>
          <w:p w14:paraId="73DC764C">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八宝镇：</w:t>
            </w:r>
            <w:r>
              <w:rPr>
                <w:rFonts w:ascii="Times New Roman" w:hAnsi="Times New Roman" w:eastAsia="仿宋" w:cs="Times New Roman"/>
                <w:kern w:val="0"/>
                <w:szCs w:val="21"/>
              </w:rPr>
              <w:t>农产品主产区；</w:t>
            </w:r>
            <w:r>
              <w:rPr>
                <w:rFonts w:ascii="Times New Roman" w:hAnsi="Times New Roman" w:eastAsia="仿宋" w:cs="Times New Roman"/>
                <w:b/>
                <w:bCs/>
                <w:kern w:val="0"/>
                <w:szCs w:val="21"/>
              </w:rPr>
              <w:t>石鼓源乡：</w:t>
            </w:r>
            <w:r>
              <w:rPr>
                <w:rFonts w:ascii="Times New Roman" w:hAnsi="Times New Roman" w:eastAsia="仿宋" w:cs="Times New Roman"/>
                <w:kern w:val="0"/>
                <w:szCs w:val="21"/>
              </w:rPr>
              <w:t>重点生态功能区</w:t>
            </w:r>
          </w:p>
        </w:tc>
        <w:tc>
          <w:tcPr>
            <w:tcW w:w="4041" w:type="dxa"/>
            <w:gridSpan w:val="2"/>
            <w:vAlign w:val="center"/>
          </w:tcPr>
          <w:p w14:paraId="40BC851B">
            <w:pPr>
              <w:widowControl/>
              <w:jc w:val="left"/>
              <w:rPr>
                <w:rFonts w:ascii="Times New Roman" w:hAnsi="Times New Roman" w:eastAsia="仿宋" w:cs="Times New Roman"/>
                <w:szCs w:val="21"/>
              </w:rPr>
            </w:pPr>
            <w:r>
              <w:rPr>
                <w:rFonts w:ascii="Times New Roman" w:hAnsi="Times New Roman" w:eastAsia="仿宋" w:cs="Times New Roman"/>
                <w:b/>
                <w:bCs/>
                <w:szCs w:val="21"/>
              </w:rPr>
              <w:t>八宝镇：</w:t>
            </w:r>
            <w:r>
              <w:rPr>
                <w:rFonts w:ascii="Times New Roman" w:hAnsi="Times New Roman" w:eastAsia="仿宋" w:cs="Times New Roman"/>
                <w:szCs w:val="21"/>
              </w:rPr>
              <w:t>农业、林业、木材加工等。</w:t>
            </w:r>
          </w:p>
          <w:p w14:paraId="54788F31">
            <w:pPr>
              <w:pStyle w:val="8"/>
              <w:jc w:val="left"/>
              <w:rPr>
                <w:rFonts w:eastAsia="仿宋"/>
                <w:strike/>
                <w:sz w:val="21"/>
                <w:szCs w:val="21"/>
              </w:rPr>
            </w:pPr>
            <w:r>
              <w:rPr>
                <w:rFonts w:eastAsia="仿宋"/>
                <w:b/>
                <w:bCs/>
                <w:sz w:val="21"/>
                <w:szCs w:val="21"/>
              </w:rPr>
              <w:t>石鼓源乡</w:t>
            </w:r>
            <w:r>
              <w:rPr>
                <w:rFonts w:eastAsia="仿宋"/>
                <w:sz w:val="21"/>
                <w:szCs w:val="21"/>
              </w:rPr>
              <w:t>：农业、旅游业、林业。</w:t>
            </w:r>
          </w:p>
        </w:tc>
        <w:tc>
          <w:tcPr>
            <w:tcW w:w="1440" w:type="dxa"/>
            <w:vAlign w:val="center"/>
          </w:tcPr>
          <w:p w14:paraId="49C140D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1CC5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1134" w:type="dxa"/>
            <w:vAlign w:val="center"/>
          </w:tcPr>
          <w:p w14:paraId="69CCE13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553A2391">
            <w:pPr>
              <w:widowControl/>
              <w:rPr>
                <w:rFonts w:ascii="Times New Roman" w:hAnsi="Times New Roman" w:eastAsia="仿宋" w:cs="Times New Roman"/>
                <w:b/>
                <w:bCs/>
                <w:szCs w:val="21"/>
              </w:rPr>
            </w:pPr>
            <w:r>
              <w:rPr>
                <w:rFonts w:ascii="Times New Roman" w:hAnsi="Times New Roman" w:eastAsia="仿宋" w:cs="Times New Roman"/>
                <w:b/>
                <w:bCs/>
                <w:szCs w:val="21"/>
              </w:rPr>
              <w:t>八宝镇：</w:t>
            </w:r>
          </w:p>
          <w:p w14:paraId="5CB939A2">
            <w:pPr>
              <w:widowControl/>
              <w:rPr>
                <w:rFonts w:eastAsia="仿宋"/>
                <w:szCs w:val="21"/>
              </w:rPr>
            </w:pPr>
            <w:r>
              <w:rPr>
                <w:rFonts w:eastAsia="仿宋"/>
                <w:szCs w:val="21"/>
              </w:rPr>
              <w:t>红线/一般生态空间（三区三线生态红线/水源涵养重要区/森林公园/原生态红线/水土流失敏感区/生物多样性保护功能重要区）；水环境一般管控区；大气环境优先保护区/大气环境受体敏感重点管控区/大气环境弱扩散重点管控区；农用地优先保护区/其他重点管控区/一般管控区</w:t>
            </w:r>
          </w:p>
          <w:p w14:paraId="13899E07">
            <w:pPr>
              <w:pStyle w:val="8"/>
              <w:spacing w:after="0"/>
              <w:rPr>
                <w:rFonts w:eastAsia="仿宋"/>
                <w:b/>
                <w:bCs/>
                <w:sz w:val="21"/>
                <w:szCs w:val="21"/>
              </w:rPr>
            </w:pPr>
            <w:r>
              <w:rPr>
                <w:rFonts w:eastAsia="仿宋"/>
                <w:b/>
                <w:bCs/>
                <w:sz w:val="21"/>
                <w:szCs w:val="21"/>
              </w:rPr>
              <w:t>石鼓源乡：</w:t>
            </w:r>
          </w:p>
          <w:p w14:paraId="6CE7122B">
            <w:pPr>
              <w:pStyle w:val="8"/>
              <w:spacing w:after="0"/>
              <w:rPr>
                <w:rFonts w:eastAsia="仿宋"/>
                <w:sz w:val="21"/>
                <w:szCs w:val="21"/>
              </w:rPr>
            </w:pPr>
            <w:r>
              <w:rPr>
                <w:rFonts w:eastAsia="仿宋"/>
                <w:sz w:val="21"/>
                <w:szCs w:val="21"/>
              </w:rPr>
              <w:t>红线/一般生态空间（水源涵养重要区/三区三线生态红线/水土流失敏感区/原生态红线）；水环境一般管控区；大气环境弱扩散重点管控区；农用地优先保护区/一般管控区</w:t>
            </w:r>
          </w:p>
        </w:tc>
      </w:tr>
      <w:tr w14:paraId="7138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ADB84C4">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521" w:type="dxa"/>
            <w:gridSpan w:val="9"/>
            <w:vAlign w:val="center"/>
          </w:tcPr>
          <w:p w14:paraId="52AACC8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538" w:type="dxa"/>
            <w:gridSpan w:val="2"/>
            <w:vAlign w:val="center"/>
          </w:tcPr>
          <w:p w14:paraId="4E3D6795">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878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1816A7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521" w:type="dxa"/>
            <w:gridSpan w:val="9"/>
            <w:vAlign w:val="center"/>
          </w:tcPr>
          <w:p w14:paraId="35DA4726">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（1.1）畜禽养殖产业布局应符合《祁阳县畜禽养殖布局规划》（2020-2024年）的要求。</w:t>
            </w:r>
          </w:p>
          <w:p w14:paraId="66913104">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（1.2）开展沿江化工污染整治，落实湘江干流（祁阳段）及主要支流岸线1公里范围内不准新建、扩建化工园区和化工项目要求，依法淘汰取缔违法违规工业园区。</w:t>
            </w:r>
          </w:p>
          <w:p w14:paraId="358065B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（1.3）生态保护红线内自然保护区、风景名胜区、饮用水水源保护区等区域依照法律法规执行。</w:t>
            </w:r>
          </w:p>
        </w:tc>
        <w:tc>
          <w:tcPr>
            <w:tcW w:w="4538" w:type="dxa"/>
            <w:gridSpan w:val="2"/>
            <w:vMerge w:val="restart"/>
            <w:vAlign w:val="center"/>
          </w:tcPr>
          <w:p w14:paraId="5BAAEAB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（1.1）《祁阳县畜禽养殖布局规划》（2020-2024年）；</w:t>
            </w:r>
          </w:p>
          <w:p w14:paraId="7E38078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（1.2）《永州市祁阳市“十四五”生态环境保护规划》；</w:t>
            </w:r>
          </w:p>
          <w:p w14:paraId="6222A69F">
            <w:pPr>
              <w:widowControl/>
              <w:rPr>
                <w:rFonts w:ascii="Times New Roman" w:hAnsi="Times New Roman" w:eastAsia="仿宋" w:cs="Times New Roman"/>
                <w:szCs w:val="21"/>
              </w:rPr>
            </w:pPr>
            <w:r>
              <w:rPr>
                <w:rFonts w:ascii="Times New Roman" w:hAnsi="Times New Roman" w:eastAsia="仿宋" w:cs="Times New Roman"/>
                <w:szCs w:val="21"/>
              </w:rPr>
              <w:t>（1.3）《祁阳市国土空间总体规划（2021-2035年）》；</w:t>
            </w:r>
          </w:p>
          <w:p w14:paraId="7C332193">
            <w:pPr>
              <w:widowControl/>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kern w:val="0"/>
                <w:szCs w:val="21"/>
              </w:rPr>
              <w:t>《祁阳市突发环境事件应急预案》</w:t>
            </w:r>
            <w:r>
              <w:rPr>
                <w:rFonts w:ascii="Times New Roman" w:hAnsi="Times New Roman" w:eastAsia="仿宋" w:cs="Times New Roman"/>
                <w:szCs w:val="21"/>
              </w:rPr>
              <w:t>；</w:t>
            </w:r>
          </w:p>
          <w:p w14:paraId="53A74E2F">
            <w:pPr>
              <w:widowControl/>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《永州市祁阳市“十四五”生态环境保护规划》；</w:t>
            </w:r>
          </w:p>
          <w:p w14:paraId="475A111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（4.2.1）《关于调整永州市“十四五”用水总量和强度双控目标的通知》（永水发〔2024〕1号）；</w:t>
            </w:r>
          </w:p>
          <w:p w14:paraId="4BB06028">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（4.2.2）</w:t>
            </w:r>
            <w:r>
              <w:rPr>
                <w:rFonts w:ascii="Times New Roman" w:hAnsi="Times New Roman" w:eastAsia="仿宋" w:cs="Times New Roman"/>
                <w:szCs w:val="21"/>
              </w:rPr>
              <w:t>《永州市祁阳市“十四五”生态环境保护规划》；</w:t>
            </w:r>
          </w:p>
          <w:p w14:paraId="7185235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（4.3）《祁阳市国土空间总体规划（2021-2035年）》</w:t>
            </w:r>
            <w:r>
              <w:rPr>
                <w:rFonts w:ascii="Times New Roman" w:hAnsi="Times New Roman" w:eastAsia="仿宋" w:cs="Times New Roman"/>
                <w:kern w:val="0"/>
                <w:szCs w:val="21"/>
              </w:rPr>
              <w:t>。</w:t>
            </w:r>
          </w:p>
        </w:tc>
      </w:tr>
      <w:tr w14:paraId="513F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134" w:type="dxa"/>
            <w:vAlign w:val="center"/>
          </w:tcPr>
          <w:p w14:paraId="6DA971C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521" w:type="dxa"/>
            <w:gridSpan w:val="9"/>
            <w:vAlign w:val="center"/>
          </w:tcPr>
          <w:p w14:paraId="362DF6F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kern w:val="0"/>
                <w:szCs w:val="21"/>
              </w:rPr>
              <w:t>全域禁止露天焚烧秸秆。城区建成区规模以上的餐饮服务单位全部安装高效油烟净化设施。严格控制烟花爆竹燃放，城区全面禁止燃放烟花爆竹。</w:t>
            </w:r>
          </w:p>
          <w:p w14:paraId="7E537A5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严格禁养区管理，依法处理违规畜禽养殖行为。对全市限养区、适养区内传统畜禽养殖场全面进行提质改造，配套建设畜禽废弃物无害化处理和资源化利用设施设备，使畜禽养殖污水稳定达标排放。</w:t>
            </w:r>
          </w:p>
        </w:tc>
        <w:tc>
          <w:tcPr>
            <w:tcW w:w="4538" w:type="dxa"/>
            <w:gridSpan w:val="2"/>
            <w:vMerge w:val="continue"/>
            <w:vAlign w:val="center"/>
          </w:tcPr>
          <w:p w14:paraId="062B47FC">
            <w:pPr>
              <w:widowControl/>
              <w:jc w:val="left"/>
              <w:rPr>
                <w:rFonts w:ascii="Times New Roman" w:hAnsi="Times New Roman" w:eastAsia="仿宋" w:cs="Times New Roman"/>
                <w:szCs w:val="21"/>
              </w:rPr>
            </w:pPr>
          </w:p>
        </w:tc>
      </w:tr>
      <w:tr w14:paraId="274F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B31451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521" w:type="dxa"/>
            <w:gridSpan w:val="9"/>
            <w:vAlign w:val="center"/>
          </w:tcPr>
          <w:p w14:paraId="6996E36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szCs w:val="21"/>
              </w:rPr>
              <w:t>祁阳市</w:t>
            </w:r>
            <w:r>
              <w:rPr>
                <w:rFonts w:ascii="Times New Roman" w:hAnsi="Times New Roman" w:eastAsia="仿宋" w:cs="Times New Roman"/>
                <w:szCs w:val="21"/>
                <w:lang w:eastAsia="zh-Hans"/>
              </w:rPr>
              <w:t>突发环境事件应急预案》强化环境风险管控，完善环境风险防控体系。</w:t>
            </w:r>
          </w:p>
        </w:tc>
        <w:tc>
          <w:tcPr>
            <w:tcW w:w="4538" w:type="dxa"/>
            <w:gridSpan w:val="2"/>
            <w:vMerge w:val="continue"/>
            <w:vAlign w:val="center"/>
          </w:tcPr>
          <w:p w14:paraId="2D2A2BD4">
            <w:pPr>
              <w:widowControl/>
              <w:jc w:val="left"/>
              <w:rPr>
                <w:rFonts w:ascii="Times New Roman" w:hAnsi="Times New Roman" w:eastAsia="仿宋" w:cs="Times New Roman"/>
                <w:szCs w:val="21"/>
              </w:rPr>
            </w:pPr>
          </w:p>
        </w:tc>
      </w:tr>
      <w:tr w14:paraId="7453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A34298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521" w:type="dxa"/>
            <w:gridSpan w:val="9"/>
            <w:vAlign w:val="center"/>
          </w:tcPr>
          <w:p w14:paraId="10C73C8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04191CB7">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1D9CE58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36C9EA1B">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（4.2.1）</w:t>
            </w:r>
            <w:r>
              <w:rPr>
                <w:rFonts w:ascii="Times New Roman" w:hAnsi="Times New Roman" w:eastAsia="仿宋" w:cs="Times New Roman"/>
                <w:kern w:val="0"/>
                <w:szCs w:val="21"/>
                <w:lang w:bidi="ar"/>
              </w:rPr>
              <w:t>到</w:t>
            </w:r>
            <w:r>
              <w:rPr>
                <w:rFonts w:ascii="Times New Roman" w:hAnsi="Times New Roman" w:eastAsia="仿宋" w:cs="Times New Roman"/>
                <w:szCs w:val="21"/>
              </w:rPr>
              <w:t>2025年，祁阳市用水总量控制在34567万立方米以内，农业用水总量控制在28071万立方米以内，万元地区生产总值用水量、万元工业增加值用水量分别比2020年降低18.06%、8.87%，农田灌溉水有效利用系数为0.545。</w:t>
            </w:r>
          </w:p>
          <w:p w14:paraId="16E521E1">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（4.2.2）</w:t>
            </w:r>
            <w:r>
              <w:rPr>
                <w:rFonts w:ascii="Times New Roman" w:hAnsi="Times New Roman" w:eastAsia="仿宋" w:cs="Times New Roman"/>
                <w:kern w:val="0"/>
                <w:szCs w:val="21"/>
              </w:rPr>
              <w:t>加强生态流量保障。“十四五”期间通过明确闸坝、水库生态调度任务和推进农村水电站生态流量监管，对水资源进行优化调度，保障河流生态流量和最小水位要求。</w:t>
            </w:r>
          </w:p>
          <w:p w14:paraId="25597EDC">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7BD0EC02">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kern w:val="0"/>
                <w:szCs w:val="21"/>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tc>
        <w:tc>
          <w:tcPr>
            <w:tcW w:w="4538" w:type="dxa"/>
            <w:gridSpan w:val="2"/>
            <w:vMerge w:val="continue"/>
            <w:vAlign w:val="center"/>
          </w:tcPr>
          <w:p w14:paraId="5FA2A837">
            <w:pPr>
              <w:widowControl/>
              <w:jc w:val="left"/>
              <w:rPr>
                <w:rFonts w:ascii="Times New Roman" w:hAnsi="Times New Roman" w:eastAsia="仿宋" w:cs="Times New Roman"/>
                <w:szCs w:val="21"/>
              </w:rPr>
            </w:pPr>
          </w:p>
        </w:tc>
      </w:tr>
    </w:tbl>
    <w:p w14:paraId="7ED9257F">
      <w:pPr>
        <w:tabs>
          <w:tab w:val="center" w:pos="6979"/>
        </w:tabs>
        <w:rPr>
          <w:rFonts w:ascii="Times New Roman" w:hAnsi="Times New Roman" w:eastAsia="仿宋" w:cs="Times New Roman"/>
          <w:b/>
          <w:szCs w:val="21"/>
        </w:rPr>
      </w:pPr>
      <w:r>
        <w:rPr>
          <w:rFonts w:ascii="Times New Roman" w:hAnsi="Times New Roman" w:eastAsia="仿宋" w:cs="Times New Roman"/>
          <w:b/>
          <w:szCs w:val="21"/>
        </w:rPr>
        <w:tab/>
      </w:r>
    </w:p>
    <w:p w14:paraId="0B7BEE5C">
      <w:pPr>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p>
    <w:p w14:paraId="392B37BD">
      <w:pPr>
        <w:spacing w:line="348" w:lineRule="auto"/>
        <w:jc w:val="center"/>
        <w:outlineLvl w:val="0"/>
        <w:rPr>
          <w:rFonts w:ascii="Times New Roman" w:hAnsi="Times New Roman" w:eastAsia="仿宋" w:cs="Times New Roman"/>
          <w:b/>
          <w:szCs w:val="21"/>
        </w:rPr>
      </w:pPr>
      <w:bookmarkStart w:id="22" w:name="_Toc20484770"/>
      <w:bookmarkStart w:id="23" w:name="_Toc160709113"/>
      <w:bookmarkStart w:id="24" w:name="_Toc58452422"/>
      <w:bookmarkStart w:id="25" w:name="_Toc3256"/>
      <w:bookmarkStart w:id="26" w:name="_Toc14419465"/>
      <w:r>
        <w:rPr>
          <w:rFonts w:ascii="Times New Roman" w:hAnsi="Times New Roman" w:eastAsia="仿宋" w:cs="Times New Roman"/>
          <w:b/>
          <w:szCs w:val="21"/>
        </w:rPr>
        <w:t>4  东安县</w:t>
      </w:r>
      <w:bookmarkEnd w:id="22"/>
      <w:bookmarkEnd w:id="23"/>
      <w:bookmarkEnd w:id="24"/>
      <w:bookmarkEnd w:id="25"/>
      <w:bookmarkEnd w:id="26"/>
    </w:p>
    <w:tbl>
      <w:tblPr>
        <w:tblStyle w:val="20"/>
        <w:tblW w:w="14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84"/>
        <w:gridCol w:w="579"/>
        <w:gridCol w:w="653"/>
        <w:gridCol w:w="992"/>
        <w:gridCol w:w="873"/>
        <w:gridCol w:w="1194"/>
        <w:gridCol w:w="2208"/>
        <w:gridCol w:w="1275"/>
        <w:gridCol w:w="3382"/>
      </w:tblGrid>
      <w:tr w14:paraId="1049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562FD60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4C99F5B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88" w:type="dxa"/>
            <w:gridSpan w:val="3"/>
            <w:vAlign w:val="center"/>
          </w:tcPr>
          <w:p w14:paraId="1B707D8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653" w:type="dxa"/>
            <w:vMerge w:val="restart"/>
            <w:vAlign w:val="center"/>
          </w:tcPr>
          <w:p w14:paraId="38D778C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2E49C5A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873" w:type="dxa"/>
            <w:vMerge w:val="restart"/>
            <w:vAlign w:val="center"/>
          </w:tcPr>
          <w:p w14:paraId="51F5607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94" w:type="dxa"/>
            <w:vMerge w:val="restart"/>
            <w:vAlign w:val="center"/>
          </w:tcPr>
          <w:p w14:paraId="0F3E7CD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483" w:type="dxa"/>
            <w:gridSpan w:val="2"/>
            <w:vMerge w:val="restart"/>
            <w:vAlign w:val="center"/>
          </w:tcPr>
          <w:p w14:paraId="39493F7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382" w:type="dxa"/>
            <w:vMerge w:val="restart"/>
            <w:vAlign w:val="center"/>
          </w:tcPr>
          <w:p w14:paraId="30C4F54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DA7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1CBA926D">
            <w:pPr>
              <w:widowControl/>
              <w:jc w:val="left"/>
              <w:rPr>
                <w:rFonts w:ascii="Times New Roman" w:hAnsi="Times New Roman" w:eastAsia="仿宋" w:cs="Times New Roman"/>
                <w:b/>
                <w:kern w:val="0"/>
                <w:szCs w:val="21"/>
              </w:rPr>
            </w:pPr>
          </w:p>
        </w:tc>
        <w:tc>
          <w:tcPr>
            <w:tcW w:w="851" w:type="dxa"/>
            <w:vMerge w:val="continue"/>
            <w:vAlign w:val="center"/>
          </w:tcPr>
          <w:p w14:paraId="38D8F3BE">
            <w:pPr>
              <w:widowControl/>
              <w:jc w:val="left"/>
              <w:rPr>
                <w:rFonts w:ascii="Times New Roman" w:hAnsi="Times New Roman" w:eastAsia="仿宋" w:cs="Times New Roman"/>
                <w:b/>
                <w:kern w:val="0"/>
                <w:szCs w:val="21"/>
              </w:rPr>
            </w:pPr>
          </w:p>
        </w:tc>
        <w:tc>
          <w:tcPr>
            <w:tcW w:w="425" w:type="dxa"/>
            <w:vAlign w:val="center"/>
          </w:tcPr>
          <w:p w14:paraId="3E7429D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84" w:type="dxa"/>
            <w:vAlign w:val="center"/>
          </w:tcPr>
          <w:p w14:paraId="442E5B0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79" w:type="dxa"/>
            <w:vAlign w:val="center"/>
          </w:tcPr>
          <w:p w14:paraId="618D933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653" w:type="dxa"/>
            <w:vMerge w:val="continue"/>
            <w:vAlign w:val="center"/>
          </w:tcPr>
          <w:p w14:paraId="0F79822E">
            <w:pPr>
              <w:widowControl/>
              <w:jc w:val="left"/>
              <w:rPr>
                <w:rFonts w:ascii="Times New Roman" w:hAnsi="Times New Roman" w:eastAsia="仿宋" w:cs="Times New Roman"/>
                <w:b/>
                <w:kern w:val="0"/>
                <w:szCs w:val="21"/>
              </w:rPr>
            </w:pPr>
          </w:p>
        </w:tc>
        <w:tc>
          <w:tcPr>
            <w:tcW w:w="992" w:type="dxa"/>
            <w:vMerge w:val="continue"/>
            <w:vAlign w:val="center"/>
          </w:tcPr>
          <w:p w14:paraId="0824C940">
            <w:pPr>
              <w:widowControl/>
              <w:jc w:val="left"/>
              <w:rPr>
                <w:rFonts w:ascii="Times New Roman" w:hAnsi="Times New Roman" w:eastAsia="仿宋" w:cs="Times New Roman"/>
                <w:b/>
                <w:kern w:val="0"/>
                <w:szCs w:val="21"/>
              </w:rPr>
            </w:pPr>
          </w:p>
        </w:tc>
        <w:tc>
          <w:tcPr>
            <w:tcW w:w="873" w:type="dxa"/>
            <w:vMerge w:val="continue"/>
            <w:vAlign w:val="center"/>
          </w:tcPr>
          <w:p w14:paraId="068DCA8D">
            <w:pPr>
              <w:widowControl/>
              <w:jc w:val="left"/>
              <w:rPr>
                <w:rFonts w:ascii="Times New Roman" w:hAnsi="Times New Roman" w:eastAsia="仿宋" w:cs="Times New Roman"/>
                <w:b/>
                <w:kern w:val="0"/>
                <w:szCs w:val="21"/>
              </w:rPr>
            </w:pPr>
          </w:p>
        </w:tc>
        <w:tc>
          <w:tcPr>
            <w:tcW w:w="1194" w:type="dxa"/>
            <w:vMerge w:val="continue"/>
            <w:vAlign w:val="center"/>
          </w:tcPr>
          <w:p w14:paraId="03B82B6D">
            <w:pPr>
              <w:widowControl/>
              <w:jc w:val="left"/>
              <w:rPr>
                <w:rFonts w:ascii="Times New Roman" w:hAnsi="Times New Roman" w:eastAsia="仿宋" w:cs="Times New Roman"/>
                <w:b/>
                <w:kern w:val="0"/>
                <w:szCs w:val="21"/>
              </w:rPr>
            </w:pPr>
          </w:p>
        </w:tc>
        <w:tc>
          <w:tcPr>
            <w:tcW w:w="3483" w:type="dxa"/>
            <w:gridSpan w:val="2"/>
            <w:vMerge w:val="continue"/>
            <w:vAlign w:val="center"/>
          </w:tcPr>
          <w:p w14:paraId="60D5419A">
            <w:pPr>
              <w:widowControl/>
              <w:jc w:val="left"/>
              <w:rPr>
                <w:rFonts w:ascii="Times New Roman" w:hAnsi="Times New Roman" w:eastAsia="仿宋" w:cs="Times New Roman"/>
                <w:b/>
                <w:kern w:val="0"/>
                <w:szCs w:val="21"/>
              </w:rPr>
            </w:pPr>
          </w:p>
        </w:tc>
        <w:tc>
          <w:tcPr>
            <w:tcW w:w="3382" w:type="dxa"/>
            <w:vMerge w:val="continue"/>
            <w:vAlign w:val="center"/>
          </w:tcPr>
          <w:p w14:paraId="10BB6ABA">
            <w:pPr>
              <w:widowControl/>
              <w:jc w:val="left"/>
              <w:rPr>
                <w:rFonts w:ascii="Times New Roman" w:hAnsi="Times New Roman" w:eastAsia="仿宋" w:cs="Times New Roman"/>
                <w:b/>
                <w:kern w:val="0"/>
                <w:szCs w:val="21"/>
              </w:rPr>
            </w:pPr>
          </w:p>
        </w:tc>
      </w:tr>
      <w:tr w14:paraId="2271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CC1268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ZH43112210001</w:t>
            </w:r>
          </w:p>
        </w:tc>
        <w:tc>
          <w:tcPr>
            <w:tcW w:w="851" w:type="dxa"/>
            <w:vAlign w:val="center"/>
          </w:tcPr>
          <w:p w14:paraId="22E6CCF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白牙市镇/紫溪市镇</w:t>
            </w:r>
          </w:p>
        </w:tc>
        <w:tc>
          <w:tcPr>
            <w:tcW w:w="425" w:type="dxa"/>
            <w:vAlign w:val="center"/>
          </w:tcPr>
          <w:p w14:paraId="22E4DBE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84" w:type="dxa"/>
            <w:vAlign w:val="center"/>
          </w:tcPr>
          <w:p w14:paraId="7B25853B">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79" w:type="dxa"/>
            <w:vAlign w:val="center"/>
          </w:tcPr>
          <w:p w14:paraId="141624E9">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653" w:type="dxa"/>
            <w:vAlign w:val="center"/>
          </w:tcPr>
          <w:p w14:paraId="34E7105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1C44C17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361.31</w:t>
            </w:r>
          </w:p>
        </w:tc>
        <w:tc>
          <w:tcPr>
            <w:tcW w:w="873" w:type="dxa"/>
            <w:vAlign w:val="center"/>
          </w:tcPr>
          <w:p w14:paraId="42A66DB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白牙市镇/紫溪市镇</w:t>
            </w:r>
          </w:p>
        </w:tc>
        <w:tc>
          <w:tcPr>
            <w:tcW w:w="1194" w:type="dxa"/>
            <w:vAlign w:val="center"/>
          </w:tcPr>
          <w:p w14:paraId="349E174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白牙市镇：城市化地区；紫溪市镇：重点生态功能区/历史文化资源富集区</w:t>
            </w:r>
          </w:p>
        </w:tc>
        <w:tc>
          <w:tcPr>
            <w:tcW w:w="3483" w:type="dxa"/>
            <w:gridSpan w:val="2"/>
            <w:vAlign w:val="center"/>
          </w:tcPr>
          <w:p w14:paraId="2DD87335">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紫溪市镇：</w:t>
            </w:r>
            <w:r>
              <w:rPr>
                <w:rFonts w:ascii="Times New Roman" w:hAnsi="Times New Roman" w:eastAsia="仿宋" w:cs="Times New Roman"/>
                <w:szCs w:val="21"/>
              </w:rPr>
              <w:t>种植业、养殖业、休闲度假、采矿业（建筑石料用灰岩矿开采、建筑用白云岩矿开采）、农产品加工业、建材（粘土砖瓦及建筑砌块制造、水泥制品制造、其他非金属矿物制品制造）、针织或钩针编织物及其制品制造、制鞋业、玩具制造等</w:t>
            </w:r>
            <w:r>
              <w:rPr>
                <w:rFonts w:ascii="Times New Roman" w:hAnsi="Times New Roman" w:eastAsia="仿宋" w:cs="Times New Roman"/>
                <w:kern w:val="0"/>
                <w:szCs w:val="21"/>
              </w:rPr>
              <w:t xml:space="preserve">。 </w:t>
            </w:r>
          </w:p>
          <w:p w14:paraId="4A7401B4">
            <w:pPr>
              <w:widowControl/>
              <w:rPr>
                <w:rFonts w:ascii="Times New Roman" w:hAnsi="Times New Roman" w:eastAsia="仿宋" w:cs="Times New Roman"/>
                <w:i/>
                <w:kern w:val="0"/>
                <w:szCs w:val="21"/>
              </w:rPr>
            </w:pPr>
            <w:r>
              <w:rPr>
                <w:rFonts w:ascii="Times New Roman" w:hAnsi="Times New Roman" w:eastAsia="仿宋" w:cs="Times New Roman"/>
                <w:b/>
                <w:bCs/>
                <w:kern w:val="0"/>
                <w:szCs w:val="21"/>
              </w:rPr>
              <w:t>白牙市镇</w:t>
            </w:r>
            <w:r>
              <w:rPr>
                <w:rFonts w:ascii="Times New Roman" w:hAnsi="Times New Roman" w:eastAsia="仿宋" w:cs="Times New Roman"/>
                <w:kern w:val="0"/>
                <w:szCs w:val="21"/>
              </w:rPr>
              <w:t>：</w:t>
            </w:r>
            <w:r>
              <w:rPr>
                <w:rFonts w:ascii="Times New Roman" w:hAnsi="Times New Roman" w:eastAsia="仿宋" w:cs="Times New Roman"/>
                <w:szCs w:val="21"/>
              </w:rPr>
              <w:t>种植业、养殖业、农产品加工业、制造业（针织或钩针编织物及其制品制造、制鞋业）、建材（粘土砖瓦及建筑砌块制造、水泥制品制造、其他非金属矿物制品制造）、采矿业（建筑石料用灰岩矿开采、砖瓦用页岩矿开采）等</w:t>
            </w:r>
            <w:r>
              <w:rPr>
                <w:rFonts w:ascii="Times New Roman" w:hAnsi="Times New Roman" w:eastAsia="仿宋" w:cs="Times New Roman"/>
                <w:kern w:val="0"/>
                <w:szCs w:val="21"/>
              </w:rPr>
              <w:t>。</w:t>
            </w:r>
          </w:p>
        </w:tc>
        <w:tc>
          <w:tcPr>
            <w:tcW w:w="3382" w:type="dxa"/>
            <w:vAlign w:val="center"/>
          </w:tcPr>
          <w:p w14:paraId="25C4CAE9">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76063DB6">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紫溪镇高岩水库山脊周边涉及历史遗留矿渣问题。白牙市镇无明显环境问题。</w:t>
            </w:r>
          </w:p>
          <w:p w14:paraId="353F171D">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0331B3A3">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白牙市镇涉及湖南东安紫水国家湿地公园、湘江刺鲃厚唇鱼华鳊国家级水产种质资源保护区、永州市东安县紫水河新屋至伍坝段饮用水水源保护区。</w:t>
            </w:r>
          </w:p>
          <w:p w14:paraId="03098E5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紫溪市镇涉及湘江刺鲃厚唇鱼华鳊国家级水产种质资源保护区、湖南东安紫水国家级湿地公园、永州市东安县高岩水库饮用水水源保护区（停止取水）、东安湘江饮用水水源保护区、紫溪市镇荷叶塘村供水工程地下水饮用水水源保护区（千人以上）。</w:t>
            </w:r>
          </w:p>
        </w:tc>
      </w:tr>
      <w:tr w14:paraId="369E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ABE4E8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16" w:type="dxa"/>
            <w:gridSpan w:val="11"/>
            <w:vAlign w:val="center"/>
          </w:tcPr>
          <w:p w14:paraId="6564969D">
            <w:pPr>
              <w:widowControl/>
              <w:rPr>
                <w:rFonts w:ascii="Times New Roman" w:hAnsi="Times New Roman" w:eastAsia="仿宋" w:cs="Times New Roman"/>
                <w:b/>
                <w:bCs/>
                <w:kern w:val="0"/>
                <w:szCs w:val="21"/>
              </w:rPr>
            </w:pPr>
            <w:r>
              <w:rPr>
                <w:rFonts w:ascii="Times New Roman" w:hAnsi="Times New Roman" w:eastAsia="仿宋" w:cs="Times New Roman"/>
                <w:b/>
                <w:bCs/>
                <w:kern w:val="0"/>
                <w:szCs w:val="21"/>
              </w:rPr>
              <w:t>白牙市镇：</w:t>
            </w:r>
          </w:p>
          <w:p w14:paraId="4CC504AC">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生物多样性保护功能重要区/三区三线生态红线/湿地公园/石漠公园/水土流失敏感区/水土保持功能重要区/原生态红线）；水环境一般管控区/水环境优先保护区/水环境工业污染重点管控区/</w:t>
            </w:r>
            <w:r>
              <w:rPr>
                <w:rFonts w:ascii="Times New Roman" w:hAnsi="Times New Roman" w:eastAsia="仿宋" w:cs="Times New Roman"/>
                <w:szCs w:val="21"/>
              </w:rPr>
              <w:t xml:space="preserve"> </w:t>
            </w:r>
            <w:r>
              <w:rPr>
                <w:rFonts w:ascii="Times New Roman" w:hAnsi="Times New Roman" w:eastAsia="仿宋" w:cs="Times New Roman"/>
                <w:kern w:val="0"/>
                <w:szCs w:val="21"/>
              </w:rPr>
              <w:t>水环境城镇生活污染重点管控区；大气环境优先保护区/大气环境高排放重点管控区/大气环境受体敏感重点管控区/大气环境弱扩散重点管控区/其他区域；建设用地重点管控区/其他重点管控区（矿区/中高风险企业用地/重金属污染防治重点区域）；高污染燃料禁燃区</w:t>
            </w:r>
          </w:p>
          <w:p w14:paraId="67E0F88C">
            <w:pPr>
              <w:widowControl/>
              <w:rPr>
                <w:rFonts w:ascii="Times New Roman" w:hAnsi="Times New Roman" w:eastAsia="仿宋" w:cs="Times New Roman"/>
                <w:b/>
                <w:bCs/>
                <w:szCs w:val="21"/>
              </w:rPr>
            </w:pPr>
            <w:r>
              <w:rPr>
                <w:rFonts w:ascii="Times New Roman" w:hAnsi="Times New Roman" w:eastAsia="仿宋" w:cs="Times New Roman"/>
                <w:b/>
                <w:bCs/>
                <w:szCs w:val="21"/>
              </w:rPr>
              <w:t>紫溪市镇：</w:t>
            </w:r>
          </w:p>
          <w:p w14:paraId="7B6770AE">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三区三线生态红线/湿地公园）；水环境一般管控区/水环境优先保护区/水环境其他重点管控区；大气环境优先保护区/大气环境受体敏感重点管控区/大气环境弱扩散重点管控区/其他区域；农用地优先保护区/农用地重点管控区/建设用地重点管控区（矿区/中高风险企业用地）/一般管控区/其他重点管控区</w:t>
            </w:r>
          </w:p>
        </w:tc>
      </w:tr>
      <w:tr w14:paraId="3DF0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0F4CE19">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59" w:type="dxa"/>
            <w:gridSpan w:val="9"/>
            <w:vAlign w:val="center"/>
          </w:tcPr>
          <w:p w14:paraId="4427EF88">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657" w:type="dxa"/>
            <w:gridSpan w:val="2"/>
            <w:vAlign w:val="center"/>
          </w:tcPr>
          <w:p w14:paraId="7A5216BC">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FE9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134" w:type="dxa"/>
            <w:vAlign w:val="center"/>
          </w:tcPr>
          <w:p w14:paraId="0C3BEC1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59" w:type="dxa"/>
            <w:gridSpan w:val="9"/>
            <w:vAlign w:val="center"/>
          </w:tcPr>
          <w:p w14:paraId="32B02C0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418423F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（1.2）紫水国家湿地公园：执行《湖南东安紫水国家湿地公园管理办法修正案》。</w:t>
            </w:r>
          </w:p>
          <w:p w14:paraId="5B9F5D9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自2020年1月1日0时起，湘江流域东安段全段全面禁止天然渔业资源的生产性捕捞（暂定10年），县境内湘江刺鲃厚唇鱼华鳊国家级水产种质资源保护区实行全面永久禁止天然渔业资源的生产性捕捞。在水产种质资源保护区内禁止围垦河流，确需围垦的，必须经过科学认证，并经省级以上人民政府批准。</w:t>
            </w:r>
          </w:p>
        </w:tc>
        <w:tc>
          <w:tcPr>
            <w:tcW w:w="4657" w:type="dxa"/>
            <w:gridSpan w:val="2"/>
            <w:vMerge w:val="restart"/>
            <w:vAlign w:val="center"/>
          </w:tcPr>
          <w:p w14:paraId="250441B9">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58F0352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（1.2）《湖南东安紫水国家湿地公园管理办法修正案》（东常发〔2020〕15号）；</w:t>
            </w:r>
          </w:p>
          <w:p w14:paraId="4DB4B42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（1.3）《湘江流域东安段全段禁捕及湘江刺鲃厚唇鱼华鳊国家级水产种质资源保护区保护管理办法》（东常发〔2020〕14号）；</w:t>
            </w:r>
          </w:p>
          <w:p w14:paraId="7E9BB0C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（2.1）（2.2）（3.1）（3.2）《永州市东安县“十四五”生态环境保护规划》；</w:t>
            </w:r>
          </w:p>
          <w:p w14:paraId="5D637B3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（2.3）《东安县土壤污染防治工作方案》（东政发〔2017〕8号）；</w:t>
            </w:r>
          </w:p>
          <w:p w14:paraId="23444DC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（4.1.1）《东安县人民政府关于调整高污染燃料禁燃区的通告》（东政函〔2021〕1号）；</w:t>
            </w:r>
          </w:p>
          <w:p w14:paraId="4080552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468C62CF">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B1B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jc w:val="center"/>
        </w:trPr>
        <w:tc>
          <w:tcPr>
            <w:tcW w:w="1134" w:type="dxa"/>
            <w:vAlign w:val="center"/>
          </w:tcPr>
          <w:p w14:paraId="0943E57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59" w:type="dxa"/>
            <w:gridSpan w:val="9"/>
            <w:vAlign w:val="center"/>
          </w:tcPr>
          <w:p w14:paraId="5302ABE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全面推进主城区排放油烟的规模以上的餐饮企业安装高效油烟净化装置，建立油烟净化装置定期清理维护制度。</w:t>
            </w:r>
          </w:p>
          <w:p w14:paraId="00EE42F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（2.2）加快推进煤改气、煤改电、煤改清洁能源等工程实施。</w:t>
            </w:r>
          </w:p>
          <w:p w14:paraId="0DD809E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（2.3）对重金属污染片区进行污染治理。治理与修复工程原则上在原址进行，并采取必要措施防止污染土壤挖掘、堆存，以及修复过程中产生的废水、废气、固废等造成二次污染。</w:t>
            </w:r>
          </w:p>
        </w:tc>
        <w:tc>
          <w:tcPr>
            <w:tcW w:w="4657" w:type="dxa"/>
            <w:gridSpan w:val="2"/>
            <w:vMerge w:val="continue"/>
            <w:vAlign w:val="center"/>
          </w:tcPr>
          <w:p w14:paraId="754170A1">
            <w:pPr>
              <w:widowControl/>
              <w:jc w:val="left"/>
              <w:rPr>
                <w:rFonts w:ascii="Times New Roman" w:hAnsi="Times New Roman" w:eastAsia="仿宋" w:cs="Times New Roman"/>
                <w:szCs w:val="21"/>
              </w:rPr>
            </w:pPr>
          </w:p>
        </w:tc>
      </w:tr>
      <w:tr w14:paraId="00EE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134" w:type="dxa"/>
            <w:vAlign w:val="center"/>
          </w:tcPr>
          <w:p w14:paraId="156FCE8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59" w:type="dxa"/>
            <w:gridSpan w:val="9"/>
            <w:vAlign w:val="center"/>
          </w:tcPr>
          <w:p w14:paraId="7E2E2F7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（3.1）加强城市放射性废物库的运行管理及安全保卫，确保废旧放射源做到100%的安全收贮。</w:t>
            </w:r>
          </w:p>
          <w:p w14:paraId="6779DD7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（3.2）建立环境风险信息报告制度、强化化学品环境影响评价及环境影响后评价、落实企业环境风险防控主体责任、提高化学品循环利用和安全处置水平。</w:t>
            </w:r>
          </w:p>
        </w:tc>
        <w:tc>
          <w:tcPr>
            <w:tcW w:w="4657" w:type="dxa"/>
            <w:gridSpan w:val="2"/>
            <w:vMerge w:val="continue"/>
            <w:vAlign w:val="center"/>
          </w:tcPr>
          <w:p w14:paraId="62D3C597">
            <w:pPr>
              <w:widowControl/>
              <w:jc w:val="left"/>
              <w:rPr>
                <w:rFonts w:ascii="Times New Roman" w:hAnsi="Times New Roman" w:eastAsia="仿宋" w:cs="Times New Roman"/>
                <w:szCs w:val="21"/>
              </w:rPr>
            </w:pPr>
          </w:p>
        </w:tc>
      </w:tr>
      <w:tr w14:paraId="11F1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CAD8C6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59" w:type="dxa"/>
            <w:gridSpan w:val="9"/>
            <w:vAlign w:val="center"/>
          </w:tcPr>
          <w:p w14:paraId="6C1746D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0140BF4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（4.1.1）白牙市镇：高污染燃料禁燃区按东安县政府发布的禁燃区划定方案中有关规定执行。</w:t>
            </w:r>
          </w:p>
          <w:p w14:paraId="1F4DFE8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kern w:val="0"/>
                <w:szCs w:val="21"/>
              </w:rPr>
              <w:t>全面完善能源基础设施，构建集水电、风电、光伏发电、天然气于一体多种能源并举的大能源格局。</w:t>
            </w:r>
          </w:p>
          <w:p w14:paraId="5CA1000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D581D66">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4657" w:type="dxa"/>
            <w:gridSpan w:val="2"/>
            <w:vMerge w:val="continue"/>
            <w:vAlign w:val="center"/>
          </w:tcPr>
          <w:p w14:paraId="49F97984">
            <w:pPr>
              <w:widowControl/>
              <w:jc w:val="left"/>
              <w:rPr>
                <w:rFonts w:ascii="Times New Roman" w:hAnsi="Times New Roman" w:eastAsia="仿宋" w:cs="Times New Roman"/>
                <w:szCs w:val="21"/>
              </w:rPr>
            </w:pPr>
          </w:p>
        </w:tc>
      </w:tr>
    </w:tbl>
    <w:p w14:paraId="0D78F299">
      <w:pPr>
        <w:rPr>
          <w:rFonts w:ascii="Times New Roman" w:hAnsi="Times New Roman" w:eastAsia="仿宋" w:cs="Times New Roman"/>
          <w:szCs w:val="21"/>
        </w:rPr>
      </w:pPr>
      <w:r>
        <w:rPr>
          <w:rFonts w:ascii="Times New Roman" w:hAnsi="Times New Roman" w:eastAsia="仿宋" w:cs="Times New Roman"/>
          <w:szCs w:val="21"/>
        </w:rPr>
        <w:br w:type="page"/>
      </w:r>
    </w:p>
    <w:p w14:paraId="28EF8CA0">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426"/>
        <w:gridCol w:w="708"/>
        <w:gridCol w:w="1276"/>
        <w:gridCol w:w="1134"/>
        <w:gridCol w:w="992"/>
        <w:gridCol w:w="2410"/>
        <w:gridCol w:w="518"/>
        <w:gridCol w:w="3899"/>
      </w:tblGrid>
      <w:tr w14:paraId="76AC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208D67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7329D0E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1" w:type="dxa"/>
            <w:gridSpan w:val="3"/>
            <w:vAlign w:val="center"/>
          </w:tcPr>
          <w:p w14:paraId="2815AC4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8" w:type="dxa"/>
            <w:vMerge w:val="restart"/>
            <w:vAlign w:val="center"/>
          </w:tcPr>
          <w:p w14:paraId="5B38474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38AD2D8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64AC182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2" w:type="dxa"/>
            <w:vMerge w:val="restart"/>
            <w:vAlign w:val="center"/>
          </w:tcPr>
          <w:p w14:paraId="5CE94D5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928" w:type="dxa"/>
            <w:gridSpan w:val="2"/>
            <w:vMerge w:val="restart"/>
            <w:vAlign w:val="center"/>
          </w:tcPr>
          <w:p w14:paraId="68E16B2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899" w:type="dxa"/>
            <w:vMerge w:val="restart"/>
            <w:vAlign w:val="center"/>
          </w:tcPr>
          <w:p w14:paraId="7431912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2432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04E0F89">
            <w:pPr>
              <w:widowControl/>
              <w:jc w:val="left"/>
              <w:rPr>
                <w:rFonts w:ascii="Times New Roman" w:hAnsi="Times New Roman" w:eastAsia="仿宋" w:cs="Times New Roman"/>
                <w:b/>
                <w:kern w:val="0"/>
                <w:szCs w:val="21"/>
              </w:rPr>
            </w:pPr>
          </w:p>
        </w:tc>
        <w:tc>
          <w:tcPr>
            <w:tcW w:w="851" w:type="dxa"/>
            <w:vMerge w:val="continue"/>
            <w:vAlign w:val="center"/>
          </w:tcPr>
          <w:p w14:paraId="5DDE3D58">
            <w:pPr>
              <w:widowControl/>
              <w:jc w:val="left"/>
              <w:rPr>
                <w:rFonts w:ascii="Times New Roman" w:hAnsi="Times New Roman" w:eastAsia="仿宋" w:cs="Times New Roman"/>
                <w:b/>
                <w:kern w:val="0"/>
                <w:szCs w:val="21"/>
              </w:rPr>
            </w:pPr>
          </w:p>
        </w:tc>
        <w:tc>
          <w:tcPr>
            <w:tcW w:w="425" w:type="dxa"/>
            <w:vAlign w:val="center"/>
          </w:tcPr>
          <w:p w14:paraId="048F27B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0" w:type="dxa"/>
            <w:vAlign w:val="center"/>
          </w:tcPr>
          <w:p w14:paraId="4085C45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6" w:type="dxa"/>
            <w:vAlign w:val="center"/>
          </w:tcPr>
          <w:p w14:paraId="773050C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8" w:type="dxa"/>
            <w:vMerge w:val="continue"/>
            <w:vAlign w:val="center"/>
          </w:tcPr>
          <w:p w14:paraId="42A0F960">
            <w:pPr>
              <w:widowControl/>
              <w:jc w:val="left"/>
              <w:rPr>
                <w:rFonts w:ascii="Times New Roman" w:hAnsi="Times New Roman" w:eastAsia="仿宋" w:cs="Times New Roman"/>
                <w:b/>
                <w:kern w:val="0"/>
                <w:szCs w:val="21"/>
              </w:rPr>
            </w:pPr>
          </w:p>
        </w:tc>
        <w:tc>
          <w:tcPr>
            <w:tcW w:w="1276" w:type="dxa"/>
            <w:vMerge w:val="continue"/>
            <w:vAlign w:val="center"/>
          </w:tcPr>
          <w:p w14:paraId="253A9B76">
            <w:pPr>
              <w:widowControl/>
              <w:jc w:val="left"/>
              <w:rPr>
                <w:rFonts w:ascii="Times New Roman" w:hAnsi="Times New Roman" w:eastAsia="仿宋" w:cs="Times New Roman"/>
                <w:b/>
                <w:kern w:val="0"/>
                <w:szCs w:val="21"/>
              </w:rPr>
            </w:pPr>
          </w:p>
        </w:tc>
        <w:tc>
          <w:tcPr>
            <w:tcW w:w="1134" w:type="dxa"/>
            <w:vMerge w:val="continue"/>
            <w:vAlign w:val="center"/>
          </w:tcPr>
          <w:p w14:paraId="2513FEA8">
            <w:pPr>
              <w:widowControl/>
              <w:jc w:val="left"/>
              <w:rPr>
                <w:rFonts w:ascii="Times New Roman" w:hAnsi="Times New Roman" w:eastAsia="仿宋" w:cs="Times New Roman"/>
                <w:b/>
                <w:kern w:val="0"/>
                <w:szCs w:val="21"/>
              </w:rPr>
            </w:pPr>
          </w:p>
        </w:tc>
        <w:tc>
          <w:tcPr>
            <w:tcW w:w="992" w:type="dxa"/>
            <w:vMerge w:val="continue"/>
            <w:vAlign w:val="center"/>
          </w:tcPr>
          <w:p w14:paraId="06FAE56B">
            <w:pPr>
              <w:widowControl/>
              <w:jc w:val="left"/>
              <w:rPr>
                <w:rFonts w:ascii="Times New Roman" w:hAnsi="Times New Roman" w:eastAsia="仿宋" w:cs="Times New Roman"/>
                <w:b/>
                <w:kern w:val="0"/>
                <w:szCs w:val="21"/>
              </w:rPr>
            </w:pPr>
          </w:p>
        </w:tc>
        <w:tc>
          <w:tcPr>
            <w:tcW w:w="2928" w:type="dxa"/>
            <w:gridSpan w:val="2"/>
            <w:vMerge w:val="continue"/>
            <w:vAlign w:val="center"/>
          </w:tcPr>
          <w:p w14:paraId="2CFB3C36">
            <w:pPr>
              <w:widowControl/>
              <w:jc w:val="left"/>
              <w:rPr>
                <w:rFonts w:ascii="Times New Roman" w:hAnsi="Times New Roman" w:eastAsia="仿宋" w:cs="Times New Roman"/>
                <w:b/>
                <w:kern w:val="0"/>
                <w:szCs w:val="21"/>
              </w:rPr>
            </w:pPr>
          </w:p>
        </w:tc>
        <w:tc>
          <w:tcPr>
            <w:tcW w:w="3899" w:type="dxa"/>
            <w:vMerge w:val="continue"/>
            <w:vAlign w:val="center"/>
          </w:tcPr>
          <w:p w14:paraId="78CA42B5">
            <w:pPr>
              <w:widowControl/>
              <w:jc w:val="left"/>
              <w:rPr>
                <w:rFonts w:ascii="Times New Roman" w:hAnsi="Times New Roman" w:eastAsia="仿宋" w:cs="Times New Roman"/>
                <w:b/>
                <w:kern w:val="0"/>
                <w:szCs w:val="21"/>
              </w:rPr>
            </w:pPr>
          </w:p>
        </w:tc>
      </w:tr>
      <w:tr w14:paraId="77D5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EEA90B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ZH43112210002</w:t>
            </w:r>
          </w:p>
        </w:tc>
        <w:tc>
          <w:tcPr>
            <w:tcW w:w="851" w:type="dxa"/>
            <w:vAlign w:val="center"/>
          </w:tcPr>
          <w:p w14:paraId="0D2658F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鹿马桥镇</w:t>
            </w:r>
          </w:p>
        </w:tc>
        <w:tc>
          <w:tcPr>
            <w:tcW w:w="425" w:type="dxa"/>
            <w:vAlign w:val="center"/>
          </w:tcPr>
          <w:p w14:paraId="3C7143D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0" w:type="dxa"/>
            <w:vAlign w:val="center"/>
          </w:tcPr>
          <w:p w14:paraId="2F47666F">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6" w:type="dxa"/>
            <w:vAlign w:val="center"/>
          </w:tcPr>
          <w:p w14:paraId="6E7663EB">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708" w:type="dxa"/>
            <w:vAlign w:val="center"/>
          </w:tcPr>
          <w:p w14:paraId="2EAD470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276" w:type="dxa"/>
            <w:vAlign w:val="center"/>
          </w:tcPr>
          <w:p w14:paraId="5140923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176.81</w:t>
            </w:r>
          </w:p>
        </w:tc>
        <w:tc>
          <w:tcPr>
            <w:tcW w:w="1134" w:type="dxa"/>
            <w:vAlign w:val="center"/>
          </w:tcPr>
          <w:p w14:paraId="3BFD017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鹿马桥镇</w:t>
            </w:r>
          </w:p>
        </w:tc>
        <w:tc>
          <w:tcPr>
            <w:tcW w:w="992" w:type="dxa"/>
            <w:vAlign w:val="center"/>
          </w:tcPr>
          <w:p w14:paraId="3CB3238F">
            <w:pPr>
              <w:widowControl/>
              <w:jc w:val="center"/>
              <w:rPr>
                <w:rFonts w:ascii="Times New Roman" w:hAnsi="Times New Roman" w:eastAsia="仿宋" w:cs="Times New Roman"/>
                <w:kern w:val="0"/>
                <w:szCs w:val="21"/>
              </w:rPr>
            </w:pPr>
            <w:r>
              <w:rPr>
                <w:rFonts w:ascii="Times New Roman" w:hAnsi="Times New Roman" w:eastAsia="仿宋" w:cs="Times New Roman"/>
                <w:szCs w:val="21"/>
              </w:rPr>
              <w:t>鹿马桥镇：</w:t>
            </w:r>
            <w:r>
              <w:rPr>
                <w:rFonts w:ascii="Times New Roman" w:hAnsi="Times New Roman" w:eastAsia="仿宋" w:cs="Times New Roman"/>
                <w:kern w:val="0"/>
                <w:szCs w:val="21"/>
              </w:rPr>
              <w:t>重点生态功能区</w:t>
            </w:r>
          </w:p>
        </w:tc>
        <w:tc>
          <w:tcPr>
            <w:tcW w:w="2928" w:type="dxa"/>
            <w:gridSpan w:val="2"/>
            <w:vAlign w:val="center"/>
          </w:tcPr>
          <w:p w14:paraId="625D03CB">
            <w:pPr>
              <w:widowControl/>
              <w:rPr>
                <w:rFonts w:ascii="Times New Roman" w:hAnsi="Times New Roman" w:eastAsia="仿宋" w:cs="Times New Roman"/>
                <w:kern w:val="0"/>
                <w:szCs w:val="21"/>
              </w:rPr>
            </w:pPr>
            <w:r>
              <w:rPr>
                <w:rFonts w:ascii="Times New Roman" w:hAnsi="Times New Roman" w:eastAsia="仿宋" w:cs="Times New Roman"/>
                <w:szCs w:val="21"/>
              </w:rPr>
              <w:t>种植业、养殖业、旅游、农产品加工、建材（粘土砖瓦及建筑砌块制造、水泥制品制造）、制造业（针织或钩针编织物及其制品制造、制鞋业、玩具制造、塑料制品业）、采矿业（建筑石料用灰岩矿开采）、风力发电等</w:t>
            </w:r>
          </w:p>
        </w:tc>
        <w:tc>
          <w:tcPr>
            <w:tcW w:w="3899" w:type="dxa"/>
            <w:vAlign w:val="center"/>
          </w:tcPr>
          <w:p w14:paraId="33A199A1">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215CA05C">
            <w:pPr>
              <w:widowControl/>
              <w:jc w:val="left"/>
              <w:rPr>
                <w:rFonts w:ascii="Times New Roman" w:hAnsi="Times New Roman" w:eastAsia="仿宋" w:cs="Times New Roman"/>
                <w:szCs w:val="21"/>
              </w:rPr>
            </w:pPr>
            <w:r>
              <w:rPr>
                <w:rFonts w:ascii="Times New Roman" w:hAnsi="Times New Roman" w:eastAsia="仿宋" w:cs="Times New Roman"/>
                <w:szCs w:val="21"/>
              </w:rPr>
              <w:t>历史遗留矿渣存在重金属污染风险。</w:t>
            </w:r>
          </w:p>
          <w:p w14:paraId="3A365423">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74A1B8AB">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鹿马桥镇涉及湖南东安黄金洞省级森林公园、东安县鹿马桥镇肖家岭村金江自来水厂饮用水水源保护区（服务乡镇千人以上）、陶家村山溪饮用水水源保护区（千人以上）、天堂村山溪饮用水水源保护区（千人以上）、马坪村金易德水厂地下水饮用水水源保护区（千人以上）、坪阳村供水工程地下水饮用水水源保护区（千人以上）、沙子山供水工程地下水饮用水水源保护区（千人以上）。</w:t>
            </w:r>
          </w:p>
        </w:tc>
      </w:tr>
      <w:tr w14:paraId="6D9B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4A4973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2964706F">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森林公园/水源涵养重要区/水土流失敏感区/三区三线生态红线/石漠化敏感区）；水环境一般管控区/水环境其他重点管控区；大气环境优先保护区/大气环境受体敏感重点管控区/其他区域；建设用地污染重点管控区（矿区/中高风险企业用地/重金属污染防治重点区域）/其他重点管控区</w:t>
            </w:r>
          </w:p>
        </w:tc>
      </w:tr>
      <w:tr w14:paraId="4EFF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AD357FE">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42" w:type="dxa"/>
            <w:gridSpan w:val="9"/>
            <w:vAlign w:val="center"/>
          </w:tcPr>
          <w:p w14:paraId="5646D0EF">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417" w:type="dxa"/>
            <w:gridSpan w:val="2"/>
            <w:vAlign w:val="center"/>
          </w:tcPr>
          <w:p w14:paraId="7959B9F5">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35F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A6FA6F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42" w:type="dxa"/>
            <w:gridSpan w:val="9"/>
            <w:vAlign w:val="center"/>
          </w:tcPr>
          <w:p w14:paraId="2941465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tc>
        <w:tc>
          <w:tcPr>
            <w:tcW w:w="4417" w:type="dxa"/>
            <w:gridSpan w:val="2"/>
            <w:vMerge w:val="restart"/>
            <w:vAlign w:val="center"/>
          </w:tcPr>
          <w:p w14:paraId="1C9B7220">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5736358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（2.1）《东安县土壤污染防治工作方案》（东政发〔2017〕8号）；</w:t>
            </w:r>
          </w:p>
          <w:p w14:paraId="531844E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（2.2）（3.2）《永州市东安县“十四五”生态环境保护规划》；</w:t>
            </w:r>
          </w:p>
          <w:p w14:paraId="1AA3B48F">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（3.2）《永州市“十四五”生态环境保护规划》；</w:t>
            </w:r>
          </w:p>
          <w:p w14:paraId="65B0EF8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004550B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298F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87C88D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42" w:type="dxa"/>
            <w:gridSpan w:val="9"/>
            <w:vAlign w:val="center"/>
          </w:tcPr>
          <w:p w14:paraId="0B388B1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（2.1）对重金属污染片区进行污染治理。治理与修复工程原则上在原址进行，并采取必要措施防止污染土壤挖掘、堆存，以及修复过程中产生的废水、废气、固废等造成二次污染。</w:t>
            </w:r>
          </w:p>
          <w:p w14:paraId="192703B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4417" w:type="dxa"/>
            <w:gridSpan w:val="2"/>
            <w:vMerge w:val="continue"/>
            <w:vAlign w:val="center"/>
          </w:tcPr>
          <w:p w14:paraId="6567CD66">
            <w:pPr>
              <w:widowControl/>
              <w:jc w:val="left"/>
              <w:rPr>
                <w:rFonts w:ascii="Times New Roman" w:hAnsi="Times New Roman" w:eastAsia="仿宋" w:cs="Times New Roman"/>
                <w:szCs w:val="21"/>
              </w:rPr>
            </w:pPr>
          </w:p>
        </w:tc>
      </w:tr>
      <w:tr w14:paraId="1907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6A2BF1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42" w:type="dxa"/>
            <w:gridSpan w:val="9"/>
            <w:vAlign w:val="center"/>
          </w:tcPr>
          <w:p w14:paraId="7C5A78F2">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（3.1）按相关要求对历史遗留矿渣进行安全处置。</w:t>
            </w:r>
          </w:p>
          <w:p w14:paraId="673BAB4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（3.2）按照《永州市“十四五”生态环境保护规划》、《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4417" w:type="dxa"/>
            <w:gridSpan w:val="2"/>
            <w:vMerge w:val="continue"/>
            <w:vAlign w:val="center"/>
          </w:tcPr>
          <w:p w14:paraId="327BD26D">
            <w:pPr>
              <w:widowControl/>
              <w:jc w:val="left"/>
              <w:rPr>
                <w:rFonts w:ascii="Times New Roman" w:hAnsi="Times New Roman" w:eastAsia="仿宋" w:cs="Times New Roman"/>
                <w:szCs w:val="21"/>
              </w:rPr>
            </w:pPr>
          </w:p>
        </w:tc>
      </w:tr>
      <w:tr w14:paraId="52F4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46EEA5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42" w:type="dxa"/>
            <w:gridSpan w:val="9"/>
            <w:vAlign w:val="center"/>
          </w:tcPr>
          <w:p w14:paraId="4469A0C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6C2EE8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76C5329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B55B1D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4417" w:type="dxa"/>
            <w:gridSpan w:val="2"/>
            <w:vMerge w:val="continue"/>
            <w:vAlign w:val="center"/>
          </w:tcPr>
          <w:p w14:paraId="77FA433A">
            <w:pPr>
              <w:widowControl/>
              <w:jc w:val="left"/>
              <w:rPr>
                <w:rFonts w:ascii="Times New Roman" w:hAnsi="Times New Roman" w:eastAsia="仿宋" w:cs="Times New Roman"/>
                <w:szCs w:val="21"/>
              </w:rPr>
            </w:pPr>
          </w:p>
        </w:tc>
      </w:tr>
    </w:tbl>
    <w:p w14:paraId="28139EA4">
      <w:pPr>
        <w:tabs>
          <w:tab w:val="left" w:pos="2319"/>
        </w:tabs>
        <w:rPr>
          <w:rFonts w:ascii="Times New Roman" w:hAnsi="Times New Roman" w:eastAsia="仿宋" w:cs="Times New Roman"/>
          <w:b/>
          <w:szCs w:val="21"/>
        </w:rPr>
        <w:sectPr>
          <w:pgSz w:w="16838" w:h="11906" w:orient="landscape"/>
          <w:pgMar w:top="1800" w:right="1440" w:bottom="1800" w:left="1440" w:header="851" w:footer="992" w:gutter="0"/>
          <w:cols w:space="720" w:num="1"/>
          <w:docGrid w:type="lines" w:linePitch="312" w:charSpace="0"/>
        </w:sectPr>
      </w:pPr>
    </w:p>
    <w:tbl>
      <w:tblPr>
        <w:tblStyle w:val="20"/>
        <w:tblW w:w="14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84"/>
        <w:gridCol w:w="579"/>
        <w:gridCol w:w="653"/>
        <w:gridCol w:w="992"/>
        <w:gridCol w:w="1055"/>
        <w:gridCol w:w="1012"/>
        <w:gridCol w:w="2491"/>
        <w:gridCol w:w="709"/>
        <w:gridCol w:w="3665"/>
      </w:tblGrid>
      <w:tr w14:paraId="255D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A03CE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468385D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88" w:type="dxa"/>
            <w:gridSpan w:val="3"/>
            <w:vAlign w:val="center"/>
          </w:tcPr>
          <w:p w14:paraId="68827A3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653" w:type="dxa"/>
            <w:vMerge w:val="restart"/>
            <w:vAlign w:val="center"/>
          </w:tcPr>
          <w:p w14:paraId="1A76FE0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5CF8BF4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29163AD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012" w:type="dxa"/>
            <w:vMerge w:val="restart"/>
            <w:vAlign w:val="center"/>
          </w:tcPr>
          <w:p w14:paraId="1F4CEAF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200" w:type="dxa"/>
            <w:gridSpan w:val="2"/>
            <w:vMerge w:val="restart"/>
            <w:vAlign w:val="center"/>
          </w:tcPr>
          <w:p w14:paraId="2CAD175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665" w:type="dxa"/>
            <w:vMerge w:val="restart"/>
            <w:vAlign w:val="center"/>
          </w:tcPr>
          <w:p w14:paraId="6B2C262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8AB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5F3BF6E0">
            <w:pPr>
              <w:widowControl/>
              <w:jc w:val="left"/>
              <w:rPr>
                <w:rFonts w:ascii="Times New Roman" w:hAnsi="Times New Roman" w:eastAsia="仿宋" w:cs="Times New Roman"/>
                <w:b/>
                <w:kern w:val="0"/>
                <w:szCs w:val="21"/>
              </w:rPr>
            </w:pPr>
          </w:p>
        </w:tc>
        <w:tc>
          <w:tcPr>
            <w:tcW w:w="851" w:type="dxa"/>
            <w:vMerge w:val="continue"/>
            <w:vAlign w:val="center"/>
          </w:tcPr>
          <w:p w14:paraId="55A75984">
            <w:pPr>
              <w:widowControl/>
              <w:jc w:val="left"/>
              <w:rPr>
                <w:rFonts w:ascii="Times New Roman" w:hAnsi="Times New Roman" w:eastAsia="仿宋" w:cs="Times New Roman"/>
                <w:b/>
                <w:kern w:val="0"/>
                <w:szCs w:val="21"/>
              </w:rPr>
            </w:pPr>
          </w:p>
        </w:tc>
        <w:tc>
          <w:tcPr>
            <w:tcW w:w="425" w:type="dxa"/>
            <w:vAlign w:val="center"/>
          </w:tcPr>
          <w:p w14:paraId="1966E3D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84" w:type="dxa"/>
            <w:vAlign w:val="center"/>
          </w:tcPr>
          <w:p w14:paraId="3F3032A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79" w:type="dxa"/>
            <w:vAlign w:val="center"/>
          </w:tcPr>
          <w:p w14:paraId="2AB4A94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653" w:type="dxa"/>
            <w:vMerge w:val="continue"/>
            <w:vAlign w:val="center"/>
          </w:tcPr>
          <w:p w14:paraId="62D9EA04">
            <w:pPr>
              <w:widowControl/>
              <w:jc w:val="left"/>
              <w:rPr>
                <w:rFonts w:ascii="Times New Roman" w:hAnsi="Times New Roman" w:eastAsia="仿宋" w:cs="Times New Roman"/>
                <w:b/>
                <w:kern w:val="0"/>
                <w:szCs w:val="21"/>
              </w:rPr>
            </w:pPr>
          </w:p>
        </w:tc>
        <w:tc>
          <w:tcPr>
            <w:tcW w:w="992" w:type="dxa"/>
            <w:vMerge w:val="continue"/>
            <w:vAlign w:val="center"/>
          </w:tcPr>
          <w:p w14:paraId="3E1DA3F1">
            <w:pPr>
              <w:widowControl/>
              <w:jc w:val="left"/>
              <w:rPr>
                <w:rFonts w:ascii="Times New Roman" w:hAnsi="Times New Roman" w:eastAsia="仿宋" w:cs="Times New Roman"/>
                <w:b/>
                <w:kern w:val="0"/>
                <w:szCs w:val="21"/>
              </w:rPr>
            </w:pPr>
          </w:p>
        </w:tc>
        <w:tc>
          <w:tcPr>
            <w:tcW w:w="1055" w:type="dxa"/>
            <w:vMerge w:val="continue"/>
            <w:vAlign w:val="center"/>
          </w:tcPr>
          <w:p w14:paraId="5CC0EC3D">
            <w:pPr>
              <w:widowControl/>
              <w:jc w:val="left"/>
              <w:rPr>
                <w:rFonts w:ascii="Times New Roman" w:hAnsi="Times New Roman" w:eastAsia="仿宋" w:cs="Times New Roman"/>
                <w:b/>
                <w:kern w:val="0"/>
                <w:szCs w:val="21"/>
              </w:rPr>
            </w:pPr>
          </w:p>
        </w:tc>
        <w:tc>
          <w:tcPr>
            <w:tcW w:w="1012" w:type="dxa"/>
            <w:vMerge w:val="continue"/>
            <w:vAlign w:val="center"/>
          </w:tcPr>
          <w:p w14:paraId="0478165E">
            <w:pPr>
              <w:widowControl/>
              <w:jc w:val="left"/>
              <w:rPr>
                <w:rFonts w:ascii="Times New Roman" w:hAnsi="Times New Roman" w:eastAsia="仿宋" w:cs="Times New Roman"/>
                <w:b/>
                <w:kern w:val="0"/>
                <w:szCs w:val="21"/>
              </w:rPr>
            </w:pPr>
          </w:p>
        </w:tc>
        <w:tc>
          <w:tcPr>
            <w:tcW w:w="3200" w:type="dxa"/>
            <w:gridSpan w:val="2"/>
            <w:vMerge w:val="continue"/>
            <w:vAlign w:val="center"/>
          </w:tcPr>
          <w:p w14:paraId="2A32F266">
            <w:pPr>
              <w:widowControl/>
              <w:jc w:val="left"/>
              <w:rPr>
                <w:rFonts w:ascii="Times New Roman" w:hAnsi="Times New Roman" w:eastAsia="仿宋" w:cs="Times New Roman"/>
                <w:b/>
                <w:kern w:val="0"/>
                <w:szCs w:val="21"/>
              </w:rPr>
            </w:pPr>
          </w:p>
        </w:tc>
        <w:tc>
          <w:tcPr>
            <w:tcW w:w="3665" w:type="dxa"/>
            <w:vMerge w:val="continue"/>
            <w:vAlign w:val="center"/>
          </w:tcPr>
          <w:p w14:paraId="40013F55">
            <w:pPr>
              <w:widowControl/>
              <w:jc w:val="left"/>
              <w:rPr>
                <w:rFonts w:ascii="Times New Roman" w:hAnsi="Times New Roman" w:eastAsia="仿宋" w:cs="Times New Roman"/>
                <w:b/>
                <w:kern w:val="0"/>
                <w:szCs w:val="21"/>
              </w:rPr>
            </w:pPr>
          </w:p>
        </w:tc>
      </w:tr>
      <w:tr w14:paraId="07DB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134" w:type="dxa"/>
            <w:vAlign w:val="center"/>
          </w:tcPr>
          <w:p w14:paraId="6CF0091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ZH43112210003</w:t>
            </w:r>
          </w:p>
        </w:tc>
        <w:tc>
          <w:tcPr>
            <w:tcW w:w="851" w:type="dxa"/>
            <w:vAlign w:val="center"/>
          </w:tcPr>
          <w:p w14:paraId="7D27516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大庙口镇</w:t>
            </w:r>
          </w:p>
        </w:tc>
        <w:tc>
          <w:tcPr>
            <w:tcW w:w="425" w:type="dxa"/>
            <w:vAlign w:val="center"/>
          </w:tcPr>
          <w:p w14:paraId="518ECA8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84" w:type="dxa"/>
            <w:vAlign w:val="center"/>
          </w:tcPr>
          <w:p w14:paraId="4550A19D">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79" w:type="dxa"/>
            <w:vAlign w:val="center"/>
          </w:tcPr>
          <w:p w14:paraId="1B432B92">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653" w:type="dxa"/>
            <w:vAlign w:val="center"/>
          </w:tcPr>
          <w:p w14:paraId="6D03DBC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4AFCC08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351.38</w:t>
            </w:r>
          </w:p>
        </w:tc>
        <w:tc>
          <w:tcPr>
            <w:tcW w:w="1055" w:type="dxa"/>
            <w:vAlign w:val="center"/>
          </w:tcPr>
          <w:p w14:paraId="6029519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大庙口镇</w:t>
            </w:r>
          </w:p>
        </w:tc>
        <w:tc>
          <w:tcPr>
            <w:tcW w:w="1012" w:type="dxa"/>
            <w:vAlign w:val="center"/>
          </w:tcPr>
          <w:p w14:paraId="2737BE1B">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大庙口镇：重点生态功能区</w:t>
            </w:r>
          </w:p>
        </w:tc>
        <w:tc>
          <w:tcPr>
            <w:tcW w:w="3200" w:type="dxa"/>
            <w:gridSpan w:val="2"/>
            <w:vAlign w:val="center"/>
          </w:tcPr>
          <w:p w14:paraId="5CA2FE12">
            <w:pPr>
              <w:widowControl/>
              <w:jc w:val="left"/>
              <w:rPr>
                <w:rFonts w:ascii="Times New Roman" w:hAnsi="Times New Roman" w:eastAsia="仿宋" w:cs="Times New Roman"/>
                <w:i/>
                <w:kern w:val="0"/>
                <w:szCs w:val="21"/>
              </w:rPr>
            </w:pPr>
            <w:r>
              <w:rPr>
                <w:rFonts w:ascii="Times New Roman" w:hAnsi="Times New Roman" w:eastAsia="仿宋" w:cs="Times New Roman"/>
                <w:szCs w:val="21"/>
              </w:rPr>
              <w:t>种植业、养殖业、生态旅游、农产品加工、采矿业（建筑石料用灰岩矿开采）、建材（粘土砖瓦及建筑砌块制造、水泥制品制造）、制造业（针织或钩针编织物及其制品制造、制鞋业、玩具制造）等。</w:t>
            </w:r>
          </w:p>
        </w:tc>
        <w:tc>
          <w:tcPr>
            <w:tcW w:w="3665" w:type="dxa"/>
            <w:vAlign w:val="center"/>
          </w:tcPr>
          <w:p w14:paraId="4133002A">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00B12AB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历史遗留矿渣存在重金属污染风险。</w:t>
            </w:r>
          </w:p>
          <w:p w14:paraId="07C4813F">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5B2C843A">
            <w:pPr>
              <w:widowControl/>
              <w:rPr>
                <w:rFonts w:ascii="Times New Roman" w:hAnsi="Times New Roman" w:eastAsia="仿宋" w:cs="Times New Roman"/>
                <w:kern w:val="0"/>
                <w:szCs w:val="21"/>
              </w:rPr>
            </w:pPr>
            <w:r>
              <w:rPr>
                <w:rFonts w:ascii="Times New Roman" w:hAnsi="Times New Roman" w:eastAsia="仿宋" w:cs="Times New Roman"/>
                <w:kern w:val="0"/>
                <w:szCs w:val="21"/>
              </w:rPr>
              <w:t>大庙口涉及湖南东安紫水国家级湿地公园、永州市东安县高岩水库饮用水水源保护区（停止取水）、东安县扬江饮用水水源保护区、紫水河源头水域（源头至紫云乡政府）、湖南东安舜皇山国家级自然保护区、东安县大庙口镇自来水厂饮用水水源保护区（千吨万人）、御江源村山溪饮用水水源保护区（千人以上）、高枧村山溪饮用水水源保护区（千人以上）。</w:t>
            </w:r>
          </w:p>
        </w:tc>
      </w:tr>
      <w:tr w14:paraId="0ACB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134" w:type="dxa"/>
            <w:vAlign w:val="center"/>
          </w:tcPr>
          <w:p w14:paraId="6B91814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16" w:type="dxa"/>
            <w:gridSpan w:val="11"/>
            <w:vAlign w:val="center"/>
          </w:tcPr>
          <w:p w14:paraId="16B85EC3">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自然保护区/三区三线生态红线/水土保持功能重要区/水土流失敏感区/湿地公园/生物多样性保护功能重要区/原生态红线/石漠化敏感区）；水环境一般管控区/水环境优先保护区；大气环境弱扩散重点管控区/大气环境一般管控区/大气环境优先保护区/大气环境受体敏感重点管控区；农用地优先保护区/农用地重点管控区/建设用地重点管控区（矿区）/其他重点管控区/一般管控区</w:t>
            </w:r>
          </w:p>
        </w:tc>
      </w:tr>
      <w:tr w14:paraId="7CFE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E6B56F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42" w:type="dxa"/>
            <w:gridSpan w:val="9"/>
            <w:vAlign w:val="center"/>
          </w:tcPr>
          <w:p w14:paraId="585CA34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374" w:type="dxa"/>
            <w:gridSpan w:val="2"/>
            <w:vAlign w:val="center"/>
          </w:tcPr>
          <w:p w14:paraId="1A79A628">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AF7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1134" w:type="dxa"/>
            <w:vAlign w:val="center"/>
          </w:tcPr>
          <w:p w14:paraId="240E883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42" w:type="dxa"/>
            <w:gridSpan w:val="9"/>
            <w:vAlign w:val="center"/>
          </w:tcPr>
          <w:p w14:paraId="0B1378E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2372FDC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（1.2）紫水国家湿地公园：执行《湖南东安紫水国家湿地公园管理办法修正案》。</w:t>
            </w:r>
          </w:p>
        </w:tc>
        <w:tc>
          <w:tcPr>
            <w:tcW w:w="4374" w:type="dxa"/>
            <w:gridSpan w:val="2"/>
            <w:vMerge w:val="restart"/>
            <w:vAlign w:val="center"/>
          </w:tcPr>
          <w:p w14:paraId="618F6260">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40CEA4C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（1.2）《湖南东安紫水国家湿地公园管理办法修正案》（东常发〔2020〕15号）；</w:t>
            </w:r>
          </w:p>
          <w:p w14:paraId="264A010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（2.1）（3.1）（3.2）《永州市东安县“十四五”生态环境保护规划》；</w:t>
            </w:r>
          </w:p>
          <w:p w14:paraId="157A842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（2.2）《东安县土壤污染防治工作方案》（东政发〔2017〕8号）；</w:t>
            </w:r>
          </w:p>
          <w:p w14:paraId="6E87B79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5F7767D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704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19C42C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42" w:type="dxa"/>
            <w:gridSpan w:val="9"/>
            <w:vAlign w:val="center"/>
          </w:tcPr>
          <w:p w14:paraId="562687A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w:t>
            </w:r>
          </w:p>
          <w:p w14:paraId="3B6414FF">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（2.2）对重金属污染片区进行污染治理。治理与修复工程原则上在原址进行，并采取必要措施防止污染土壤挖掘、堆存，以及修复过程中产生的废水、废气、固废等造成二次污染。</w:t>
            </w:r>
          </w:p>
        </w:tc>
        <w:tc>
          <w:tcPr>
            <w:tcW w:w="4374" w:type="dxa"/>
            <w:gridSpan w:val="2"/>
            <w:vMerge w:val="continue"/>
            <w:vAlign w:val="center"/>
          </w:tcPr>
          <w:p w14:paraId="1097A6C3">
            <w:pPr>
              <w:widowControl/>
              <w:jc w:val="left"/>
              <w:rPr>
                <w:rFonts w:ascii="Times New Roman" w:hAnsi="Times New Roman" w:eastAsia="仿宋" w:cs="Times New Roman"/>
                <w:szCs w:val="21"/>
              </w:rPr>
            </w:pPr>
          </w:p>
        </w:tc>
      </w:tr>
      <w:tr w14:paraId="7808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F651FD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42" w:type="dxa"/>
            <w:gridSpan w:val="9"/>
            <w:vAlign w:val="center"/>
          </w:tcPr>
          <w:p w14:paraId="2AE89B7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（3.1）加强城市放射性废物库的运行管理及安全保卫，确保废旧放射源做到100%的安全收贮。</w:t>
            </w:r>
          </w:p>
          <w:p w14:paraId="55E6288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（3.2）建立环境风险信息报告制度、强化化学品环境影响评价及环境影响后评价、落实企业环境风险防控主体责任、提高化学品循环利用和安全处置水平。</w:t>
            </w:r>
          </w:p>
        </w:tc>
        <w:tc>
          <w:tcPr>
            <w:tcW w:w="4374" w:type="dxa"/>
            <w:gridSpan w:val="2"/>
            <w:vMerge w:val="continue"/>
            <w:vAlign w:val="center"/>
          </w:tcPr>
          <w:p w14:paraId="35D82A51">
            <w:pPr>
              <w:widowControl/>
              <w:jc w:val="left"/>
              <w:rPr>
                <w:rFonts w:ascii="Times New Roman" w:hAnsi="Times New Roman" w:eastAsia="仿宋" w:cs="Times New Roman"/>
                <w:szCs w:val="21"/>
              </w:rPr>
            </w:pPr>
          </w:p>
        </w:tc>
      </w:tr>
      <w:tr w14:paraId="68F4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07D94F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42" w:type="dxa"/>
            <w:gridSpan w:val="9"/>
            <w:vAlign w:val="center"/>
          </w:tcPr>
          <w:p w14:paraId="3FB13E2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245638B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5959FDE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709711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4374" w:type="dxa"/>
            <w:gridSpan w:val="2"/>
            <w:vMerge w:val="continue"/>
            <w:vAlign w:val="center"/>
          </w:tcPr>
          <w:p w14:paraId="43CEEA5B">
            <w:pPr>
              <w:widowControl/>
              <w:jc w:val="left"/>
              <w:rPr>
                <w:rFonts w:ascii="Times New Roman" w:hAnsi="Times New Roman" w:eastAsia="仿宋" w:cs="Times New Roman"/>
                <w:szCs w:val="21"/>
              </w:rPr>
            </w:pPr>
          </w:p>
        </w:tc>
      </w:tr>
    </w:tbl>
    <w:p w14:paraId="35CDCDC2">
      <w:pPr>
        <w:tabs>
          <w:tab w:val="left" w:pos="2319"/>
        </w:tabs>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r>
        <w:rPr>
          <w:rFonts w:ascii="Times New Roman" w:hAnsi="Times New Roman" w:eastAsia="仿宋" w:cs="Times New Roman"/>
          <w:szCs w:val="21"/>
        </w:rPr>
        <w:tab/>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567"/>
        <w:gridCol w:w="709"/>
        <w:gridCol w:w="1134"/>
        <w:gridCol w:w="1134"/>
        <w:gridCol w:w="992"/>
        <w:gridCol w:w="2977"/>
        <w:gridCol w:w="283"/>
        <w:gridCol w:w="3425"/>
      </w:tblGrid>
      <w:tr w14:paraId="5741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DE265D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77351D6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4" w:type="dxa"/>
            <w:gridSpan w:val="3"/>
            <w:vAlign w:val="center"/>
          </w:tcPr>
          <w:p w14:paraId="6C05F19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194C2AD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21200D1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3B4E4E4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2" w:type="dxa"/>
            <w:vMerge w:val="restart"/>
            <w:vAlign w:val="center"/>
          </w:tcPr>
          <w:p w14:paraId="779F704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260" w:type="dxa"/>
            <w:gridSpan w:val="2"/>
            <w:vMerge w:val="restart"/>
            <w:vAlign w:val="center"/>
          </w:tcPr>
          <w:p w14:paraId="5D77607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25" w:type="dxa"/>
            <w:vMerge w:val="restart"/>
            <w:vAlign w:val="center"/>
          </w:tcPr>
          <w:p w14:paraId="5FE44EC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7460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FFFB399">
            <w:pPr>
              <w:widowControl/>
              <w:jc w:val="left"/>
              <w:rPr>
                <w:rFonts w:ascii="Times New Roman" w:hAnsi="Times New Roman" w:eastAsia="仿宋" w:cs="Times New Roman"/>
                <w:b/>
                <w:kern w:val="0"/>
                <w:szCs w:val="21"/>
              </w:rPr>
            </w:pPr>
          </w:p>
        </w:tc>
        <w:tc>
          <w:tcPr>
            <w:tcW w:w="851" w:type="dxa"/>
            <w:vMerge w:val="continue"/>
            <w:vAlign w:val="center"/>
          </w:tcPr>
          <w:p w14:paraId="3D768B91">
            <w:pPr>
              <w:widowControl/>
              <w:jc w:val="left"/>
              <w:rPr>
                <w:rFonts w:ascii="Times New Roman" w:hAnsi="Times New Roman" w:eastAsia="仿宋" w:cs="Times New Roman"/>
                <w:b/>
                <w:kern w:val="0"/>
                <w:szCs w:val="21"/>
              </w:rPr>
            </w:pPr>
          </w:p>
        </w:tc>
        <w:tc>
          <w:tcPr>
            <w:tcW w:w="425" w:type="dxa"/>
            <w:vAlign w:val="center"/>
          </w:tcPr>
          <w:p w14:paraId="1910630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62" w:type="dxa"/>
            <w:vAlign w:val="center"/>
          </w:tcPr>
          <w:p w14:paraId="62F0560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67" w:type="dxa"/>
            <w:vAlign w:val="center"/>
          </w:tcPr>
          <w:p w14:paraId="1A90714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0127F1AE">
            <w:pPr>
              <w:widowControl/>
              <w:jc w:val="left"/>
              <w:rPr>
                <w:rFonts w:ascii="Times New Roman" w:hAnsi="Times New Roman" w:eastAsia="仿宋" w:cs="Times New Roman"/>
                <w:b/>
                <w:kern w:val="0"/>
                <w:szCs w:val="21"/>
              </w:rPr>
            </w:pPr>
          </w:p>
        </w:tc>
        <w:tc>
          <w:tcPr>
            <w:tcW w:w="1134" w:type="dxa"/>
            <w:vMerge w:val="continue"/>
            <w:vAlign w:val="center"/>
          </w:tcPr>
          <w:p w14:paraId="04DC9ADF">
            <w:pPr>
              <w:widowControl/>
              <w:jc w:val="left"/>
              <w:rPr>
                <w:rFonts w:ascii="Times New Roman" w:hAnsi="Times New Roman" w:eastAsia="仿宋" w:cs="Times New Roman"/>
                <w:b/>
                <w:kern w:val="0"/>
                <w:szCs w:val="21"/>
              </w:rPr>
            </w:pPr>
          </w:p>
        </w:tc>
        <w:tc>
          <w:tcPr>
            <w:tcW w:w="1134" w:type="dxa"/>
            <w:vMerge w:val="continue"/>
            <w:vAlign w:val="center"/>
          </w:tcPr>
          <w:p w14:paraId="00FF93F1">
            <w:pPr>
              <w:widowControl/>
              <w:jc w:val="left"/>
              <w:rPr>
                <w:rFonts w:ascii="Times New Roman" w:hAnsi="Times New Roman" w:eastAsia="仿宋" w:cs="Times New Roman"/>
                <w:b/>
                <w:kern w:val="0"/>
                <w:szCs w:val="21"/>
              </w:rPr>
            </w:pPr>
          </w:p>
        </w:tc>
        <w:tc>
          <w:tcPr>
            <w:tcW w:w="992" w:type="dxa"/>
            <w:vMerge w:val="continue"/>
            <w:vAlign w:val="center"/>
          </w:tcPr>
          <w:p w14:paraId="2A78213B">
            <w:pPr>
              <w:widowControl/>
              <w:jc w:val="left"/>
              <w:rPr>
                <w:rFonts w:ascii="Times New Roman" w:hAnsi="Times New Roman" w:eastAsia="仿宋" w:cs="Times New Roman"/>
                <w:b/>
                <w:kern w:val="0"/>
                <w:szCs w:val="21"/>
              </w:rPr>
            </w:pPr>
          </w:p>
        </w:tc>
        <w:tc>
          <w:tcPr>
            <w:tcW w:w="3260" w:type="dxa"/>
            <w:gridSpan w:val="2"/>
            <w:vMerge w:val="continue"/>
            <w:vAlign w:val="center"/>
          </w:tcPr>
          <w:p w14:paraId="49AC1020">
            <w:pPr>
              <w:widowControl/>
              <w:jc w:val="left"/>
              <w:rPr>
                <w:rFonts w:ascii="Times New Roman" w:hAnsi="Times New Roman" w:eastAsia="仿宋" w:cs="Times New Roman"/>
                <w:b/>
                <w:kern w:val="0"/>
                <w:szCs w:val="21"/>
              </w:rPr>
            </w:pPr>
          </w:p>
        </w:tc>
        <w:tc>
          <w:tcPr>
            <w:tcW w:w="3425" w:type="dxa"/>
            <w:vMerge w:val="continue"/>
            <w:vAlign w:val="center"/>
          </w:tcPr>
          <w:p w14:paraId="05640370">
            <w:pPr>
              <w:widowControl/>
              <w:jc w:val="left"/>
              <w:rPr>
                <w:rFonts w:ascii="Times New Roman" w:hAnsi="Times New Roman" w:eastAsia="仿宋" w:cs="Times New Roman"/>
                <w:b/>
                <w:kern w:val="0"/>
                <w:szCs w:val="21"/>
              </w:rPr>
            </w:pPr>
          </w:p>
        </w:tc>
      </w:tr>
      <w:tr w14:paraId="7AE9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0C3474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ZH43112220001</w:t>
            </w:r>
          </w:p>
        </w:tc>
        <w:tc>
          <w:tcPr>
            <w:tcW w:w="851" w:type="dxa"/>
            <w:vAlign w:val="center"/>
          </w:tcPr>
          <w:p w14:paraId="40729B8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井头圩镇/石期市镇</w:t>
            </w:r>
          </w:p>
        </w:tc>
        <w:tc>
          <w:tcPr>
            <w:tcW w:w="425" w:type="dxa"/>
            <w:vAlign w:val="center"/>
          </w:tcPr>
          <w:p w14:paraId="5CA3BC0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2" w:type="dxa"/>
            <w:vAlign w:val="center"/>
          </w:tcPr>
          <w:p w14:paraId="5E997211">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0B856E7D">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709" w:type="dxa"/>
            <w:vAlign w:val="center"/>
          </w:tcPr>
          <w:p w14:paraId="525617E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134" w:type="dxa"/>
            <w:tcBorders>
              <w:left w:val="nil"/>
            </w:tcBorders>
            <w:vAlign w:val="center"/>
          </w:tcPr>
          <w:p w14:paraId="1ED9E6E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277.74</w:t>
            </w:r>
          </w:p>
        </w:tc>
        <w:tc>
          <w:tcPr>
            <w:tcW w:w="1134" w:type="dxa"/>
            <w:tcBorders>
              <w:right w:val="nil"/>
            </w:tcBorders>
            <w:vAlign w:val="center"/>
          </w:tcPr>
          <w:p w14:paraId="675AB24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井头圩镇/石期市镇</w:t>
            </w:r>
          </w:p>
        </w:tc>
        <w:tc>
          <w:tcPr>
            <w:tcW w:w="992" w:type="dxa"/>
            <w:vAlign w:val="center"/>
          </w:tcPr>
          <w:p w14:paraId="3A339C3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井头圩镇：城市化地区；石期市镇：农产品主产区</w:t>
            </w:r>
          </w:p>
        </w:tc>
        <w:tc>
          <w:tcPr>
            <w:tcW w:w="3260" w:type="dxa"/>
            <w:gridSpan w:val="2"/>
            <w:vAlign w:val="center"/>
          </w:tcPr>
          <w:p w14:paraId="0ED382C2">
            <w:pPr>
              <w:widowControl/>
              <w:rPr>
                <w:rFonts w:ascii="Times New Roman" w:hAnsi="Times New Roman" w:eastAsia="仿宋" w:cs="Times New Roman"/>
                <w:szCs w:val="21"/>
              </w:rPr>
            </w:pPr>
            <w:r>
              <w:rPr>
                <w:rFonts w:ascii="Times New Roman" w:hAnsi="Times New Roman" w:eastAsia="仿宋" w:cs="Times New Roman"/>
                <w:b/>
                <w:bCs/>
                <w:szCs w:val="21"/>
              </w:rPr>
              <w:t>井头圩镇：</w:t>
            </w:r>
            <w:r>
              <w:rPr>
                <w:rFonts w:ascii="Times New Roman" w:hAnsi="Times New Roman" w:eastAsia="仿宋" w:cs="Times New Roman"/>
                <w:szCs w:val="21"/>
              </w:rPr>
              <w:t>种植业、养殖业、农产品加工、制造业（制鞋业、塑料制品业）、建材（粘土砖瓦及建筑砌块制造、水泥制品制造）、采矿业（建筑石料用灰岩矿开采）、光伏发电。</w:t>
            </w:r>
          </w:p>
          <w:p w14:paraId="5BC7F294">
            <w:pPr>
              <w:widowControl/>
              <w:rPr>
                <w:rFonts w:ascii="Times New Roman" w:hAnsi="Times New Roman" w:eastAsia="仿宋" w:cs="Times New Roman"/>
                <w:szCs w:val="21"/>
              </w:rPr>
            </w:pPr>
            <w:r>
              <w:rPr>
                <w:rFonts w:ascii="Times New Roman" w:hAnsi="Times New Roman" w:eastAsia="仿宋" w:cs="Times New Roman"/>
                <w:b/>
                <w:bCs/>
                <w:kern w:val="0"/>
                <w:szCs w:val="21"/>
              </w:rPr>
              <w:t>石</w:t>
            </w:r>
            <w:r>
              <w:rPr>
                <w:rFonts w:ascii="Times New Roman" w:hAnsi="Times New Roman" w:eastAsia="仿宋" w:cs="Times New Roman"/>
                <w:b/>
                <w:bCs/>
                <w:szCs w:val="21"/>
              </w:rPr>
              <w:t>期市镇：</w:t>
            </w:r>
            <w:r>
              <w:rPr>
                <w:rFonts w:ascii="Times New Roman" w:hAnsi="Times New Roman" w:eastAsia="仿宋" w:cs="Times New Roman"/>
                <w:szCs w:val="21"/>
              </w:rPr>
              <w:t>种植业、养殖业、制造业、建材（粘土砖瓦及建筑砌块制造、水泥制品制造）、农产品加工、采矿业（建筑石料用灰岩矿开采）、光伏发电等。</w:t>
            </w:r>
          </w:p>
        </w:tc>
        <w:tc>
          <w:tcPr>
            <w:tcW w:w="3425" w:type="dxa"/>
            <w:vAlign w:val="center"/>
          </w:tcPr>
          <w:p w14:paraId="1F018A27">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060E1B2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重金属污染。</w:t>
            </w:r>
          </w:p>
          <w:p w14:paraId="4335A6D7">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585F2182">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井头圩镇涉及湖南东安紫水国家级湿地公园、湘江刺鲃厚唇鱼华鳊国家级水产种质资源保护区、凤凰村供水工程地下水饮用水水源保护区（千人以上）、石板铺村供水工程地下水饮用水水源保护区（千人以上）。</w:t>
            </w:r>
          </w:p>
          <w:p w14:paraId="27E1BB98">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石期市镇涉及湘江刺鲃厚唇鱼华鳊国家级水产种质资源保护区、湖南冷水滩湘江省级湿地公园、石期市镇湘江饮用水水源保护区（千吨万人）。</w:t>
            </w:r>
          </w:p>
        </w:tc>
      </w:tr>
      <w:tr w14:paraId="599D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jc w:val="center"/>
        </w:trPr>
        <w:tc>
          <w:tcPr>
            <w:tcW w:w="1134" w:type="dxa"/>
            <w:vAlign w:val="center"/>
          </w:tcPr>
          <w:p w14:paraId="2969F1E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33814DDA">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井头圩镇</w:t>
            </w:r>
            <w:r>
              <w:rPr>
                <w:rFonts w:ascii="Times New Roman" w:hAnsi="Times New Roman" w:eastAsia="仿宋" w:cs="Times New Roman"/>
                <w:kern w:val="0"/>
                <w:szCs w:val="21"/>
              </w:rPr>
              <w:t>：</w:t>
            </w:r>
          </w:p>
          <w:p w14:paraId="5AD0D668">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一般生态空间（水源涵养重要区/三区三线生态红线/生物多样性保护功能重要区/湿地公园/原生态红线）/红线；水环境一般管控区/水环境优先保护区/水环境城镇生活污染重点管控区；大气环境优先保护区（湖南东安紫水国家湿地公园）/大气环境受体敏感重点管控区/其他区域；建设用地污染重点管控区（矿区/中高风险企业用地/重金属污染防治重点区域）/其他重点管控区 </w:t>
            </w:r>
          </w:p>
          <w:p w14:paraId="6EC02102">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石期市镇：</w:t>
            </w:r>
          </w:p>
          <w:p w14:paraId="7648D3C5">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水土流失敏感区/湿地公园/生物多样性保护功能重要区）；水环境一般管控区/水环境优先保护区；大气环境优先保护区/大气环境高排放重点管控区/大气环境受体敏感重点管控区/其他区域；建设用地污染重点管控区（矿区/中高风险企业用地/重金属污染防治重点区域）/其他重点管控区</w:t>
            </w:r>
          </w:p>
        </w:tc>
      </w:tr>
      <w:tr w14:paraId="6FE8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9A6AA23">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351" w:type="dxa"/>
            <w:gridSpan w:val="9"/>
            <w:vAlign w:val="center"/>
          </w:tcPr>
          <w:p w14:paraId="058C5192">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708" w:type="dxa"/>
            <w:gridSpan w:val="2"/>
            <w:vAlign w:val="center"/>
          </w:tcPr>
          <w:p w14:paraId="4371D151">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E62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D4D0A3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351" w:type="dxa"/>
            <w:gridSpan w:val="9"/>
            <w:vAlign w:val="center"/>
          </w:tcPr>
          <w:p w14:paraId="00D17B9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6F686BB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（1.2）紫水国家湿地公园：执行《湖南东安紫水国家湿地公园管理办法修正案》。</w:t>
            </w:r>
          </w:p>
          <w:p w14:paraId="5B4490B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自2020年1月1日0时起，湘江流域东安段全段全面禁止天然渔业资源的生产性捕捞（暂定10年），县境内湘江刺鲃厚唇鱼华鳊国家级水产种质资源保护区实行全面永久禁止天然渔业资源的生产性捕捞。在水产种质资源保护区内禁止围垦河流，确需围垦的，必须经过科学认证，并经省级以上人民政府批准。</w:t>
            </w:r>
          </w:p>
        </w:tc>
        <w:tc>
          <w:tcPr>
            <w:tcW w:w="3708" w:type="dxa"/>
            <w:gridSpan w:val="2"/>
            <w:vMerge w:val="restart"/>
            <w:vAlign w:val="center"/>
          </w:tcPr>
          <w:p w14:paraId="4AD7620E">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515D256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（1.2）《湖南东安紫水国家湿地公园管理办法修正案》（东常发〔2020〕15号）；</w:t>
            </w:r>
          </w:p>
          <w:p w14:paraId="1BF057D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（1.3）《湘江流域东安段全段禁捕及湘江刺鲃厚唇鱼华鳊国家级水产种质资源保护区保护管理办法》（东常发〔2020〕14号）；</w:t>
            </w:r>
          </w:p>
          <w:p w14:paraId="28B203F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（2.1）《东安县土壤污染防治工作方案》（东政发〔2017〕8号）；</w:t>
            </w:r>
          </w:p>
          <w:p w14:paraId="65AF073B">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（2.2）《永州市东安县“十四五”生态环境保护规划》；</w:t>
            </w:r>
          </w:p>
          <w:p w14:paraId="139CA83B">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62364D9D">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160F0C6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5BE0C0A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784D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C62D18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351" w:type="dxa"/>
            <w:gridSpan w:val="9"/>
            <w:vAlign w:val="center"/>
          </w:tcPr>
          <w:p w14:paraId="55CE6B1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（2.1）对重金属污染片区进行污染治理。治理与修复工程原则上在原址进行，并采取必要措施防止污染土壤挖掘、堆存，以及修复过程中产生的废水、废气、固废等造成二次污染。</w:t>
            </w:r>
          </w:p>
          <w:p w14:paraId="3C94FA3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3708" w:type="dxa"/>
            <w:gridSpan w:val="2"/>
            <w:vMerge w:val="continue"/>
            <w:vAlign w:val="center"/>
          </w:tcPr>
          <w:p w14:paraId="42D2F93B">
            <w:pPr>
              <w:widowControl/>
              <w:jc w:val="left"/>
              <w:rPr>
                <w:rFonts w:ascii="Times New Roman" w:hAnsi="Times New Roman" w:eastAsia="仿宋" w:cs="Times New Roman"/>
                <w:szCs w:val="21"/>
              </w:rPr>
            </w:pPr>
          </w:p>
        </w:tc>
      </w:tr>
      <w:tr w14:paraId="7BEE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98A698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351" w:type="dxa"/>
            <w:gridSpan w:val="9"/>
            <w:vAlign w:val="center"/>
          </w:tcPr>
          <w:p w14:paraId="7F51B6F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3708" w:type="dxa"/>
            <w:gridSpan w:val="2"/>
            <w:vMerge w:val="continue"/>
            <w:vAlign w:val="center"/>
          </w:tcPr>
          <w:p w14:paraId="6F06D1A1">
            <w:pPr>
              <w:widowControl/>
              <w:jc w:val="left"/>
              <w:rPr>
                <w:rFonts w:ascii="Times New Roman" w:hAnsi="Times New Roman" w:eastAsia="仿宋" w:cs="Times New Roman"/>
                <w:szCs w:val="21"/>
              </w:rPr>
            </w:pPr>
          </w:p>
        </w:tc>
      </w:tr>
      <w:tr w14:paraId="757F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4A6FFC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351" w:type="dxa"/>
            <w:gridSpan w:val="9"/>
            <w:vAlign w:val="center"/>
          </w:tcPr>
          <w:p w14:paraId="1CF6D7C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D7122E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609BC60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BF08CC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3708" w:type="dxa"/>
            <w:gridSpan w:val="2"/>
            <w:vMerge w:val="continue"/>
            <w:vAlign w:val="center"/>
          </w:tcPr>
          <w:p w14:paraId="4577DA44">
            <w:pPr>
              <w:widowControl/>
              <w:jc w:val="left"/>
              <w:rPr>
                <w:rFonts w:ascii="Times New Roman" w:hAnsi="Times New Roman" w:eastAsia="仿宋" w:cs="Times New Roman"/>
                <w:szCs w:val="21"/>
              </w:rPr>
            </w:pPr>
          </w:p>
        </w:tc>
      </w:tr>
    </w:tbl>
    <w:p w14:paraId="40843B3D">
      <w:pPr>
        <w:rPr>
          <w:rFonts w:ascii="Times New Roman" w:hAnsi="Times New Roman" w:eastAsia="仿宋" w:cs="Times New Roman"/>
          <w:szCs w:val="21"/>
        </w:rPr>
      </w:pPr>
    </w:p>
    <w:p w14:paraId="58C1F614">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567"/>
        <w:gridCol w:w="709"/>
        <w:gridCol w:w="1276"/>
        <w:gridCol w:w="1134"/>
        <w:gridCol w:w="992"/>
        <w:gridCol w:w="2693"/>
        <w:gridCol w:w="3992"/>
      </w:tblGrid>
      <w:tr w14:paraId="652F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CCFDCC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6616DA2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12" w:type="dxa"/>
            <w:gridSpan w:val="3"/>
            <w:vAlign w:val="center"/>
          </w:tcPr>
          <w:p w14:paraId="263B17B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19D1376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15AD30E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0EF918D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2" w:type="dxa"/>
            <w:vMerge w:val="restart"/>
            <w:vAlign w:val="center"/>
          </w:tcPr>
          <w:p w14:paraId="1D7A950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693" w:type="dxa"/>
            <w:vMerge w:val="restart"/>
            <w:vAlign w:val="center"/>
          </w:tcPr>
          <w:p w14:paraId="6DB5097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992" w:type="dxa"/>
            <w:vMerge w:val="restart"/>
            <w:vAlign w:val="center"/>
          </w:tcPr>
          <w:p w14:paraId="0A40355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6F37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AEE63F4">
            <w:pPr>
              <w:widowControl/>
              <w:jc w:val="left"/>
              <w:rPr>
                <w:rFonts w:ascii="Times New Roman" w:hAnsi="Times New Roman" w:eastAsia="仿宋" w:cs="Times New Roman"/>
                <w:b/>
                <w:kern w:val="0"/>
                <w:szCs w:val="21"/>
              </w:rPr>
            </w:pPr>
          </w:p>
        </w:tc>
        <w:tc>
          <w:tcPr>
            <w:tcW w:w="851" w:type="dxa"/>
            <w:vMerge w:val="continue"/>
            <w:vAlign w:val="center"/>
          </w:tcPr>
          <w:p w14:paraId="2A12AEBF">
            <w:pPr>
              <w:widowControl/>
              <w:jc w:val="left"/>
              <w:rPr>
                <w:rFonts w:ascii="Times New Roman" w:hAnsi="Times New Roman" w:eastAsia="仿宋" w:cs="Times New Roman"/>
                <w:b/>
                <w:kern w:val="0"/>
                <w:szCs w:val="21"/>
              </w:rPr>
            </w:pPr>
          </w:p>
        </w:tc>
        <w:tc>
          <w:tcPr>
            <w:tcW w:w="425" w:type="dxa"/>
            <w:vAlign w:val="center"/>
          </w:tcPr>
          <w:p w14:paraId="4DACB3D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0" w:type="dxa"/>
            <w:vAlign w:val="center"/>
          </w:tcPr>
          <w:p w14:paraId="6F45230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67" w:type="dxa"/>
            <w:vAlign w:val="center"/>
          </w:tcPr>
          <w:p w14:paraId="6CFC390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447FBC50">
            <w:pPr>
              <w:widowControl/>
              <w:jc w:val="left"/>
              <w:rPr>
                <w:rFonts w:ascii="Times New Roman" w:hAnsi="Times New Roman" w:eastAsia="仿宋" w:cs="Times New Roman"/>
                <w:b/>
                <w:kern w:val="0"/>
                <w:szCs w:val="21"/>
              </w:rPr>
            </w:pPr>
          </w:p>
        </w:tc>
        <w:tc>
          <w:tcPr>
            <w:tcW w:w="1276" w:type="dxa"/>
            <w:vMerge w:val="continue"/>
            <w:vAlign w:val="center"/>
          </w:tcPr>
          <w:p w14:paraId="14F4759B">
            <w:pPr>
              <w:widowControl/>
              <w:jc w:val="left"/>
              <w:rPr>
                <w:rFonts w:ascii="Times New Roman" w:hAnsi="Times New Roman" w:eastAsia="仿宋" w:cs="Times New Roman"/>
                <w:b/>
                <w:kern w:val="0"/>
                <w:szCs w:val="21"/>
              </w:rPr>
            </w:pPr>
          </w:p>
        </w:tc>
        <w:tc>
          <w:tcPr>
            <w:tcW w:w="1134" w:type="dxa"/>
            <w:vMerge w:val="continue"/>
            <w:vAlign w:val="center"/>
          </w:tcPr>
          <w:p w14:paraId="636D6783">
            <w:pPr>
              <w:widowControl/>
              <w:jc w:val="left"/>
              <w:rPr>
                <w:rFonts w:ascii="Times New Roman" w:hAnsi="Times New Roman" w:eastAsia="仿宋" w:cs="Times New Roman"/>
                <w:b/>
                <w:kern w:val="0"/>
                <w:szCs w:val="21"/>
              </w:rPr>
            </w:pPr>
          </w:p>
        </w:tc>
        <w:tc>
          <w:tcPr>
            <w:tcW w:w="992" w:type="dxa"/>
            <w:vMerge w:val="continue"/>
            <w:vAlign w:val="center"/>
          </w:tcPr>
          <w:p w14:paraId="4BC00F04">
            <w:pPr>
              <w:widowControl/>
              <w:jc w:val="left"/>
              <w:rPr>
                <w:rFonts w:ascii="Times New Roman" w:hAnsi="Times New Roman" w:eastAsia="仿宋" w:cs="Times New Roman"/>
                <w:b/>
                <w:kern w:val="0"/>
                <w:szCs w:val="21"/>
              </w:rPr>
            </w:pPr>
          </w:p>
        </w:tc>
        <w:tc>
          <w:tcPr>
            <w:tcW w:w="2693" w:type="dxa"/>
            <w:vMerge w:val="continue"/>
            <w:vAlign w:val="center"/>
          </w:tcPr>
          <w:p w14:paraId="444DADA7">
            <w:pPr>
              <w:widowControl/>
              <w:jc w:val="left"/>
              <w:rPr>
                <w:rFonts w:ascii="Times New Roman" w:hAnsi="Times New Roman" w:eastAsia="仿宋" w:cs="Times New Roman"/>
                <w:b/>
                <w:kern w:val="0"/>
                <w:szCs w:val="21"/>
              </w:rPr>
            </w:pPr>
          </w:p>
        </w:tc>
        <w:tc>
          <w:tcPr>
            <w:tcW w:w="3992" w:type="dxa"/>
            <w:vMerge w:val="continue"/>
            <w:vAlign w:val="center"/>
          </w:tcPr>
          <w:p w14:paraId="2031E408">
            <w:pPr>
              <w:widowControl/>
              <w:jc w:val="left"/>
              <w:rPr>
                <w:rFonts w:ascii="Times New Roman" w:hAnsi="Times New Roman" w:eastAsia="仿宋" w:cs="Times New Roman"/>
                <w:b/>
                <w:kern w:val="0"/>
                <w:szCs w:val="21"/>
              </w:rPr>
            </w:pPr>
          </w:p>
        </w:tc>
      </w:tr>
      <w:tr w14:paraId="3E28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0" w:hRule="atLeast"/>
          <w:jc w:val="center"/>
        </w:trPr>
        <w:tc>
          <w:tcPr>
            <w:tcW w:w="1134" w:type="dxa"/>
            <w:vAlign w:val="center"/>
          </w:tcPr>
          <w:p w14:paraId="6A4ECA2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ZH43112220002</w:t>
            </w:r>
          </w:p>
        </w:tc>
        <w:tc>
          <w:tcPr>
            <w:tcW w:w="851" w:type="dxa"/>
            <w:vAlign w:val="center"/>
          </w:tcPr>
          <w:p w14:paraId="179985EA">
            <w:pPr>
              <w:widowControl/>
              <w:jc w:val="center"/>
              <w:rPr>
                <w:rFonts w:ascii="Times New Roman" w:hAnsi="Times New Roman" w:eastAsia="仿宋" w:cs="Times New Roman"/>
                <w:kern w:val="0"/>
                <w:szCs w:val="21"/>
              </w:rPr>
            </w:pPr>
            <w:r>
              <w:rPr>
                <w:rFonts w:ascii="Times New Roman" w:hAnsi="Times New Roman" w:eastAsia="仿宋" w:cs="Times New Roman"/>
                <w:szCs w:val="21"/>
              </w:rPr>
              <w:t>芦洪市镇</w:t>
            </w:r>
          </w:p>
        </w:tc>
        <w:tc>
          <w:tcPr>
            <w:tcW w:w="425" w:type="dxa"/>
            <w:vAlign w:val="center"/>
          </w:tcPr>
          <w:p w14:paraId="7DA791A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0" w:type="dxa"/>
            <w:vAlign w:val="center"/>
          </w:tcPr>
          <w:p w14:paraId="05B1141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016C993D">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709" w:type="dxa"/>
            <w:vAlign w:val="center"/>
          </w:tcPr>
          <w:p w14:paraId="4DA15C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276" w:type="dxa"/>
            <w:tcBorders>
              <w:left w:val="nil"/>
            </w:tcBorders>
            <w:vAlign w:val="center"/>
          </w:tcPr>
          <w:p w14:paraId="515FF98E">
            <w:pPr>
              <w:widowControl/>
              <w:jc w:val="center"/>
              <w:rPr>
                <w:rFonts w:ascii="Times New Roman" w:hAnsi="Times New Roman" w:eastAsia="仿宋" w:cs="Times New Roman"/>
                <w:kern w:val="0"/>
                <w:szCs w:val="21"/>
              </w:rPr>
            </w:pPr>
            <w:r>
              <w:rPr>
                <w:rFonts w:ascii="Times New Roman" w:hAnsi="Times New Roman" w:eastAsia="仿宋" w:cs="Times New Roman"/>
                <w:szCs w:val="21"/>
              </w:rPr>
              <w:t>135.30</w:t>
            </w:r>
          </w:p>
        </w:tc>
        <w:tc>
          <w:tcPr>
            <w:tcW w:w="1134" w:type="dxa"/>
            <w:vAlign w:val="center"/>
          </w:tcPr>
          <w:p w14:paraId="2B830115">
            <w:pPr>
              <w:widowControl/>
              <w:jc w:val="center"/>
              <w:rPr>
                <w:rFonts w:ascii="Times New Roman" w:hAnsi="Times New Roman" w:eastAsia="仿宋" w:cs="Times New Roman"/>
                <w:szCs w:val="21"/>
              </w:rPr>
            </w:pPr>
            <w:r>
              <w:rPr>
                <w:rFonts w:ascii="Times New Roman" w:hAnsi="Times New Roman" w:eastAsia="仿宋" w:cs="Times New Roman"/>
                <w:szCs w:val="21"/>
              </w:rPr>
              <w:t>芦洪市镇</w:t>
            </w:r>
          </w:p>
        </w:tc>
        <w:tc>
          <w:tcPr>
            <w:tcW w:w="992" w:type="dxa"/>
            <w:vAlign w:val="center"/>
          </w:tcPr>
          <w:p w14:paraId="58476CD0">
            <w:pPr>
              <w:widowControl/>
              <w:jc w:val="center"/>
              <w:rPr>
                <w:rFonts w:ascii="Times New Roman" w:hAnsi="Times New Roman" w:eastAsia="仿宋" w:cs="Times New Roman"/>
                <w:kern w:val="0"/>
                <w:szCs w:val="21"/>
              </w:rPr>
            </w:pPr>
            <w:r>
              <w:rPr>
                <w:rFonts w:ascii="Times New Roman" w:hAnsi="Times New Roman" w:eastAsia="仿宋" w:cs="Times New Roman"/>
                <w:szCs w:val="21"/>
              </w:rPr>
              <w:t>芦洪市镇：</w:t>
            </w:r>
            <w:r>
              <w:rPr>
                <w:rFonts w:ascii="Times New Roman" w:hAnsi="Times New Roman" w:eastAsia="仿宋" w:cs="Times New Roman"/>
                <w:kern w:val="0"/>
                <w:szCs w:val="21"/>
              </w:rPr>
              <w:t>城市化地区/历史文化资源富集区</w:t>
            </w:r>
          </w:p>
        </w:tc>
        <w:tc>
          <w:tcPr>
            <w:tcW w:w="2693" w:type="dxa"/>
            <w:vAlign w:val="center"/>
          </w:tcPr>
          <w:p w14:paraId="660E5285">
            <w:pPr>
              <w:widowControl/>
              <w:jc w:val="left"/>
              <w:rPr>
                <w:rFonts w:ascii="Times New Roman" w:hAnsi="Times New Roman" w:eastAsia="仿宋" w:cs="Times New Roman"/>
                <w:szCs w:val="21"/>
              </w:rPr>
            </w:pPr>
            <w:r>
              <w:rPr>
                <w:rFonts w:ascii="Times New Roman" w:hAnsi="Times New Roman" w:eastAsia="仿宋" w:cs="Times New Roman"/>
                <w:szCs w:val="21"/>
              </w:rPr>
              <w:t>种植业、养殖业、制造业（针织或钩针编织物及其制品制造、制鞋业、玩具制造）、建材（粘土砖瓦及建筑砌块制造、水泥制品制造、其他非金属矿物制品制造）、农产品加工、采矿业（建筑石料用灰岩矿开采、砖瓦用页岩矿开采）</w:t>
            </w:r>
          </w:p>
        </w:tc>
        <w:tc>
          <w:tcPr>
            <w:tcW w:w="3992" w:type="dxa"/>
            <w:vAlign w:val="center"/>
          </w:tcPr>
          <w:p w14:paraId="68F0B45D">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24613855">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193ADAA6">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7EC2514F">
            <w:pPr>
              <w:widowControl/>
              <w:jc w:val="left"/>
              <w:rPr>
                <w:rFonts w:ascii="Times New Roman" w:hAnsi="Times New Roman" w:eastAsia="仿宋" w:cs="Times New Roman"/>
                <w:szCs w:val="21"/>
              </w:rPr>
            </w:pPr>
            <w:r>
              <w:rPr>
                <w:rFonts w:ascii="Times New Roman" w:hAnsi="Times New Roman" w:eastAsia="仿宋" w:cs="Times New Roman"/>
                <w:szCs w:val="21"/>
              </w:rPr>
              <w:t>芦洪市镇涉及湖南东安黄金洞省级森林公园、永州市东安县芦洪市镇地下水饮用水水源保护区（千吨万人）、留驾岌村山溪饮用水水源保护区（千人以上）、黄塘冲村供水工程地下水饮用水水源保护区（千人以上）、社塘村供水工程地下水饮用水水源保护区（千人以上）、白沙村供水工程地下水饮用水水源保护区（千人以上）、耀祥中学供水工程地下水饮用水水源保护区（千人以上）、伍家桥村供水工程地下水饮用水水源保护区（千人以上）、溪源村供水工程地下水饮用水水源保护区（千人以上）、罗群村供水工程地下水饮用水水源保护区（千人以上）。</w:t>
            </w:r>
          </w:p>
        </w:tc>
      </w:tr>
      <w:tr w14:paraId="72C6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1134" w:type="dxa"/>
            <w:vAlign w:val="center"/>
          </w:tcPr>
          <w:p w14:paraId="17CA3AA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0"/>
            <w:vAlign w:val="center"/>
          </w:tcPr>
          <w:p w14:paraId="08D13173">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三区三线生态红线/生物多样性保护功能重要区/水土流失敏感区/石漠化敏感区/森林公园/原生态红线）；水环境工业污染重点管控区/水环境一般管控区；大气环境优先保护区/大气环境高排放重点管控区/大气环境受体敏感重点管控区/其他区域；建设用地重点管控区（矿区/中高风险企业用地/重金属污染防治重点区域）/其他重点管控区 </w:t>
            </w:r>
          </w:p>
        </w:tc>
      </w:tr>
      <w:tr w14:paraId="519A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Align w:val="center"/>
          </w:tcPr>
          <w:p w14:paraId="1F80BA64">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067" w:type="dxa"/>
            <w:gridSpan w:val="9"/>
            <w:vAlign w:val="center"/>
          </w:tcPr>
          <w:p w14:paraId="6F2C6119">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992" w:type="dxa"/>
            <w:vAlign w:val="center"/>
          </w:tcPr>
          <w:p w14:paraId="007E75A1">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9E7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1134" w:type="dxa"/>
            <w:vAlign w:val="center"/>
          </w:tcPr>
          <w:p w14:paraId="3DAEA09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067" w:type="dxa"/>
            <w:gridSpan w:val="9"/>
            <w:vAlign w:val="center"/>
          </w:tcPr>
          <w:p w14:paraId="1A37F27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24FE9270">
            <w:pPr>
              <w:tabs>
                <w:tab w:val="left" w:pos="1021"/>
              </w:tabs>
              <w:ind w:firstLine="420" w:firstLineChars="200"/>
              <w:rPr>
                <w:rFonts w:ascii="Times New Roman" w:hAnsi="Times New Roman" w:eastAsia="仿宋" w:cs="Times New Roman"/>
                <w:i/>
                <w:kern w:val="0"/>
                <w:szCs w:val="21"/>
              </w:rPr>
            </w:pPr>
            <w:r>
              <w:rPr>
                <w:rFonts w:ascii="Times New Roman" w:hAnsi="Times New Roman" w:eastAsia="仿宋" w:cs="Times New Roman"/>
                <w:szCs w:val="21"/>
              </w:rPr>
              <w:t>（1.2）东安经济开发区调区扩区原则上不应超出省级主管部门确定的拓展空间；对园区外的现有企业加强环境监管，确保污染物达标排放。</w:t>
            </w:r>
          </w:p>
        </w:tc>
        <w:tc>
          <w:tcPr>
            <w:tcW w:w="3992" w:type="dxa"/>
            <w:vMerge w:val="restart"/>
            <w:vAlign w:val="center"/>
          </w:tcPr>
          <w:p w14:paraId="2F5201B9">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66CB9C8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（2.2）《东安县土壤污染防治工作方案》（东政发〔2017〕8号）；</w:t>
            </w:r>
          </w:p>
          <w:p w14:paraId="5906C8F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445E84CE">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7216895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1AFBC26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0006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134" w:type="dxa"/>
            <w:vAlign w:val="center"/>
          </w:tcPr>
          <w:p w14:paraId="51A32D6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067" w:type="dxa"/>
            <w:gridSpan w:val="9"/>
            <w:vAlign w:val="center"/>
          </w:tcPr>
          <w:p w14:paraId="70F30EF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（2.1）对重金属污染片区进行污染治理。治理与修复工程原则上在原址进行，并采取必要措施防止污染土壤挖掘、堆存，以及修复过程中产生的废水、废气、固废等造成二次污染。</w:t>
            </w:r>
          </w:p>
          <w:p w14:paraId="5F42C142">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2.2）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3992" w:type="dxa"/>
            <w:vMerge w:val="continue"/>
            <w:vAlign w:val="center"/>
          </w:tcPr>
          <w:p w14:paraId="085A15C1">
            <w:pPr>
              <w:tabs>
                <w:tab w:val="left" w:pos="1021"/>
              </w:tabs>
              <w:ind w:hanging="1"/>
              <w:rPr>
                <w:rFonts w:ascii="Times New Roman" w:hAnsi="Times New Roman" w:eastAsia="仿宋" w:cs="Times New Roman"/>
                <w:strike/>
                <w:szCs w:val="21"/>
              </w:rPr>
            </w:pPr>
          </w:p>
        </w:tc>
      </w:tr>
      <w:tr w14:paraId="3B33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134" w:type="dxa"/>
            <w:vAlign w:val="center"/>
          </w:tcPr>
          <w:p w14:paraId="4993B2F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067" w:type="dxa"/>
            <w:gridSpan w:val="9"/>
            <w:vAlign w:val="center"/>
          </w:tcPr>
          <w:p w14:paraId="6D4D1B9F">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3992" w:type="dxa"/>
            <w:vMerge w:val="continue"/>
            <w:vAlign w:val="center"/>
          </w:tcPr>
          <w:p w14:paraId="2D1421FA">
            <w:pPr>
              <w:tabs>
                <w:tab w:val="left" w:pos="1021"/>
              </w:tabs>
              <w:ind w:hanging="1"/>
              <w:rPr>
                <w:rFonts w:ascii="Times New Roman" w:hAnsi="Times New Roman" w:eastAsia="仿宋" w:cs="Times New Roman"/>
                <w:strike/>
                <w:szCs w:val="21"/>
              </w:rPr>
            </w:pPr>
          </w:p>
        </w:tc>
      </w:tr>
      <w:tr w14:paraId="277D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134" w:type="dxa"/>
            <w:vAlign w:val="center"/>
          </w:tcPr>
          <w:p w14:paraId="2E0F929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067" w:type="dxa"/>
            <w:gridSpan w:val="9"/>
            <w:vAlign w:val="center"/>
          </w:tcPr>
          <w:p w14:paraId="32CD890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027C113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3713178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3F6F4000">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3992" w:type="dxa"/>
            <w:vMerge w:val="continue"/>
            <w:vAlign w:val="center"/>
          </w:tcPr>
          <w:p w14:paraId="32EC9B94">
            <w:pPr>
              <w:tabs>
                <w:tab w:val="left" w:pos="1021"/>
              </w:tabs>
              <w:ind w:hanging="1"/>
              <w:rPr>
                <w:rFonts w:ascii="Times New Roman" w:hAnsi="Times New Roman" w:eastAsia="仿宋" w:cs="Times New Roman"/>
                <w:strike/>
                <w:szCs w:val="21"/>
              </w:rPr>
            </w:pPr>
          </w:p>
        </w:tc>
      </w:tr>
    </w:tbl>
    <w:p w14:paraId="346DFEF4">
      <w:pPr>
        <w:ind w:firstLine="420" w:firstLineChars="200"/>
        <w:rPr>
          <w:rFonts w:ascii="Times New Roman" w:hAnsi="Times New Roman" w:eastAsia="仿宋" w:cs="Times New Roman"/>
          <w:szCs w:val="21"/>
        </w:rPr>
      </w:pPr>
    </w:p>
    <w:p w14:paraId="5F961227">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159"/>
        <w:gridCol w:w="1715"/>
        <w:gridCol w:w="1597"/>
        <w:gridCol w:w="2678"/>
      </w:tblGrid>
      <w:tr w14:paraId="2DE8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7A88422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6C3C3CE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197EF2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23556DF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3FD8B8F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5F1152E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59" w:type="dxa"/>
            <w:vMerge w:val="restart"/>
            <w:vAlign w:val="center"/>
          </w:tcPr>
          <w:p w14:paraId="231CA72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312" w:type="dxa"/>
            <w:gridSpan w:val="2"/>
            <w:vMerge w:val="restart"/>
            <w:vAlign w:val="center"/>
          </w:tcPr>
          <w:p w14:paraId="74BDA94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78" w:type="dxa"/>
            <w:vMerge w:val="restart"/>
            <w:vAlign w:val="center"/>
          </w:tcPr>
          <w:p w14:paraId="07CE4E8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2C7C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A587537">
            <w:pPr>
              <w:widowControl/>
              <w:jc w:val="left"/>
              <w:rPr>
                <w:rFonts w:ascii="Times New Roman" w:hAnsi="Times New Roman" w:eastAsia="仿宋" w:cs="Times New Roman"/>
                <w:b/>
                <w:kern w:val="0"/>
                <w:szCs w:val="21"/>
              </w:rPr>
            </w:pPr>
          </w:p>
        </w:tc>
        <w:tc>
          <w:tcPr>
            <w:tcW w:w="851" w:type="dxa"/>
            <w:vMerge w:val="continue"/>
            <w:vAlign w:val="center"/>
          </w:tcPr>
          <w:p w14:paraId="055683E2">
            <w:pPr>
              <w:widowControl/>
              <w:jc w:val="left"/>
              <w:rPr>
                <w:rFonts w:ascii="Times New Roman" w:hAnsi="Times New Roman" w:eastAsia="仿宋" w:cs="Times New Roman"/>
                <w:b/>
                <w:kern w:val="0"/>
                <w:szCs w:val="21"/>
              </w:rPr>
            </w:pPr>
          </w:p>
        </w:tc>
        <w:tc>
          <w:tcPr>
            <w:tcW w:w="425" w:type="dxa"/>
            <w:vAlign w:val="center"/>
          </w:tcPr>
          <w:p w14:paraId="205E890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0B4629E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257FFD5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1B3B9662">
            <w:pPr>
              <w:widowControl/>
              <w:jc w:val="left"/>
              <w:rPr>
                <w:rFonts w:ascii="Times New Roman" w:hAnsi="Times New Roman" w:eastAsia="仿宋" w:cs="Times New Roman"/>
                <w:b/>
                <w:kern w:val="0"/>
                <w:szCs w:val="21"/>
              </w:rPr>
            </w:pPr>
          </w:p>
        </w:tc>
        <w:tc>
          <w:tcPr>
            <w:tcW w:w="992" w:type="dxa"/>
            <w:vMerge w:val="continue"/>
            <w:vAlign w:val="center"/>
          </w:tcPr>
          <w:p w14:paraId="045E3A68">
            <w:pPr>
              <w:widowControl/>
              <w:jc w:val="left"/>
              <w:rPr>
                <w:rFonts w:ascii="Times New Roman" w:hAnsi="Times New Roman" w:eastAsia="仿宋" w:cs="Times New Roman"/>
                <w:b/>
                <w:kern w:val="0"/>
                <w:szCs w:val="21"/>
              </w:rPr>
            </w:pPr>
          </w:p>
        </w:tc>
        <w:tc>
          <w:tcPr>
            <w:tcW w:w="1055" w:type="dxa"/>
            <w:vMerge w:val="continue"/>
            <w:vAlign w:val="center"/>
          </w:tcPr>
          <w:p w14:paraId="208C211C">
            <w:pPr>
              <w:widowControl/>
              <w:jc w:val="left"/>
              <w:rPr>
                <w:rFonts w:ascii="Times New Roman" w:hAnsi="Times New Roman" w:eastAsia="仿宋" w:cs="Times New Roman"/>
                <w:b/>
                <w:kern w:val="0"/>
                <w:szCs w:val="21"/>
              </w:rPr>
            </w:pPr>
          </w:p>
        </w:tc>
        <w:tc>
          <w:tcPr>
            <w:tcW w:w="1159" w:type="dxa"/>
            <w:vMerge w:val="continue"/>
            <w:vAlign w:val="center"/>
          </w:tcPr>
          <w:p w14:paraId="414ABA6C">
            <w:pPr>
              <w:widowControl/>
              <w:jc w:val="left"/>
              <w:rPr>
                <w:rFonts w:ascii="Times New Roman" w:hAnsi="Times New Roman" w:eastAsia="仿宋" w:cs="Times New Roman"/>
                <w:b/>
                <w:kern w:val="0"/>
                <w:szCs w:val="21"/>
              </w:rPr>
            </w:pPr>
          </w:p>
        </w:tc>
        <w:tc>
          <w:tcPr>
            <w:tcW w:w="3312" w:type="dxa"/>
            <w:gridSpan w:val="2"/>
            <w:vMerge w:val="continue"/>
            <w:vAlign w:val="center"/>
          </w:tcPr>
          <w:p w14:paraId="19EFB17E">
            <w:pPr>
              <w:widowControl/>
              <w:jc w:val="left"/>
              <w:rPr>
                <w:rFonts w:ascii="Times New Roman" w:hAnsi="Times New Roman" w:eastAsia="仿宋" w:cs="Times New Roman"/>
                <w:b/>
                <w:kern w:val="0"/>
                <w:szCs w:val="21"/>
              </w:rPr>
            </w:pPr>
          </w:p>
        </w:tc>
        <w:tc>
          <w:tcPr>
            <w:tcW w:w="2678" w:type="dxa"/>
            <w:vMerge w:val="continue"/>
            <w:vAlign w:val="center"/>
          </w:tcPr>
          <w:p w14:paraId="6453FCF1">
            <w:pPr>
              <w:widowControl/>
              <w:jc w:val="left"/>
              <w:rPr>
                <w:rFonts w:ascii="Times New Roman" w:hAnsi="Times New Roman" w:eastAsia="仿宋" w:cs="Times New Roman"/>
                <w:b/>
                <w:kern w:val="0"/>
                <w:szCs w:val="21"/>
              </w:rPr>
            </w:pPr>
          </w:p>
        </w:tc>
      </w:tr>
      <w:tr w14:paraId="44B2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2" w:hRule="atLeast"/>
          <w:jc w:val="center"/>
        </w:trPr>
        <w:tc>
          <w:tcPr>
            <w:tcW w:w="1134" w:type="dxa"/>
            <w:vAlign w:val="center"/>
          </w:tcPr>
          <w:p w14:paraId="38BBAA9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ZH43112220003</w:t>
            </w:r>
          </w:p>
        </w:tc>
        <w:tc>
          <w:tcPr>
            <w:tcW w:w="851" w:type="dxa"/>
            <w:vAlign w:val="center"/>
          </w:tcPr>
          <w:p w14:paraId="7B1063F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白牙市镇/井头圩镇</w:t>
            </w:r>
          </w:p>
        </w:tc>
        <w:tc>
          <w:tcPr>
            <w:tcW w:w="425" w:type="dxa"/>
            <w:vAlign w:val="center"/>
          </w:tcPr>
          <w:p w14:paraId="4BDF930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709BE31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2A79395B">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1134" w:type="dxa"/>
            <w:vAlign w:val="center"/>
          </w:tcPr>
          <w:p w14:paraId="6B1BFC8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992" w:type="dxa"/>
            <w:vAlign w:val="center"/>
          </w:tcPr>
          <w:p w14:paraId="2192E2B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65.91</w:t>
            </w:r>
          </w:p>
        </w:tc>
        <w:tc>
          <w:tcPr>
            <w:tcW w:w="1055" w:type="dxa"/>
            <w:vAlign w:val="center"/>
          </w:tcPr>
          <w:p w14:paraId="7117FE48">
            <w:pPr>
              <w:widowControl/>
              <w:jc w:val="center"/>
              <w:rPr>
                <w:rFonts w:ascii="Times New Roman" w:hAnsi="Times New Roman" w:eastAsia="仿宋" w:cs="Times New Roman"/>
                <w:szCs w:val="21"/>
              </w:rPr>
            </w:pPr>
            <w:r>
              <w:rPr>
                <w:rFonts w:ascii="Times New Roman" w:hAnsi="Times New Roman" w:eastAsia="仿宋" w:cs="Times New Roman"/>
                <w:szCs w:val="21"/>
              </w:rPr>
              <w:t>白牙市镇/井头圩镇</w:t>
            </w:r>
          </w:p>
        </w:tc>
        <w:tc>
          <w:tcPr>
            <w:tcW w:w="1159" w:type="dxa"/>
            <w:vAlign w:val="center"/>
          </w:tcPr>
          <w:p w14:paraId="33D96489">
            <w:pPr>
              <w:widowControl/>
              <w:jc w:val="center"/>
              <w:rPr>
                <w:rFonts w:ascii="Times New Roman" w:hAnsi="Times New Roman" w:eastAsia="仿宋" w:cs="Times New Roman"/>
                <w:kern w:val="0"/>
                <w:szCs w:val="21"/>
              </w:rPr>
            </w:pPr>
            <w:r>
              <w:rPr>
                <w:rFonts w:ascii="Times New Roman" w:hAnsi="Times New Roman" w:eastAsia="仿宋" w:cs="Times New Roman"/>
                <w:szCs w:val="21"/>
              </w:rPr>
              <w:t>白牙市镇：</w:t>
            </w:r>
            <w:r>
              <w:rPr>
                <w:rFonts w:ascii="Times New Roman" w:hAnsi="Times New Roman" w:eastAsia="仿宋" w:cs="Times New Roman"/>
                <w:kern w:val="0"/>
                <w:szCs w:val="21"/>
              </w:rPr>
              <w:t>城市化地区</w:t>
            </w:r>
            <w:r>
              <w:rPr>
                <w:rFonts w:ascii="Times New Roman" w:hAnsi="Times New Roman" w:eastAsia="仿宋" w:cs="Times New Roman"/>
                <w:szCs w:val="21"/>
              </w:rPr>
              <w:t>；井头圩镇：</w:t>
            </w:r>
            <w:r>
              <w:rPr>
                <w:rFonts w:ascii="Times New Roman" w:hAnsi="Times New Roman" w:eastAsia="仿宋" w:cs="Times New Roman"/>
                <w:kern w:val="0"/>
                <w:szCs w:val="21"/>
              </w:rPr>
              <w:t>城市化地区</w:t>
            </w:r>
          </w:p>
        </w:tc>
        <w:tc>
          <w:tcPr>
            <w:tcW w:w="3312" w:type="dxa"/>
            <w:gridSpan w:val="2"/>
            <w:vAlign w:val="center"/>
          </w:tcPr>
          <w:p w14:paraId="63C1D34B">
            <w:pPr>
              <w:widowControl/>
              <w:ind w:right="-86" w:rightChars="-41"/>
              <w:jc w:val="left"/>
              <w:rPr>
                <w:rFonts w:ascii="Times New Roman" w:hAnsi="Times New Roman" w:eastAsia="仿宋" w:cs="Times New Roman"/>
                <w:kern w:val="0"/>
                <w:szCs w:val="21"/>
              </w:rPr>
            </w:pPr>
            <w:r>
              <w:rPr>
                <w:rFonts w:ascii="Times New Roman" w:hAnsi="Times New Roman" w:eastAsia="仿宋" w:cs="Times New Roman"/>
                <w:b/>
                <w:bCs/>
                <w:kern w:val="0"/>
                <w:szCs w:val="21"/>
              </w:rPr>
              <w:t>白牙市镇：</w:t>
            </w:r>
            <w:r>
              <w:rPr>
                <w:rFonts w:ascii="Times New Roman" w:hAnsi="Times New Roman" w:eastAsia="仿宋" w:cs="Times New Roman"/>
                <w:szCs w:val="21"/>
              </w:rPr>
              <w:t>种植业、养殖业、农产品加工业、制造业（针织或钩针编织物及其制品制造、制鞋业）、建材（粘土砖瓦及建筑砌块制造、水泥制品制造、其他非金属矿物制品制造）、采矿业（建筑石料用灰岩矿开采、砖瓦用页岩矿开采）等</w:t>
            </w:r>
            <w:r>
              <w:rPr>
                <w:rFonts w:ascii="Times New Roman" w:hAnsi="Times New Roman" w:eastAsia="仿宋" w:cs="Times New Roman"/>
                <w:kern w:val="0"/>
                <w:szCs w:val="21"/>
              </w:rPr>
              <w:t>；</w:t>
            </w:r>
          </w:p>
          <w:p w14:paraId="6C60D157">
            <w:pPr>
              <w:widowControl/>
              <w:ind w:right="-86" w:rightChars="-41"/>
              <w:jc w:val="left"/>
              <w:rPr>
                <w:rFonts w:ascii="Times New Roman" w:hAnsi="Times New Roman" w:eastAsia="仿宋" w:cs="Times New Roman"/>
                <w:kern w:val="0"/>
                <w:szCs w:val="21"/>
              </w:rPr>
            </w:pPr>
            <w:r>
              <w:rPr>
                <w:rFonts w:ascii="Times New Roman" w:hAnsi="Times New Roman" w:eastAsia="仿宋" w:cs="Times New Roman"/>
                <w:b/>
                <w:bCs/>
                <w:szCs w:val="21"/>
              </w:rPr>
              <w:t>井头圩镇：</w:t>
            </w:r>
            <w:r>
              <w:rPr>
                <w:rFonts w:ascii="Times New Roman" w:hAnsi="Times New Roman" w:eastAsia="仿宋" w:cs="Times New Roman"/>
                <w:szCs w:val="21"/>
              </w:rPr>
              <w:t>种植业、养殖业、农产品加工、制造业（制鞋业、塑料制品业）、建材（粘土砖瓦及建筑砌块制造、水泥制品制造）、采矿业（建筑石料用灰岩矿开采）、光伏发电等。</w:t>
            </w:r>
          </w:p>
        </w:tc>
        <w:tc>
          <w:tcPr>
            <w:tcW w:w="2678" w:type="dxa"/>
            <w:vAlign w:val="center"/>
          </w:tcPr>
          <w:p w14:paraId="21891A4B">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5C643438">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4B6D61B3">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26E2A50A">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白牙市镇涉及湖南东安紫水国家湿地公园、湘江刺鲃厚唇鱼华鳊国家级水产种质资源保护区、永州市东安县紫水河新屋至伍坝段饮用水水源保护区、湖南东安独秀峰国家石漠公园。</w:t>
            </w:r>
          </w:p>
          <w:p w14:paraId="3B43010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井头圩镇涉及湖南东安紫水国家级湿地公园、湘江刺鲃厚唇鱼华鳊国家级水产种质资源保护区、凤凰村供水工程地下水饮用水水源保护区（千人以上）、石板铺村供水工程地下水饮用水水源保护区（千人以上）。</w:t>
            </w:r>
          </w:p>
        </w:tc>
      </w:tr>
      <w:tr w14:paraId="5570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705E67E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0420EA2C">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白牙市镇：</w:t>
            </w:r>
            <w:r>
              <w:rPr>
                <w:rFonts w:ascii="Times New Roman" w:hAnsi="Times New Roman" w:eastAsia="仿宋" w:cs="Times New Roman"/>
                <w:kern w:val="0"/>
                <w:szCs w:val="21"/>
              </w:rPr>
              <w:t xml:space="preserve"> </w:t>
            </w:r>
          </w:p>
          <w:p w14:paraId="25196226">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生物多样性保护功能重要区/三区三线生态红线/湿地公园/石漠公园/水土流失敏感区/水土保持功能重要区/原生态红线）；水环境一般管控区/水环境优先保护区/水环境工业污染重点管控区/水环境城镇生活污染重点管控区；大气环境优先保护区/大气环境弱扩散重点管控区/大气环境受体敏感重点管控区/大气环境高排放重点管控区/其他区域；建设用地重点管控区（矿区/中高风险企业用地/重金属污染防治重点区域）/其他重点管控区；高污染燃料禁燃区 </w:t>
            </w:r>
          </w:p>
          <w:p w14:paraId="7D076E97">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井头圩镇</w:t>
            </w:r>
            <w:r>
              <w:rPr>
                <w:rFonts w:ascii="Times New Roman" w:hAnsi="Times New Roman" w:eastAsia="仿宋" w:cs="Times New Roman"/>
                <w:kern w:val="0"/>
                <w:szCs w:val="21"/>
              </w:rPr>
              <w:t>：</w:t>
            </w:r>
          </w:p>
          <w:p w14:paraId="105894C8">
            <w:pPr>
              <w:widowControl/>
              <w:rPr>
                <w:rFonts w:ascii="Times New Roman" w:hAnsi="Times New Roman" w:eastAsia="仿宋" w:cs="Times New Roman"/>
                <w:kern w:val="0"/>
                <w:szCs w:val="21"/>
              </w:rPr>
            </w:pPr>
            <w:r>
              <w:rPr>
                <w:rFonts w:ascii="Times New Roman" w:hAnsi="Times New Roman" w:eastAsia="仿宋" w:cs="Times New Roman"/>
                <w:kern w:val="0"/>
                <w:szCs w:val="21"/>
              </w:rPr>
              <w:t>一般生态空间（水源涵养重要区/三区三线生态红线/生物多样性保护功能重要区/湿地公园/原生态红线）/红线；水环境一般管控区/水环境城镇生活污染重点管控区/水环境优先保护区；大气环境优先保护区/大气环境受体敏感重点管控区/其他区域；建设用地重点管控区（矿区/中高风险企业用地/重金属污染防治重点区域）/其他重点管控区</w:t>
            </w:r>
          </w:p>
        </w:tc>
      </w:tr>
      <w:tr w14:paraId="76AA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06DBE8D">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784" w:type="dxa"/>
            <w:gridSpan w:val="9"/>
            <w:vAlign w:val="center"/>
          </w:tcPr>
          <w:p w14:paraId="38CED705">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275" w:type="dxa"/>
            <w:gridSpan w:val="2"/>
            <w:vAlign w:val="center"/>
          </w:tcPr>
          <w:p w14:paraId="77F0CF08">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D2D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D06124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784" w:type="dxa"/>
            <w:gridSpan w:val="9"/>
            <w:vAlign w:val="center"/>
          </w:tcPr>
          <w:p w14:paraId="17221C6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628510F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（1.2）紫水国家湿地公园：执行《湖南东安紫水国家湿地公园管理办法修正案》。</w:t>
            </w:r>
          </w:p>
          <w:p w14:paraId="78A6EE76">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1.3）自2020年1月1日0时起，湘江流域东安段全段全面禁止天然渔业资源的生产性捕捞（暂定10年），县境内湘江刺鲃厚唇鱼华鳊国家级水产种质资源保护区实行全面永久禁止天然渔业资源的生产性捕捞。在水产种质资源保护区内禁止围垦河流，确需围垦的，必须经过科学认证，并经省级以上人民政府批准。</w:t>
            </w:r>
          </w:p>
        </w:tc>
        <w:tc>
          <w:tcPr>
            <w:tcW w:w="4275" w:type="dxa"/>
            <w:gridSpan w:val="2"/>
            <w:vMerge w:val="restart"/>
            <w:vAlign w:val="center"/>
          </w:tcPr>
          <w:p w14:paraId="7DCADDC8">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12F5D1B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（1.2）《湖南东安紫水国家湿地公园管理办法修正案》（东常发〔2020〕15号）；</w:t>
            </w:r>
          </w:p>
          <w:p w14:paraId="7EE454F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（1.3）《湘江流域东安段全段禁捕及湘江刺鲃厚唇鱼华鳊国家级水产种质资源保护区保护管理办法》（东常发〔2020〕14号）；</w:t>
            </w:r>
          </w:p>
          <w:p w14:paraId="667C0BC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（2.1）（3.1）（3.2）《永州市东安县“十四五”生态环境保护规划》；</w:t>
            </w:r>
          </w:p>
          <w:p w14:paraId="08DA51B6">
            <w:pPr>
              <w:tabs>
                <w:tab w:val="left" w:pos="1021"/>
              </w:tabs>
              <w:rPr>
                <w:rFonts w:ascii="Times New Roman" w:hAnsi="Times New Roman" w:eastAsia="仿宋" w:cs="Times New Roman"/>
                <w:szCs w:val="21"/>
              </w:rPr>
            </w:pPr>
            <w:r>
              <w:rPr>
                <w:rFonts w:ascii="Times New Roman" w:hAnsi="Times New Roman" w:eastAsia="仿宋" w:cs="Times New Roman"/>
                <w:szCs w:val="21"/>
              </w:rPr>
              <w:t>（4.1.1）《东安县人民政府关于调整高污染燃料禁燃区的通告》（东政函〔2021〕1号）。</w:t>
            </w:r>
          </w:p>
          <w:p w14:paraId="4CB101E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6D73ED9A">
            <w:pPr>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136A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134" w:type="dxa"/>
            <w:vAlign w:val="center"/>
          </w:tcPr>
          <w:p w14:paraId="05C8FD9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784" w:type="dxa"/>
            <w:gridSpan w:val="9"/>
            <w:vAlign w:val="center"/>
          </w:tcPr>
          <w:p w14:paraId="419C2EB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全面推进主城区排放油烟的规模以上的餐饮企业安装高效油烟净化装置，建立油烟净化装置定期清理维护制度。</w:t>
            </w:r>
          </w:p>
        </w:tc>
        <w:tc>
          <w:tcPr>
            <w:tcW w:w="4275" w:type="dxa"/>
            <w:gridSpan w:val="2"/>
            <w:vMerge w:val="continue"/>
            <w:vAlign w:val="center"/>
          </w:tcPr>
          <w:p w14:paraId="59EDD3C3">
            <w:pPr>
              <w:widowControl/>
              <w:jc w:val="left"/>
              <w:rPr>
                <w:rFonts w:ascii="Times New Roman" w:hAnsi="Times New Roman" w:eastAsia="仿宋" w:cs="Times New Roman"/>
                <w:szCs w:val="21"/>
              </w:rPr>
            </w:pPr>
          </w:p>
        </w:tc>
      </w:tr>
      <w:tr w14:paraId="35B6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134" w:type="dxa"/>
            <w:vAlign w:val="center"/>
          </w:tcPr>
          <w:p w14:paraId="5957F9F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784" w:type="dxa"/>
            <w:gridSpan w:val="9"/>
            <w:vAlign w:val="center"/>
          </w:tcPr>
          <w:p w14:paraId="2B6B796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（3.1）加强城市放射性废物库的运行管理及安全保卫，确保废旧放射源做到100%的安全收贮。</w:t>
            </w:r>
          </w:p>
          <w:p w14:paraId="1438D0D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（3.2）建立环境风险信息报告制度、强化化学品环境影响评价及环境影响后评价、落实企业环境风险防控主体责任、提高化学品循环利用和安全处置水平。</w:t>
            </w:r>
          </w:p>
        </w:tc>
        <w:tc>
          <w:tcPr>
            <w:tcW w:w="4275" w:type="dxa"/>
            <w:gridSpan w:val="2"/>
            <w:vMerge w:val="continue"/>
            <w:vAlign w:val="center"/>
          </w:tcPr>
          <w:p w14:paraId="3A1BE37F">
            <w:pPr>
              <w:widowControl/>
              <w:jc w:val="left"/>
              <w:rPr>
                <w:rFonts w:ascii="Times New Roman" w:hAnsi="Times New Roman" w:eastAsia="仿宋" w:cs="Times New Roman"/>
                <w:szCs w:val="21"/>
              </w:rPr>
            </w:pPr>
          </w:p>
        </w:tc>
      </w:tr>
      <w:tr w14:paraId="3C33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B0856F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784" w:type="dxa"/>
            <w:gridSpan w:val="9"/>
            <w:vAlign w:val="center"/>
          </w:tcPr>
          <w:p w14:paraId="029E538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6589753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w:t>
            </w:r>
            <w:r>
              <w:rPr>
                <w:rFonts w:ascii="Times New Roman" w:hAnsi="Times New Roman" w:eastAsia="仿宋" w:cs="Times New Roman"/>
                <w:b/>
                <w:szCs w:val="21"/>
              </w:rPr>
              <w:t>白牙市镇：</w:t>
            </w:r>
            <w:r>
              <w:rPr>
                <w:rFonts w:ascii="Times New Roman" w:hAnsi="Times New Roman" w:eastAsia="仿宋" w:cs="Times New Roman"/>
                <w:szCs w:val="21"/>
              </w:rPr>
              <w:t>高污染燃料禁燃区按东安县政府发布的禁燃区划定方案中有关规定执行。</w:t>
            </w:r>
          </w:p>
          <w:p w14:paraId="3402DED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kern w:val="0"/>
                <w:szCs w:val="21"/>
              </w:rPr>
              <w:t>全面完善能源基础设施，构建集水电、风电、光伏发电、天然气于一体多种能源并举的大能源格局。</w:t>
            </w:r>
          </w:p>
          <w:p w14:paraId="750F7D4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05D39A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4275" w:type="dxa"/>
            <w:gridSpan w:val="2"/>
            <w:vMerge w:val="continue"/>
            <w:vAlign w:val="center"/>
          </w:tcPr>
          <w:p w14:paraId="48776266">
            <w:pPr>
              <w:widowControl/>
              <w:jc w:val="left"/>
              <w:rPr>
                <w:rFonts w:ascii="Times New Roman" w:hAnsi="Times New Roman" w:eastAsia="仿宋" w:cs="Times New Roman"/>
                <w:szCs w:val="21"/>
              </w:rPr>
            </w:pPr>
          </w:p>
        </w:tc>
      </w:tr>
    </w:tbl>
    <w:p w14:paraId="1962150C">
      <w:pPr>
        <w:rPr>
          <w:rFonts w:ascii="Times New Roman" w:hAnsi="Times New Roman" w:eastAsia="仿宋" w:cs="Times New Roman"/>
          <w:szCs w:val="21"/>
        </w:rPr>
      </w:pPr>
    </w:p>
    <w:p w14:paraId="328B602A">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567"/>
        <w:gridCol w:w="709"/>
        <w:gridCol w:w="1134"/>
        <w:gridCol w:w="1134"/>
        <w:gridCol w:w="850"/>
        <w:gridCol w:w="3261"/>
        <w:gridCol w:w="141"/>
        <w:gridCol w:w="3425"/>
      </w:tblGrid>
      <w:tr w14:paraId="6BA7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1CA4759">
            <w:pPr>
              <w:widowControl/>
              <w:jc w:val="center"/>
              <w:rPr>
                <w:rFonts w:ascii="Times New Roman" w:hAnsi="Times New Roman" w:eastAsia="仿宋" w:cs="Times New Roman"/>
                <w:b/>
                <w:kern w:val="0"/>
                <w:szCs w:val="21"/>
              </w:rPr>
            </w:pPr>
            <w:r>
              <w:rPr>
                <w:rFonts w:ascii="Times New Roman" w:hAnsi="Times New Roman" w:eastAsia="仿宋" w:cs="Times New Roman"/>
                <w:szCs w:val="21"/>
              </w:rPr>
              <w:br w:type="page"/>
            </w:r>
            <w:r>
              <w:rPr>
                <w:rFonts w:ascii="Times New Roman" w:hAnsi="Times New Roman" w:eastAsia="仿宋" w:cs="Times New Roman"/>
                <w:b/>
                <w:kern w:val="0"/>
                <w:szCs w:val="21"/>
              </w:rPr>
              <w:t>环境管控单元编码</w:t>
            </w:r>
          </w:p>
        </w:tc>
        <w:tc>
          <w:tcPr>
            <w:tcW w:w="851" w:type="dxa"/>
            <w:vMerge w:val="restart"/>
            <w:vAlign w:val="center"/>
          </w:tcPr>
          <w:p w14:paraId="0A97EC5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4" w:type="dxa"/>
            <w:gridSpan w:val="3"/>
            <w:vAlign w:val="center"/>
          </w:tcPr>
          <w:p w14:paraId="011EAAF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1241D4B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0EE3A17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34" w:type="dxa"/>
            <w:vMerge w:val="restart"/>
            <w:vAlign w:val="center"/>
          </w:tcPr>
          <w:p w14:paraId="39B8658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850" w:type="dxa"/>
            <w:vMerge w:val="restart"/>
            <w:vAlign w:val="center"/>
          </w:tcPr>
          <w:p w14:paraId="30ED612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402" w:type="dxa"/>
            <w:gridSpan w:val="2"/>
            <w:vMerge w:val="restart"/>
            <w:vAlign w:val="center"/>
          </w:tcPr>
          <w:p w14:paraId="2769878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25" w:type="dxa"/>
            <w:vMerge w:val="restart"/>
            <w:vAlign w:val="center"/>
          </w:tcPr>
          <w:p w14:paraId="4B22F80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BCA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137A9D37">
            <w:pPr>
              <w:widowControl/>
              <w:jc w:val="left"/>
              <w:rPr>
                <w:rFonts w:ascii="Times New Roman" w:hAnsi="Times New Roman" w:eastAsia="仿宋" w:cs="Times New Roman"/>
                <w:b/>
                <w:kern w:val="0"/>
                <w:szCs w:val="21"/>
              </w:rPr>
            </w:pPr>
          </w:p>
        </w:tc>
        <w:tc>
          <w:tcPr>
            <w:tcW w:w="851" w:type="dxa"/>
            <w:vMerge w:val="continue"/>
            <w:vAlign w:val="center"/>
          </w:tcPr>
          <w:p w14:paraId="14CDCF2F">
            <w:pPr>
              <w:widowControl/>
              <w:jc w:val="left"/>
              <w:rPr>
                <w:rFonts w:ascii="Times New Roman" w:hAnsi="Times New Roman" w:eastAsia="仿宋" w:cs="Times New Roman"/>
                <w:b/>
                <w:kern w:val="0"/>
                <w:szCs w:val="21"/>
              </w:rPr>
            </w:pPr>
          </w:p>
        </w:tc>
        <w:tc>
          <w:tcPr>
            <w:tcW w:w="425" w:type="dxa"/>
            <w:vAlign w:val="center"/>
          </w:tcPr>
          <w:p w14:paraId="3248920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62" w:type="dxa"/>
            <w:vAlign w:val="center"/>
          </w:tcPr>
          <w:p w14:paraId="2332AC9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67" w:type="dxa"/>
            <w:vAlign w:val="center"/>
          </w:tcPr>
          <w:p w14:paraId="6B860D0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7D731C62">
            <w:pPr>
              <w:widowControl/>
              <w:jc w:val="left"/>
              <w:rPr>
                <w:rFonts w:ascii="Times New Roman" w:hAnsi="Times New Roman" w:eastAsia="仿宋" w:cs="Times New Roman"/>
                <w:b/>
                <w:kern w:val="0"/>
                <w:szCs w:val="21"/>
              </w:rPr>
            </w:pPr>
          </w:p>
        </w:tc>
        <w:tc>
          <w:tcPr>
            <w:tcW w:w="1134" w:type="dxa"/>
            <w:vMerge w:val="continue"/>
            <w:vAlign w:val="center"/>
          </w:tcPr>
          <w:p w14:paraId="0965EAEE">
            <w:pPr>
              <w:widowControl/>
              <w:jc w:val="left"/>
              <w:rPr>
                <w:rFonts w:ascii="Times New Roman" w:hAnsi="Times New Roman" w:eastAsia="仿宋" w:cs="Times New Roman"/>
                <w:b/>
                <w:kern w:val="0"/>
                <w:szCs w:val="21"/>
              </w:rPr>
            </w:pPr>
          </w:p>
        </w:tc>
        <w:tc>
          <w:tcPr>
            <w:tcW w:w="1134" w:type="dxa"/>
            <w:vMerge w:val="continue"/>
            <w:vAlign w:val="center"/>
          </w:tcPr>
          <w:p w14:paraId="408F2C2A">
            <w:pPr>
              <w:widowControl/>
              <w:jc w:val="left"/>
              <w:rPr>
                <w:rFonts w:ascii="Times New Roman" w:hAnsi="Times New Roman" w:eastAsia="仿宋" w:cs="Times New Roman"/>
                <w:b/>
                <w:kern w:val="0"/>
                <w:szCs w:val="21"/>
              </w:rPr>
            </w:pPr>
          </w:p>
        </w:tc>
        <w:tc>
          <w:tcPr>
            <w:tcW w:w="850" w:type="dxa"/>
            <w:vMerge w:val="continue"/>
            <w:vAlign w:val="center"/>
          </w:tcPr>
          <w:p w14:paraId="7A765813">
            <w:pPr>
              <w:widowControl/>
              <w:jc w:val="left"/>
              <w:rPr>
                <w:rFonts w:ascii="Times New Roman" w:hAnsi="Times New Roman" w:eastAsia="仿宋" w:cs="Times New Roman"/>
                <w:b/>
                <w:kern w:val="0"/>
                <w:szCs w:val="21"/>
              </w:rPr>
            </w:pPr>
          </w:p>
        </w:tc>
        <w:tc>
          <w:tcPr>
            <w:tcW w:w="3402" w:type="dxa"/>
            <w:gridSpan w:val="2"/>
            <w:vMerge w:val="continue"/>
            <w:vAlign w:val="center"/>
          </w:tcPr>
          <w:p w14:paraId="25AACEB1">
            <w:pPr>
              <w:widowControl/>
              <w:jc w:val="left"/>
              <w:rPr>
                <w:rFonts w:ascii="Times New Roman" w:hAnsi="Times New Roman" w:eastAsia="仿宋" w:cs="Times New Roman"/>
                <w:b/>
                <w:kern w:val="0"/>
                <w:szCs w:val="21"/>
              </w:rPr>
            </w:pPr>
          </w:p>
        </w:tc>
        <w:tc>
          <w:tcPr>
            <w:tcW w:w="3425" w:type="dxa"/>
            <w:vMerge w:val="continue"/>
            <w:vAlign w:val="center"/>
          </w:tcPr>
          <w:p w14:paraId="01D2DC17">
            <w:pPr>
              <w:widowControl/>
              <w:jc w:val="left"/>
              <w:rPr>
                <w:rFonts w:ascii="Times New Roman" w:hAnsi="Times New Roman" w:eastAsia="仿宋" w:cs="Times New Roman"/>
                <w:b/>
                <w:kern w:val="0"/>
                <w:szCs w:val="21"/>
              </w:rPr>
            </w:pPr>
          </w:p>
        </w:tc>
      </w:tr>
      <w:tr w14:paraId="6278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F0EEF1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ZH43112230001</w:t>
            </w:r>
          </w:p>
        </w:tc>
        <w:tc>
          <w:tcPr>
            <w:tcW w:w="851" w:type="dxa"/>
            <w:vAlign w:val="center"/>
          </w:tcPr>
          <w:p w14:paraId="3721FA3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川岩乡/端桥铺镇</w:t>
            </w:r>
          </w:p>
        </w:tc>
        <w:tc>
          <w:tcPr>
            <w:tcW w:w="425" w:type="dxa"/>
            <w:vAlign w:val="center"/>
          </w:tcPr>
          <w:p w14:paraId="7EBE7C2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2" w:type="dxa"/>
            <w:vAlign w:val="center"/>
          </w:tcPr>
          <w:p w14:paraId="537597A7">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19A08866">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709" w:type="dxa"/>
            <w:vAlign w:val="center"/>
          </w:tcPr>
          <w:p w14:paraId="5D690DF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vAlign w:val="center"/>
          </w:tcPr>
          <w:p w14:paraId="1C07FF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235.22</w:t>
            </w:r>
          </w:p>
        </w:tc>
        <w:tc>
          <w:tcPr>
            <w:tcW w:w="1134" w:type="dxa"/>
            <w:vAlign w:val="center"/>
          </w:tcPr>
          <w:p w14:paraId="55CA309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川岩乡/端桥铺镇</w:t>
            </w:r>
          </w:p>
        </w:tc>
        <w:tc>
          <w:tcPr>
            <w:tcW w:w="850" w:type="dxa"/>
            <w:vAlign w:val="center"/>
          </w:tcPr>
          <w:p w14:paraId="50169A3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川岩乡：重点生态功能区；端桥铺镇：农产品主产区</w:t>
            </w:r>
          </w:p>
        </w:tc>
        <w:tc>
          <w:tcPr>
            <w:tcW w:w="3402" w:type="dxa"/>
            <w:gridSpan w:val="2"/>
            <w:vAlign w:val="center"/>
          </w:tcPr>
          <w:p w14:paraId="7CD2D883">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川岩乡：</w:t>
            </w:r>
            <w:r>
              <w:rPr>
                <w:rFonts w:ascii="Times New Roman" w:hAnsi="Times New Roman" w:eastAsia="仿宋" w:cs="Times New Roman"/>
                <w:szCs w:val="21"/>
              </w:rPr>
              <w:t>种植业、养殖业、微旅游、农产品加工业、制造业（针织或钩针编织物及其制品制造）、光伏发电、风力发电等</w:t>
            </w:r>
            <w:r>
              <w:rPr>
                <w:rFonts w:ascii="Times New Roman" w:hAnsi="Times New Roman" w:eastAsia="仿宋" w:cs="Times New Roman"/>
                <w:kern w:val="0"/>
                <w:szCs w:val="21"/>
              </w:rPr>
              <w:t>。</w:t>
            </w:r>
          </w:p>
          <w:p w14:paraId="1EDE78F6">
            <w:pPr>
              <w:widowControl/>
              <w:jc w:val="left"/>
              <w:rPr>
                <w:rFonts w:ascii="Times New Roman" w:hAnsi="Times New Roman" w:eastAsia="仿宋" w:cs="Times New Roman"/>
                <w:i/>
                <w:kern w:val="0"/>
                <w:szCs w:val="21"/>
              </w:rPr>
            </w:pPr>
            <w:r>
              <w:rPr>
                <w:rFonts w:ascii="Times New Roman" w:hAnsi="Times New Roman" w:eastAsia="仿宋" w:cs="Times New Roman"/>
                <w:b/>
                <w:bCs/>
                <w:kern w:val="0"/>
                <w:szCs w:val="21"/>
              </w:rPr>
              <w:t>端桥铺镇：</w:t>
            </w:r>
            <w:r>
              <w:rPr>
                <w:rFonts w:ascii="Times New Roman" w:hAnsi="Times New Roman" w:eastAsia="仿宋" w:cs="Times New Roman"/>
                <w:szCs w:val="21"/>
              </w:rPr>
              <w:t>种植业、养殖业、制造业（针织或钩针编织物及其制品制造）、建材（粘土砖瓦及建筑砌块制造、水泥制品制造）、农产品加工业、采矿业（建筑石料用灰岩矿开业、砖瓦用页岩矿开采）、光伏发电、风力发电等</w:t>
            </w:r>
            <w:r>
              <w:rPr>
                <w:rFonts w:ascii="Times New Roman" w:hAnsi="Times New Roman" w:eastAsia="仿宋" w:cs="Times New Roman"/>
                <w:kern w:val="0"/>
                <w:szCs w:val="21"/>
              </w:rPr>
              <w:t>。</w:t>
            </w:r>
          </w:p>
        </w:tc>
        <w:tc>
          <w:tcPr>
            <w:tcW w:w="3425" w:type="dxa"/>
            <w:vAlign w:val="center"/>
          </w:tcPr>
          <w:p w14:paraId="588D6DE0">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6CD53E3F">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614F05E5">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29CC2F5E">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川岩乡涉及湖南东安黄金洞省级森林公园、永州市东安县川岩乡松江水库饮用水水源保护区、川岩乡地下水饮用水水源保护区（服务乡镇千人以上）。</w:t>
            </w:r>
          </w:p>
          <w:p w14:paraId="443BED59">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端桥铺镇涉及湖南冷水滩湘江省级湿地公园、永州市东安县端桥铺镇自来水厂地下水饮用水水源保护区（千吨万人）、端桥铺镇凉水井村西江桥水厂饮用水水源保护区（千吨万人）。</w:t>
            </w:r>
          </w:p>
        </w:tc>
      </w:tr>
      <w:tr w14:paraId="0522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2064F2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3927CC3B">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川岩乡：</w:t>
            </w:r>
          </w:p>
          <w:p w14:paraId="61846137">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生物多样性保护功能重要区/三区三线生态红线/水土流失敏感区/森林公园/原生态红线/水土保持功能重要区）；水环境一般管控区；大气环境优先保护区（湖南东安黄金洞省级森林公园）/其他区域；农用地优先保护区/一般管控区 </w:t>
            </w:r>
          </w:p>
          <w:p w14:paraId="0A3AE2FA">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端桥铺镇：</w:t>
            </w:r>
          </w:p>
          <w:p w14:paraId="3B696497">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生物多样性保护功能重要区/水土流失敏感区/湿地公园/原生态红线）；水环境工业污染重点管控区/水环境一般管控区；大气环境优先保护区/大气环境高排放重点管控区/大气环境受体敏感重点管控区/其他区域；农用地优先保护区/农用地重点管控区/建设用地重点管控区（矿区）/一般管控区/其他重点管控区</w:t>
            </w:r>
          </w:p>
        </w:tc>
      </w:tr>
      <w:tr w14:paraId="17F0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6CC8C67">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493" w:type="dxa"/>
            <w:gridSpan w:val="9"/>
            <w:vAlign w:val="center"/>
          </w:tcPr>
          <w:p w14:paraId="594809D1">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566" w:type="dxa"/>
            <w:gridSpan w:val="2"/>
            <w:vAlign w:val="center"/>
          </w:tcPr>
          <w:p w14:paraId="41BAD563">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69F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8CB5D2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493" w:type="dxa"/>
            <w:gridSpan w:val="9"/>
            <w:vAlign w:val="center"/>
          </w:tcPr>
          <w:p w14:paraId="4293714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tc>
        <w:tc>
          <w:tcPr>
            <w:tcW w:w="3566" w:type="dxa"/>
            <w:gridSpan w:val="2"/>
            <w:vMerge w:val="restart"/>
            <w:vAlign w:val="center"/>
          </w:tcPr>
          <w:p w14:paraId="64220F8C">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42A6320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（2.1）《永州市东安县“十四五”生态环境保护规划》；</w:t>
            </w:r>
          </w:p>
          <w:p w14:paraId="020925C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5489BBE1">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1D02E08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03EDC01B">
            <w:pPr>
              <w:tabs>
                <w:tab w:val="left" w:pos="1021"/>
              </w:tabs>
              <w:ind w:hanging="1"/>
              <w:rPr>
                <w:rFonts w:ascii="Times New Roman" w:hAnsi="Times New Roman" w:eastAsia="仿宋" w:cs="Times New Roman"/>
                <w:strike/>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05BE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4C5807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493" w:type="dxa"/>
            <w:gridSpan w:val="9"/>
            <w:vAlign w:val="center"/>
          </w:tcPr>
          <w:p w14:paraId="1DF3F0F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3566" w:type="dxa"/>
            <w:gridSpan w:val="2"/>
            <w:vMerge w:val="continue"/>
            <w:vAlign w:val="center"/>
          </w:tcPr>
          <w:p w14:paraId="3850E285">
            <w:pPr>
              <w:widowControl/>
              <w:jc w:val="left"/>
              <w:rPr>
                <w:rFonts w:ascii="Times New Roman" w:hAnsi="Times New Roman" w:eastAsia="仿宋" w:cs="Times New Roman"/>
                <w:szCs w:val="21"/>
              </w:rPr>
            </w:pPr>
          </w:p>
        </w:tc>
      </w:tr>
      <w:tr w14:paraId="2083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3B1BF1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493" w:type="dxa"/>
            <w:gridSpan w:val="9"/>
            <w:vAlign w:val="center"/>
          </w:tcPr>
          <w:p w14:paraId="18E3C6D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3566" w:type="dxa"/>
            <w:gridSpan w:val="2"/>
            <w:vMerge w:val="continue"/>
            <w:vAlign w:val="center"/>
          </w:tcPr>
          <w:p w14:paraId="7DC2E001">
            <w:pPr>
              <w:widowControl/>
              <w:jc w:val="left"/>
              <w:rPr>
                <w:rFonts w:ascii="Times New Roman" w:hAnsi="Times New Roman" w:eastAsia="仿宋" w:cs="Times New Roman"/>
                <w:szCs w:val="21"/>
              </w:rPr>
            </w:pPr>
          </w:p>
        </w:tc>
      </w:tr>
      <w:tr w14:paraId="327E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41D365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493" w:type="dxa"/>
            <w:gridSpan w:val="9"/>
            <w:vAlign w:val="center"/>
          </w:tcPr>
          <w:p w14:paraId="7C89AC8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55E7B25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328A886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1CE55D6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3566" w:type="dxa"/>
            <w:gridSpan w:val="2"/>
            <w:vMerge w:val="continue"/>
            <w:vAlign w:val="center"/>
          </w:tcPr>
          <w:p w14:paraId="6DE1F29E">
            <w:pPr>
              <w:widowControl/>
              <w:jc w:val="left"/>
              <w:rPr>
                <w:rFonts w:ascii="Times New Roman" w:hAnsi="Times New Roman" w:eastAsia="仿宋" w:cs="Times New Roman"/>
                <w:szCs w:val="21"/>
              </w:rPr>
            </w:pPr>
          </w:p>
        </w:tc>
      </w:tr>
    </w:tbl>
    <w:p w14:paraId="28D84C5F">
      <w:pPr>
        <w:rPr>
          <w:rFonts w:ascii="Times New Roman" w:hAnsi="Times New Roman" w:eastAsia="仿宋" w:cs="Times New Roman"/>
          <w:szCs w:val="21"/>
        </w:rPr>
      </w:pPr>
    </w:p>
    <w:p w14:paraId="1F3A304A">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567"/>
        <w:gridCol w:w="709"/>
        <w:gridCol w:w="1134"/>
        <w:gridCol w:w="1276"/>
        <w:gridCol w:w="992"/>
        <w:gridCol w:w="3207"/>
        <w:gridCol w:w="478"/>
        <w:gridCol w:w="2858"/>
      </w:tblGrid>
      <w:tr w14:paraId="3E0F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CEC6B9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05D36EC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4" w:type="dxa"/>
            <w:gridSpan w:val="3"/>
            <w:vAlign w:val="center"/>
          </w:tcPr>
          <w:p w14:paraId="2959497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7B46987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1F48842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6" w:type="dxa"/>
            <w:vMerge w:val="restart"/>
            <w:vAlign w:val="center"/>
          </w:tcPr>
          <w:p w14:paraId="66236FC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2" w:type="dxa"/>
            <w:vMerge w:val="restart"/>
            <w:vAlign w:val="center"/>
          </w:tcPr>
          <w:p w14:paraId="32D080D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207" w:type="dxa"/>
            <w:vMerge w:val="restart"/>
            <w:vAlign w:val="center"/>
          </w:tcPr>
          <w:p w14:paraId="21FF8E4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336" w:type="dxa"/>
            <w:gridSpan w:val="2"/>
            <w:vMerge w:val="restart"/>
            <w:vAlign w:val="center"/>
          </w:tcPr>
          <w:p w14:paraId="11EE7B2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3AC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0CBD61BB">
            <w:pPr>
              <w:widowControl/>
              <w:jc w:val="left"/>
              <w:rPr>
                <w:rFonts w:ascii="Times New Roman" w:hAnsi="Times New Roman" w:eastAsia="仿宋" w:cs="Times New Roman"/>
                <w:b/>
                <w:kern w:val="0"/>
                <w:szCs w:val="21"/>
              </w:rPr>
            </w:pPr>
          </w:p>
        </w:tc>
        <w:tc>
          <w:tcPr>
            <w:tcW w:w="851" w:type="dxa"/>
            <w:vMerge w:val="continue"/>
            <w:vAlign w:val="center"/>
          </w:tcPr>
          <w:p w14:paraId="3B007451">
            <w:pPr>
              <w:widowControl/>
              <w:jc w:val="left"/>
              <w:rPr>
                <w:rFonts w:ascii="Times New Roman" w:hAnsi="Times New Roman" w:eastAsia="仿宋" w:cs="Times New Roman"/>
                <w:b/>
                <w:kern w:val="0"/>
                <w:szCs w:val="21"/>
              </w:rPr>
            </w:pPr>
          </w:p>
        </w:tc>
        <w:tc>
          <w:tcPr>
            <w:tcW w:w="425" w:type="dxa"/>
            <w:vAlign w:val="center"/>
          </w:tcPr>
          <w:p w14:paraId="3621600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62" w:type="dxa"/>
            <w:vAlign w:val="center"/>
          </w:tcPr>
          <w:p w14:paraId="5290C50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67" w:type="dxa"/>
            <w:vAlign w:val="center"/>
          </w:tcPr>
          <w:p w14:paraId="66BB404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2EF4ED29">
            <w:pPr>
              <w:widowControl/>
              <w:jc w:val="left"/>
              <w:rPr>
                <w:rFonts w:ascii="Times New Roman" w:hAnsi="Times New Roman" w:eastAsia="仿宋" w:cs="Times New Roman"/>
                <w:b/>
                <w:kern w:val="0"/>
                <w:szCs w:val="21"/>
              </w:rPr>
            </w:pPr>
          </w:p>
        </w:tc>
        <w:tc>
          <w:tcPr>
            <w:tcW w:w="1134" w:type="dxa"/>
            <w:vMerge w:val="continue"/>
            <w:vAlign w:val="center"/>
          </w:tcPr>
          <w:p w14:paraId="4B7F72E0">
            <w:pPr>
              <w:widowControl/>
              <w:jc w:val="left"/>
              <w:rPr>
                <w:rFonts w:ascii="Times New Roman" w:hAnsi="Times New Roman" w:eastAsia="仿宋" w:cs="Times New Roman"/>
                <w:b/>
                <w:kern w:val="0"/>
                <w:szCs w:val="21"/>
              </w:rPr>
            </w:pPr>
          </w:p>
        </w:tc>
        <w:tc>
          <w:tcPr>
            <w:tcW w:w="1276" w:type="dxa"/>
            <w:vMerge w:val="continue"/>
            <w:vAlign w:val="center"/>
          </w:tcPr>
          <w:p w14:paraId="77C545A3">
            <w:pPr>
              <w:widowControl/>
              <w:jc w:val="left"/>
              <w:rPr>
                <w:rFonts w:ascii="Times New Roman" w:hAnsi="Times New Roman" w:eastAsia="仿宋" w:cs="Times New Roman"/>
                <w:b/>
                <w:kern w:val="0"/>
                <w:szCs w:val="21"/>
              </w:rPr>
            </w:pPr>
          </w:p>
        </w:tc>
        <w:tc>
          <w:tcPr>
            <w:tcW w:w="992" w:type="dxa"/>
            <w:vMerge w:val="continue"/>
            <w:vAlign w:val="center"/>
          </w:tcPr>
          <w:p w14:paraId="20B9E9C2">
            <w:pPr>
              <w:widowControl/>
              <w:jc w:val="left"/>
              <w:rPr>
                <w:rFonts w:ascii="Times New Roman" w:hAnsi="Times New Roman" w:eastAsia="仿宋" w:cs="Times New Roman"/>
                <w:b/>
                <w:kern w:val="0"/>
                <w:szCs w:val="21"/>
              </w:rPr>
            </w:pPr>
          </w:p>
        </w:tc>
        <w:tc>
          <w:tcPr>
            <w:tcW w:w="3207" w:type="dxa"/>
            <w:vMerge w:val="continue"/>
            <w:vAlign w:val="center"/>
          </w:tcPr>
          <w:p w14:paraId="6AED9C48">
            <w:pPr>
              <w:widowControl/>
              <w:jc w:val="left"/>
              <w:rPr>
                <w:rFonts w:ascii="Times New Roman" w:hAnsi="Times New Roman" w:eastAsia="仿宋" w:cs="Times New Roman"/>
                <w:b/>
                <w:kern w:val="0"/>
                <w:szCs w:val="21"/>
              </w:rPr>
            </w:pPr>
          </w:p>
        </w:tc>
        <w:tc>
          <w:tcPr>
            <w:tcW w:w="3336" w:type="dxa"/>
            <w:gridSpan w:val="2"/>
            <w:vMerge w:val="continue"/>
            <w:vAlign w:val="center"/>
          </w:tcPr>
          <w:p w14:paraId="2EBB6AB1">
            <w:pPr>
              <w:widowControl/>
              <w:jc w:val="left"/>
              <w:rPr>
                <w:rFonts w:ascii="Times New Roman" w:hAnsi="Times New Roman" w:eastAsia="仿宋" w:cs="Times New Roman"/>
                <w:b/>
                <w:kern w:val="0"/>
                <w:szCs w:val="21"/>
              </w:rPr>
            </w:pPr>
          </w:p>
        </w:tc>
      </w:tr>
      <w:tr w14:paraId="1140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6" w:hRule="atLeast"/>
          <w:jc w:val="center"/>
        </w:trPr>
        <w:tc>
          <w:tcPr>
            <w:tcW w:w="1134" w:type="dxa"/>
            <w:vAlign w:val="center"/>
          </w:tcPr>
          <w:p w14:paraId="4A64391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ZH43112230002</w:t>
            </w:r>
          </w:p>
        </w:tc>
        <w:tc>
          <w:tcPr>
            <w:tcW w:w="851" w:type="dxa"/>
            <w:vAlign w:val="center"/>
          </w:tcPr>
          <w:p w14:paraId="2690B99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大盛镇/花桥镇/南桥镇/新圩江镇</w:t>
            </w:r>
          </w:p>
        </w:tc>
        <w:tc>
          <w:tcPr>
            <w:tcW w:w="425" w:type="dxa"/>
            <w:vAlign w:val="center"/>
          </w:tcPr>
          <w:p w14:paraId="4C7A24F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62" w:type="dxa"/>
            <w:vAlign w:val="center"/>
          </w:tcPr>
          <w:p w14:paraId="04385D74">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6B06F117">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709" w:type="dxa"/>
            <w:vAlign w:val="center"/>
          </w:tcPr>
          <w:p w14:paraId="7BE90B1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vAlign w:val="center"/>
          </w:tcPr>
          <w:p w14:paraId="3C13DF8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394.98</w:t>
            </w:r>
          </w:p>
        </w:tc>
        <w:tc>
          <w:tcPr>
            <w:tcW w:w="1276" w:type="dxa"/>
            <w:vAlign w:val="center"/>
          </w:tcPr>
          <w:p w14:paraId="758870E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大盛镇/花桥镇/南桥镇/新圩江镇</w:t>
            </w:r>
          </w:p>
        </w:tc>
        <w:tc>
          <w:tcPr>
            <w:tcW w:w="992" w:type="dxa"/>
            <w:vAlign w:val="center"/>
          </w:tcPr>
          <w:p w14:paraId="5BE31CDF">
            <w:pPr>
              <w:widowControl/>
              <w:jc w:val="center"/>
              <w:rPr>
                <w:rFonts w:ascii="Times New Roman" w:hAnsi="Times New Roman" w:eastAsia="仿宋" w:cs="Times New Roman"/>
                <w:szCs w:val="21"/>
              </w:rPr>
            </w:pPr>
            <w:r>
              <w:rPr>
                <w:rFonts w:ascii="Times New Roman" w:hAnsi="Times New Roman" w:eastAsia="仿宋" w:cs="Times New Roman"/>
                <w:kern w:val="0"/>
                <w:szCs w:val="21"/>
              </w:rPr>
              <w:t>大盛镇：重点生态功能区；花桥镇：农产品主产区；南桥镇：重点生态功能区；新圩江镇：重点生态功能区</w:t>
            </w:r>
          </w:p>
        </w:tc>
        <w:tc>
          <w:tcPr>
            <w:tcW w:w="3207" w:type="dxa"/>
            <w:vAlign w:val="center"/>
          </w:tcPr>
          <w:p w14:paraId="46055025">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大盛镇、花桥镇：</w:t>
            </w:r>
            <w:r>
              <w:rPr>
                <w:rFonts w:ascii="Times New Roman" w:hAnsi="Times New Roman" w:eastAsia="仿宋" w:cs="Times New Roman"/>
                <w:szCs w:val="21"/>
              </w:rPr>
              <w:t>种植业、养殖业、农产品加工业、制造业（木竹材加工机械制造、针织或钩针编织物及其制品制造）、光伏发电等。</w:t>
            </w:r>
          </w:p>
          <w:p w14:paraId="6540CCAF">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南桥镇：</w:t>
            </w:r>
            <w:r>
              <w:rPr>
                <w:rFonts w:ascii="Times New Roman" w:hAnsi="Times New Roman" w:eastAsia="仿宋" w:cs="Times New Roman"/>
                <w:szCs w:val="21"/>
              </w:rPr>
              <w:t>种植业、农产品加工、建材（粘土砖瓦及建筑砌块制造）、制造业（针织或钩针编织物及其制品制造）、采矿业（建筑石料用灰岩矿开采）、风力发电、水力发电（在建蓄水储能电站）等。</w:t>
            </w:r>
          </w:p>
          <w:p w14:paraId="20FDF2C0">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新圩江镇：</w:t>
            </w:r>
            <w:r>
              <w:rPr>
                <w:rFonts w:ascii="Times New Roman" w:hAnsi="Times New Roman" w:eastAsia="仿宋" w:cs="Times New Roman"/>
                <w:szCs w:val="21"/>
              </w:rPr>
              <w:t>种植业、养殖业、农产品加工业、制造业（竹材加工机械制造、针织或钩针编织物及其制品制造）、采矿业（建筑石料用灰岩矿开采）等</w:t>
            </w:r>
            <w:r>
              <w:rPr>
                <w:rFonts w:ascii="Times New Roman" w:hAnsi="Times New Roman" w:eastAsia="仿宋" w:cs="Times New Roman"/>
                <w:kern w:val="0"/>
                <w:szCs w:val="21"/>
              </w:rPr>
              <w:t>。</w:t>
            </w:r>
          </w:p>
        </w:tc>
        <w:tc>
          <w:tcPr>
            <w:tcW w:w="3336" w:type="dxa"/>
            <w:gridSpan w:val="2"/>
            <w:vAlign w:val="center"/>
          </w:tcPr>
          <w:p w14:paraId="1FBEF3AA">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66B6A19B">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57D17C55">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6877B612">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大盛镇涉及湖南邵阳河伯岭县级自然保护区、大盛镇山溪水饮用水水源保护区（服务乡镇千人以上）、泗水村山溪饮用水水源保护区（千人以上）、易江村山溪饮用水水源保护区（千人以上）、黄家村山</w:t>
            </w:r>
          </w:p>
          <w:p w14:paraId="3C5994C8">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溪饮用水水源保护区（千人以上）、铁塘村供水工程地下水饮用水水源保护区（千人以上）。</w:t>
            </w:r>
          </w:p>
          <w:p w14:paraId="38858972">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花桥镇涉及花桥镇地下水饮用水水源保护区（服务乡镇千人以上）、田心村山溪饮用水水源保护区（千人以上）、唐家村供水工程地下水饮用水水源保护区（千人以上）。</w:t>
            </w:r>
          </w:p>
          <w:p w14:paraId="46A6BA4A">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南桥镇涉及湖南东安</w:t>
            </w:r>
            <w:bookmarkStart w:id="27" w:name="OLE_LINK10"/>
            <w:r>
              <w:rPr>
                <w:rFonts w:ascii="Times New Roman" w:hAnsi="Times New Roman" w:eastAsia="仿宋" w:cs="Times New Roman"/>
                <w:kern w:val="0"/>
                <w:szCs w:val="21"/>
              </w:rPr>
              <w:t>黄金洞省级森林公园</w:t>
            </w:r>
            <w:bookmarkEnd w:id="27"/>
            <w:r>
              <w:rPr>
                <w:rFonts w:ascii="Times New Roman" w:hAnsi="Times New Roman" w:eastAsia="仿宋" w:cs="Times New Roman"/>
                <w:kern w:val="0"/>
                <w:szCs w:val="21"/>
              </w:rPr>
              <w:t>、南桥镇双江水库饮用水水源保护区（千吨万人）、新圩江镇湖南东安黄金洞省级森林公园、新圩江镇地下水饮用水水源保护区（服务乡镇千人以上）。</w:t>
            </w:r>
          </w:p>
        </w:tc>
      </w:tr>
      <w:tr w14:paraId="5B77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199A9A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1B6B4D69">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大盛镇：</w:t>
            </w:r>
            <w:r>
              <w:rPr>
                <w:rFonts w:ascii="Times New Roman" w:hAnsi="Times New Roman" w:eastAsia="仿宋" w:cs="Times New Roman"/>
                <w:kern w:val="0"/>
                <w:szCs w:val="21"/>
              </w:rPr>
              <w:t xml:space="preserve"> </w:t>
            </w:r>
          </w:p>
          <w:p w14:paraId="1392FE96">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生物多样性保护功能重要区/水土流失敏感区/原生态红线/森林公园）；水环境一般管控区；大气环境优先保护区/大气环境受体敏感重点管控区/其他区域；农用地优先保护区/一般管控区</w:t>
            </w:r>
          </w:p>
          <w:p w14:paraId="1019481F">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花桥镇：</w:t>
            </w:r>
          </w:p>
          <w:p w14:paraId="5DFB2508">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红线/一般生态空间（水源涵养重要区/三区三线生态红线/水土流失敏感区/生物多样性保护功能重要区/原生态红线）；水环境一般管控区；大气环境受体敏感重点管控区/其他区域；农用地优先保护区/一般管控区</w:t>
            </w:r>
          </w:p>
          <w:p w14:paraId="648C350E">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南桥镇：</w:t>
            </w:r>
          </w:p>
          <w:p w14:paraId="70437ADB">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三区三线生态红线/森林公园/水土流失敏感区/生物多样性保护功能重要区）；水环境一般管控区；大气环境优先保护区（湖南东安黄金洞省级森林公园）/大气环境受体敏感重点管控区/其他区域；农用地优先保护区/建设用地重点管控区（矿区）/一般管控区/其他重点管控区 </w:t>
            </w:r>
          </w:p>
          <w:p w14:paraId="051A3F75">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新圩江镇：</w:t>
            </w:r>
          </w:p>
          <w:p w14:paraId="7AC87901">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三区三线生态红线/森林公园/生物多样性保护功能重要区/水土流失敏感区/原生态红线/石漠化敏感区）；水环境一般管控区；大气环境优先保护区/大气环境受体敏感重点管控区/其他区域；农用地优先保护区/建设用地重点管控区（矿区）/一般管控区/其他重点管控区 </w:t>
            </w:r>
          </w:p>
        </w:tc>
      </w:tr>
      <w:tr w14:paraId="79E8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34" w:type="dxa"/>
            <w:vAlign w:val="center"/>
          </w:tcPr>
          <w:p w14:paraId="6C12EB7F">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10201" w:type="dxa"/>
            <w:gridSpan w:val="10"/>
            <w:vAlign w:val="center"/>
          </w:tcPr>
          <w:p w14:paraId="66EC268B">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2858" w:type="dxa"/>
            <w:vAlign w:val="center"/>
          </w:tcPr>
          <w:p w14:paraId="42FF67D0">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AA2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Align w:val="center"/>
          </w:tcPr>
          <w:p w14:paraId="298E7C2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10201" w:type="dxa"/>
            <w:gridSpan w:val="10"/>
            <w:vAlign w:val="center"/>
          </w:tcPr>
          <w:p w14:paraId="1CAB451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tc>
        <w:tc>
          <w:tcPr>
            <w:tcW w:w="2858" w:type="dxa"/>
            <w:vMerge w:val="restart"/>
            <w:vAlign w:val="center"/>
          </w:tcPr>
          <w:p w14:paraId="367CCB97">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06AEC57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（2.1）《永州市东安县“十四五”生态环境保护规划》；</w:t>
            </w:r>
          </w:p>
          <w:p w14:paraId="41263CA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4AF17256">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05055CC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5C34681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2F62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1134" w:type="dxa"/>
            <w:vAlign w:val="center"/>
          </w:tcPr>
          <w:p w14:paraId="7D9DB07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10201" w:type="dxa"/>
            <w:gridSpan w:val="10"/>
            <w:vAlign w:val="center"/>
          </w:tcPr>
          <w:p w14:paraId="09BF59E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全面推进主城区排放油烟的规模以上的餐饮企业安装高效油烟净化装置，建立油烟净化装置定期清理维护制度。</w:t>
            </w:r>
          </w:p>
          <w:p w14:paraId="7DD29F1B">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（2.2）养殖场、农副产品加工、采石场等产生污染物的企业应当按要求采取污染治理措施，确保达标排放。</w:t>
            </w:r>
          </w:p>
        </w:tc>
        <w:tc>
          <w:tcPr>
            <w:tcW w:w="2858" w:type="dxa"/>
            <w:vMerge w:val="continue"/>
            <w:vAlign w:val="center"/>
          </w:tcPr>
          <w:p w14:paraId="428E1B6A">
            <w:pPr>
              <w:tabs>
                <w:tab w:val="left" w:pos="1021"/>
              </w:tabs>
              <w:ind w:hanging="1"/>
              <w:rPr>
                <w:rFonts w:ascii="Times New Roman" w:hAnsi="Times New Roman" w:eastAsia="仿宋" w:cs="Times New Roman"/>
                <w:strike/>
                <w:szCs w:val="21"/>
              </w:rPr>
            </w:pPr>
          </w:p>
        </w:tc>
      </w:tr>
      <w:tr w14:paraId="5A36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134" w:type="dxa"/>
            <w:vAlign w:val="center"/>
          </w:tcPr>
          <w:p w14:paraId="6283676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10201" w:type="dxa"/>
            <w:gridSpan w:val="10"/>
            <w:vAlign w:val="center"/>
          </w:tcPr>
          <w:p w14:paraId="3DB198DD">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2858" w:type="dxa"/>
            <w:vMerge w:val="continue"/>
            <w:vAlign w:val="center"/>
          </w:tcPr>
          <w:p w14:paraId="0F99E2BE">
            <w:pPr>
              <w:tabs>
                <w:tab w:val="left" w:pos="1021"/>
              </w:tabs>
              <w:ind w:hanging="1"/>
              <w:rPr>
                <w:rFonts w:ascii="Times New Roman" w:hAnsi="Times New Roman" w:eastAsia="仿宋" w:cs="Times New Roman"/>
                <w:strike/>
                <w:szCs w:val="21"/>
              </w:rPr>
            </w:pPr>
          </w:p>
        </w:tc>
      </w:tr>
      <w:tr w14:paraId="386E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jc w:val="center"/>
        </w:trPr>
        <w:tc>
          <w:tcPr>
            <w:tcW w:w="1134" w:type="dxa"/>
            <w:vAlign w:val="center"/>
          </w:tcPr>
          <w:p w14:paraId="30252E2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10201" w:type="dxa"/>
            <w:gridSpan w:val="10"/>
            <w:vAlign w:val="center"/>
          </w:tcPr>
          <w:p w14:paraId="2D03ADA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0770C4A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2678669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7C1ACAC">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2858" w:type="dxa"/>
            <w:vMerge w:val="continue"/>
            <w:vAlign w:val="center"/>
          </w:tcPr>
          <w:p w14:paraId="77C07903">
            <w:pPr>
              <w:tabs>
                <w:tab w:val="left" w:pos="1021"/>
              </w:tabs>
              <w:ind w:hanging="1"/>
              <w:rPr>
                <w:rFonts w:ascii="Times New Roman" w:hAnsi="Times New Roman" w:eastAsia="仿宋" w:cs="Times New Roman"/>
                <w:strike/>
                <w:szCs w:val="21"/>
              </w:rPr>
            </w:pPr>
          </w:p>
        </w:tc>
      </w:tr>
    </w:tbl>
    <w:p w14:paraId="129FAC32">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p w14:paraId="516D5040">
      <w:pPr>
        <w:tabs>
          <w:tab w:val="left" w:pos="767"/>
        </w:tabs>
        <w:rPr>
          <w:rFonts w:ascii="Times New Roman" w:hAnsi="Times New Roman" w:eastAsia="仿宋" w:cs="Times New Roman"/>
          <w:szCs w:val="21"/>
        </w:rPr>
      </w:pPr>
      <w:r>
        <w:rPr>
          <w:rFonts w:ascii="Times New Roman" w:hAnsi="Times New Roman" w:eastAsia="仿宋" w:cs="Times New Roman"/>
          <w:szCs w:val="21"/>
        </w:rPr>
        <w:tab/>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159"/>
        <w:gridCol w:w="2565"/>
        <w:gridCol w:w="3425"/>
      </w:tblGrid>
      <w:tr w14:paraId="7062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0807CB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302A5A8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779D674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0BE18C8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6F3D9AC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48E9451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59" w:type="dxa"/>
            <w:vMerge w:val="restart"/>
            <w:vAlign w:val="center"/>
          </w:tcPr>
          <w:p w14:paraId="7BF56C9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565" w:type="dxa"/>
            <w:vMerge w:val="restart"/>
            <w:vAlign w:val="center"/>
          </w:tcPr>
          <w:p w14:paraId="34A2989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25" w:type="dxa"/>
            <w:vMerge w:val="restart"/>
            <w:vAlign w:val="center"/>
          </w:tcPr>
          <w:p w14:paraId="2F15723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2D3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570F288B">
            <w:pPr>
              <w:widowControl/>
              <w:jc w:val="left"/>
              <w:rPr>
                <w:rFonts w:ascii="Times New Roman" w:hAnsi="Times New Roman" w:eastAsia="仿宋" w:cs="Times New Roman"/>
                <w:b/>
                <w:kern w:val="0"/>
                <w:szCs w:val="21"/>
              </w:rPr>
            </w:pPr>
          </w:p>
        </w:tc>
        <w:tc>
          <w:tcPr>
            <w:tcW w:w="851" w:type="dxa"/>
            <w:vMerge w:val="continue"/>
            <w:vAlign w:val="center"/>
          </w:tcPr>
          <w:p w14:paraId="2809C7F5">
            <w:pPr>
              <w:widowControl/>
              <w:jc w:val="left"/>
              <w:rPr>
                <w:rFonts w:ascii="Times New Roman" w:hAnsi="Times New Roman" w:eastAsia="仿宋" w:cs="Times New Roman"/>
                <w:b/>
                <w:kern w:val="0"/>
                <w:szCs w:val="21"/>
              </w:rPr>
            </w:pPr>
          </w:p>
        </w:tc>
        <w:tc>
          <w:tcPr>
            <w:tcW w:w="425" w:type="dxa"/>
            <w:vAlign w:val="center"/>
          </w:tcPr>
          <w:p w14:paraId="48917B8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08445B3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3837242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67652303">
            <w:pPr>
              <w:widowControl/>
              <w:jc w:val="left"/>
              <w:rPr>
                <w:rFonts w:ascii="Times New Roman" w:hAnsi="Times New Roman" w:eastAsia="仿宋" w:cs="Times New Roman"/>
                <w:b/>
                <w:kern w:val="0"/>
                <w:szCs w:val="21"/>
              </w:rPr>
            </w:pPr>
          </w:p>
        </w:tc>
        <w:tc>
          <w:tcPr>
            <w:tcW w:w="992" w:type="dxa"/>
            <w:vMerge w:val="continue"/>
            <w:vAlign w:val="center"/>
          </w:tcPr>
          <w:p w14:paraId="27871885">
            <w:pPr>
              <w:widowControl/>
              <w:jc w:val="left"/>
              <w:rPr>
                <w:rFonts w:ascii="Times New Roman" w:hAnsi="Times New Roman" w:eastAsia="仿宋" w:cs="Times New Roman"/>
                <w:b/>
                <w:kern w:val="0"/>
                <w:szCs w:val="21"/>
              </w:rPr>
            </w:pPr>
          </w:p>
        </w:tc>
        <w:tc>
          <w:tcPr>
            <w:tcW w:w="1055" w:type="dxa"/>
            <w:vMerge w:val="continue"/>
            <w:vAlign w:val="center"/>
          </w:tcPr>
          <w:p w14:paraId="2A91C0B9">
            <w:pPr>
              <w:widowControl/>
              <w:jc w:val="left"/>
              <w:rPr>
                <w:rFonts w:ascii="Times New Roman" w:hAnsi="Times New Roman" w:eastAsia="仿宋" w:cs="Times New Roman"/>
                <w:b/>
                <w:kern w:val="0"/>
                <w:szCs w:val="21"/>
              </w:rPr>
            </w:pPr>
          </w:p>
        </w:tc>
        <w:tc>
          <w:tcPr>
            <w:tcW w:w="1159" w:type="dxa"/>
            <w:vMerge w:val="continue"/>
            <w:vAlign w:val="center"/>
          </w:tcPr>
          <w:p w14:paraId="562A78D2">
            <w:pPr>
              <w:widowControl/>
              <w:jc w:val="left"/>
              <w:rPr>
                <w:rFonts w:ascii="Times New Roman" w:hAnsi="Times New Roman" w:eastAsia="仿宋" w:cs="Times New Roman"/>
                <w:b/>
                <w:kern w:val="0"/>
                <w:szCs w:val="21"/>
              </w:rPr>
            </w:pPr>
          </w:p>
        </w:tc>
        <w:tc>
          <w:tcPr>
            <w:tcW w:w="2565" w:type="dxa"/>
            <w:vMerge w:val="continue"/>
            <w:vAlign w:val="center"/>
          </w:tcPr>
          <w:p w14:paraId="6C9705B6">
            <w:pPr>
              <w:widowControl/>
              <w:jc w:val="left"/>
              <w:rPr>
                <w:rFonts w:ascii="Times New Roman" w:hAnsi="Times New Roman" w:eastAsia="仿宋" w:cs="Times New Roman"/>
                <w:b/>
                <w:kern w:val="0"/>
                <w:szCs w:val="21"/>
              </w:rPr>
            </w:pPr>
          </w:p>
        </w:tc>
        <w:tc>
          <w:tcPr>
            <w:tcW w:w="3425" w:type="dxa"/>
            <w:vMerge w:val="continue"/>
            <w:vAlign w:val="center"/>
          </w:tcPr>
          <w:p w14:paraId="5956C629">
            <w:pPr>
              <w:widowControl/>
              <w:jc w:val="left"/>
              <w:rPr>
                <w:rFonts w:ascii="Times New Roman" w:hAnsi="Times New Roman" w:eastAsia="仿宋" w:cs="Times New Roman"/>
                <w:b/>
                <w:kern w:val="0"/>
                <w:szCs w:val="21"/>
              </w:rPr>
            </w:pPr>
          </w:p>
        </w:tc>
      </w:tr>
      <w:tr w14:paraId="4DDE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763B5B9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ZH43112230003</w:t>
            </w:r>
          </w:p>
        </w:tc>
        <w:tc>
          <w:tcPr>
            <w:tcW w:w="851" w:type="dxa"/>
            <w:vAlign w:val="center"/>
          </w:tcPr>
          <w:p w14:paraId="0363A13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横塘镇</w:t>
            </w:r>
          </w:p>
        </w:tc>
        <w:tc>
          <w:tcPr>
            <w:tcW w:w="425" w:type="dxa"/>
            <w:vAlign w:val="center"/>
          </w:tcPr>
          <w:p w14:paraId="36E4979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0E26A4E7">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4720BC0F">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1134" w:type="dxa"/>
            <w:vAlign w:val="center"/>
          </w:tcPr>
          <w:p w14:paraId="40755E2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92" w:type="dxa"/>
            <w:vAlign w:val="center"/>
          </w:tcPr>
          <w:p w14:paraId="0C14217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141.00</w:t>
            </w:r>
          </w:p>
        </w:tc>
        <w:tc>
          <w:tcPr>
            <w:tcW w:w="1055" w:type="dxa"/>
            <w:vAlign w:val="center"/>
          </w:tcPr>
          <w:p w14:paraId="459BE96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横塘镇</w:t>
            </w:r>
          </w:p>
        </w:tc>
        <w:tc>
          <w:tcPr>
            <w:tcW w:w="1159" w:type="dxa"/>
            <w:vAlign w:val="center"/>
          </w:tcPr>
          <w:p w14:paraId="43596E8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横塘镇：农产品主产区</w:t>
            </w:r>
          </w:p>
        </w:tc>
        <w:tc>
          <w:tcPr>
            <w:tcW w:w="2565" w:type="dxa"/>
            <w:vAlign w:val="center"/>
          </w:tcPr>
          <w:p w14:paraId="1592DEFB">
            <w:pPr>
              <w:widowControl/>
              <w:rPr>
                <w:rFonts w:ascii="Times New Roman" w:hAnsi="Times New Roman" w:eastAsia="仿宋" w:cs="Times New Roman"/>
                <w:kern w:val="0"/>
                <w:szCs w:val="21"/>
              </w:rPr>
            </w:pPr>
            <w:r>
              <w:rPr>
                <w:rFonts w:ascii="Times New Roman" w:hAnsi="Times New Roman" w:eastAsia="仿宋" w:cs="Times New Roman"/>
                <w:szCs w:val="21"/>
              </w:rPr>
              <w:t>种植业、养殖业、农产品加工、建材（粘土砖瓦及建筑砌块制造、水泥制品制造、其他非金属矿物制品制造）、制造业（针织或钩针编织物及其制品制造、制鞋业）、采矿业（建筑石料用灰岩矿开采）等。</w:t>
            </w:r>
          </w:p>
        </w:tc>
        <w:tc>
          <w:tcPr>
            <w:tcW w:w="3425" w:type="dxa"/>
            <w:vAlign w:val="center"/>
          </w:tcPr>
          <w:p w14:paraId="37E3ED09">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19F6426F">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190454D8">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28670904">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横塘镇涉及湘江刺鲃厚唇鱼华鳊国家级水产种质资源保护区、横塘镇地下水饮用水水源保护区（服务乡镇千人以上）、狮子铺供水工程地下水饮用水水源保护区（千人以上）。</w:t>
            </w:r>
          </w:p>
        </w:tc>
      </w:tr>
      <w:tr w14:paraId="4457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22DAC9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0"/>
            <w:vAlign w:val="center"/>
          </w:tcPr>
          <w:p w14:paraId="609A310A">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红线/一般生态空间（三区三线生态红线）；水环境一般管控区/水环境优先保护区；大气环境受体敏感重点管控区/其他区域；农用地优先保护区/建设用地重点管控区（矿区）/一般管控区/其他重点管控区</w:t>
            </w:r>
          </w:p>
        </w:tc>
      </w:tr>
      <w:tr w14:paraId="1812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51D53D4">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634" w:type="dxa"/>
            <w:gridSpan w:val="9"/>
            <w:vAlign w:val="center"/>
          </w:tcPr>
          <w:p w14:paraId="2A1F356E">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425" w:type="dxa"/>
            <w:vAlign w:val="center"/>
          </w:tcPr>
          <w:p w14:paraId="7C6680C1">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25C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Align w:val="center"/>
          </w:tcPr>
          <w:p w14:paraId="23F439E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634" w:type="dxa"/>
            <w:gridSpan w:val="9"/>
            <w:vAlign w:val="center"/>
          </w:tcPr>
          <w:p w14:paraId="67D1C00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p w14:paraId="2F04E0A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自2020年1月1日0时起，湘江流域东安段全段全面禁止天然渔业资源的生产性捕捞（暂定10年），县境内湘江刺鲃厚唇鱼华鳊国家级水产种质资源保护区实行全面永久禁止天然渔业资源的生产性捕捞。在水产种质资源保护区内禁止围垦河流，确需围垦的，必须经过科学认证，并经省级以上人民政府批准。</w:t>
            </w:r>
          </w:p>
        </w:tc>
        <w:tc>
          <w:tcPr>
            <w:tcW w:w="3425" w:type="dxa"/>
            <w:vMerge w:val="restart"/>
            <w:vAlign w:val="center"/>
          </w:tcPr>
          <w:p w14:paraId="52F0EAD8">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5D7CBDC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（1.2）《湘江流域东安段全段禁捕及湘江刺鲃厚唇鱼华鳊国家级水产种质资源保护区保护管理办法》（东常发〔2020〕14号）；</w:t>
            </w:r>
          </w:p>
          <w:p w14:paraId="04700D4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（2.1）《永州市东安县“十四五”生态环境保护规划》；</w:t>
            </w:r>
          </w:p>
          <w:p w14:paraId="638BC35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12CF62DE">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52BF8F2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3B9B6B4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53E2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134" w:type="dxa"/>
            <w:vAlign w:val="center"/>
          </w:tcPr>
          <w:p w14:paraId="46C32DB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634" w:type="dxa"/>
            <w:gridSpan w:val="9"/>
            <w:vAlign w:val="center"/>
          </w:tcPr>
          <w:p w14:paraId="6B3992D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3425" w:type="dxa"/>
            <w:vMerge w:val="continue"/>
            <w:vAlign w:val="center"/>
          </w:tcPr>
          <w:p w14:paraId="3145D05B">
            <w:pPr>
              <w:tabs>
                <w:tab w:val="left" w:pos="1021"/>
              </w:tabs>
              <w:ind w:hanging="1"/>
              <w:rPr>
                <w:rFonts w:ascii="Times New Roman" w:hAnsi="Times New Roman" w:eastAsia="仿宋" w:cs="Times New Roman"/>
                <w:strike/>
                <w:szCs w:val="21"/>
              </w:rPr>
            </w:pPr>
          </w:p>
        </w:tc>
      </w:tr>
      <w:tr w14:paraId="627A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1134" w:type="dxa"/>
            <w:vAlign w:val="center"/>
          </w:tcPr>
          <w:p w14:paraId="62818A8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634" w:type="dxa"/>
            <w:gridSpan w:val="9"/>
            <w:vAlign w:val="center"/>
          </w:tcPr>
          <w:p w14:paraId="0978E361">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3425" w:type="dxa"/>
            <w:vMerge w:val="continue"/>
            <w:vAlign w:val="center"/>
          </w:tcPr>
          <w:p w14:paraId="51043584">
            <w:pPr>
              <w:tabs>
                <w:tab w:val="left" w:pos="1021"/>
              </w:tabs>
              <w:ind w:hanging="1"/>
              <w:rPr>
                <w:rFonts w:ascii="Times New Roman" w:hAnsi="Times New Roman" w:eastAsia="仿宋" w:cs="Times New Roman"/>
                <w:strike/>
                <w:szCs w:val="21"/>
              </w:rPr>
            </w:pPr>
          </w:p>
        </w:tc>
      </w:tr>
      <w:tr w14:paraId="4F3B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1134" w:type="dxa"/>
            <w:vAlign w:val="center"/>
          </w:tcPr>
          <w:p w14:paraId="49F63D0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634" w:type="dxa"/>
            <w:gridSpan w:val="9"/>
            <w:vAlign w:val="center"/>
          </w:tcPr>
          <w:p w14:paraId="03F0C21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58DC607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62CED81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3FB9769">
            <w:pPr>
              <w:tabs>
                <w:tab w:val="left" w:pos="1021"/>
              </w:tabs>
              <w:ind w:firstLine="420" w:firstLineChars="200"/>
              <w:rPr>
                <w:rFonts w:ascii="Times New Roman" w:hAnsi="Times New Roman" w:eastAsia="仿宋" w:cs="Times New Roman"/>
                <w:strike/>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3425" w:type="dxa"/>
            <w:vMerge w:val="continue"/>
            <w:vAlign w:val="center"/>
          </w:tcPr>
          <w:p w14:paraId="6056A2C7">
            <w:pPr>
              <w:tabs>
                <w:tab w:val="left" w:pos="1021"/>
              </w:tabs>
              <w:ind w:hanging="1"/>
              <w:rPr>
                <w:rFonts w:ascii="Times New Roman" w:hAnsi="Times New Roman" w:eastAsia="仿宋" w:cs="Times New Roman"/>
                <w:strike/>
                <w:szCs w:val="21"/>
              </w:rPr>
            </w:pPr>
          </w:p>
        </w:tc>
      </w:tr>
    </w:tbl>
    <w:p w14:paraId="2A8614E8">
      <w:pPr>
        <w:tabs>
          <w:tab w:val="left" w:pos="767"/>
        </w:tabs>
        <w:rPr>
          <w:rFonts w:ascii="Times New Roman" w:hAnsi="Times New Roman" w:eastAsia="仿宋" w:cs="Times New Roman"/>
          <w:szCs w:val="21"/>
        </w:rPr>
      </w:pPr>
    </w:p>
    <w:p w14:paraId="4B8B851F">
      <w:pPr>
        <w:tabs>
          <w:tab w:val="left" w:pos="767"/>
        </w:tabs>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r>
        <w:rPr>
          <w:rFonts w:ascii="Times New Roman" w:hAnsi="Times New Roman" w:eastAsia="仿宋" w:cs="Times New Roman"/>
          <w:szCs w:val="21"/>
        </w:rPr>
        <w:tab/>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159"/>
        <w:gridCol w:w="2446"/>
        <w:gridCol w:w="119"/>
        <w:gridCol w:w="3425"/>
      </w:tblGrid>
      <w:tr w14:paraId="054B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7515AA2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63B4365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6AD1752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2FA7A8F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0987FE2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17ABA13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59" w:type="dxa"/>
            <w:vMerge w:val="restart"/>
            <w:vAlign w:val="center"/>
          </w:tcPr>
          <w:p w14:paraId="0383250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446" w:type="dxa"/>
            <w:vMerge w:val="restart"/>
            <w:vAlign w:val="center"/>
          </w:tcPr>
          <w:p w14:paraId="32130ED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544" w:type="dxa"/>
            <w:gridSpan w:val="2"/>
            <w:vMerge w:val="restart"/>
            <w:vAlign w:val="center"/>
          </w:tcPr>
          <w:p w14:paraId="2DA4071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3CA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72C81D8">
            <w:pPr>
              <w:widowControl/>
              <w:jc w:val="left"/>
              <w:rPr>
                <w:rFonts w:ascii="Times New Roman" w:hAnsi="Times New Roman" w:eastAsia="仿宋" w:cs="Times New Roman"/>
                <w:b/>
                <w:kern w:val="0"/>
                <w:szCs w:val="21"/>
              </w:rPr>
            </w:pPr>
          </w:p>
        </w:tc>
        <w:tc>
          <w:tcPr>
            <w:tcW w:w="851" w:type="dxa"/>
            <w:vMerge w:val="continue"/>
            <w:vAlign w:val="center"/>
          </w:tcPr>
          <w:p w14:paraId="76DE9303">
            <w:pPr>
              <w:widowControl/>
              <w:jc w:val="left"/>
              <w:rPr>
                <w:rFonts w:ascii="Times New Roman" w:hAnsi="Times New Roman" w:eastAsia="仿宋" w:cs="Times New Roman"/>
                <w:b/>
                <w:kern w:val="0"/>
                <w:szCs w:val="21"/>
              </w:rPr>
            </w:pPr>
          </w:p>
        </w:tc>
        <w:tc>
          <w:tcPr>
            <w:tcW w:w="425" w:type="dxa"/>
            <w:vAlign w:val="center"/>
          </w:tcPr>
          <w:p w14:paraId="11519D0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172B877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5716EBB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408E37A3">
            <w:pPr>
              <w:widowControl/>
              <w:jc w:val="left"/>
              <w:rPr>
                <w:rFonts w:ascii="Times New Roman" w:hAnsi="Times New Roman" w:eastAsia="仿宋" w:cs="Times New Roman"/>
                <w:b/>
                <w:kern w:val="0"/>
                <w:szCs w:val="21"/>
              </w:rPr>
            </w:pPr>
          </w:p>
        </w:tc>
        <w:tc>
          <w:tcPr>
            <w:tcW w:w="992" w:type="dxa"/>
            <w:vMerge w:val="continue"/>
            <w:vAlign w:val="center"/>
          </w:tcPr>
          <w:p w14:paraId="405C5E82">
            <w:pPr>
              <w:widowControl/>
              <w:jc w:val="left"/>
              <w:rPr>
                <w:rFonts w:ascii="Times New Roman" w:hAnsi="Times New Roman" w:eastAsia="仿宋" w:cs="Times New Roman"/>
                <w:b/>
                <w:kern w:val="0"/>
                <w:szCs w:val="21"/>
              </w:rPr>
            </w:pPr>
          </w:p>
        </w:tc>
        <w:tc>
          <w:tcPr>
            <w:tcW w:w="1055" w:type="dxa"/>
            <w:vMerge w:val="continue"/>
            <w:vAlign w:val="center"/>
          </w:tcPr>
          <w:p w14:paraId="56007347">
            <w:pPr>
              <w:widowControl/>
              <w:jc w:val="left"/>
              <w:rPr>
                <w:rFonts w:ascii="Times New Roman" w:hAnsi="Times New Roman" w:eastAsia="仿宋" w:cs="Times New Roman"/>
                <w:b/>
                <w:kern w:val="0"/>
                <w:szCs w:val="21"/>
              </w:rPr>
            </w:pPr>
          </w:p>
        </w:tc>
        <w:tc>
          <w:tcPr>
            <w:tcW w:w="1159" w:type="dxa"/>
            <w:vMerge w:val="continue"/>
            <w:vAlign w:val="center"/>
          </w:tcPr>
          <w:p w14:paraId="4B0F63F7">
            <w:pPr>
              <w:widowControl/>
              <w:jc w:val="left"/>
              <w:rPr>
                <w:rFonts w:ascii="Times New Roman" w:hAnsi="Times New Roman" w:eastAsia="仿宋" w:cs="Times New Roman"/>
                <w:b/>
                <w:kern w:val="0"/>
                <w:szCs w:val="21"/>
              </w:rPr>
            </w:pPr>
          </w:p>
        </w:tc>
        <w:tc>
          <w:tcPr>
            <w:tcW w:w="2446" w:type="dxa"/>
            <w:vMerge w:val="continue"/>
            <w:vAlign w:val="center"/>
          </w:tcPr>
          <w:p w14:paraId="1ED953DF">
            <w:pPr>
              <w:widowControl/>
              <w:jc w:val="left"/>
              <w:rPr>
                <w:rFonts w:ascii="Times New Roman" w:hAnsi="Times New Roman" w:eastAsia="仿宋" w:cs="Times New Roman"/>
                <w:b/>
                <w:kern w:val="0"/>
                <w:szCs w:val="21"/>
              </w:rPr>
            </w:pPr>
          </w:p>
        </w:tc>
        <w:tc>
          <w:tcPr>
            <w:tcW w:w="3544" w:type="dxa"/>
            <w:gridSpan w:val="2"/>
            <w:vMerge w:val="continue"/>
            <w:vAlign w:val="center"/>
          </w:tcPr>
          <w:p w14:paraId="07656C68">
            <w:pPr>
              <w:widowControl/>
              <w:jc w:val="left"/>
              <w:rPr>
                <w:rFonts w:ascii="Times New Roman" w:hAnsi="Times New Roman" w:eastAsia="仿宋" w:cs="Times New Roman"/>
                <w:b/>
                <w:kern w:val="0"/>
                <w:szCs w:val="21"/>
              </w:rPr>
            </w:pPr>
          </w:p>
        </w:tc>
      </w:tr>
      <w:tr w14:paraId="2AFC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1134" w:type="dxa"/>
            <w:vAlign w:val="center"/>
          </w:tcPr>
          <w:p w14:paraId="2F2B511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ZH43112230004</w:t>
            </w:r>
          </w:p>
        </w:tc>
        <w:tc>
          <w:tcPr>
            <w:tcW w:w="851" w:type="dxa"/>
            <w:vAlign w:val="center"/>
          </w:tcPr>
          <w:p w14:paraId="439DF41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水岭乡</w:t>
            </w:r>
          </w:p>
        </w:tc>
        <w:tc>
          <w:tcPr>
            <w:tcW w:w="425" w:type="dxa"/>
            <w:vAlign w:val="center"/>
          </w:tcPr>
          <w:p w14:paraId="38ACC69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w:t>
            </w:r>
          </w:p>
        </w:tc>
        <w:tc>
          <w:tcPr>
            <w:tcW w:w="673" w:type="dxa"/>
            <w:vAlign w:val="center"/>
          </w:tcPr>
          <w:p w14:paraId="2B6A080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60A4E4BC">
            <w:pPr>
              <w:widowControl/>
              <w:jc w:val="center"/>
              <w:rPr>
                <w:rFonts w:ascii="Times New Roman" w:hAnsi="Times New Roman" w:eastAsia="仿宋" w:cs="Times New Roman"/>
                <w:szCs w:val="21"/>
              </w:rPr>
            </w:pPr>
            <w:r>
              <w:rPr>
                <w:rFonts w:ascii="Times New Roman" w:hAnsi="Times New Roman" w:eastAsia="仿宋" w:cs="Times New Roman"/>
                <w:szCs w:val="21"/>
              </w:rPr>
              <w:t>东安县</w:t>
            </w:r>
          </w:p>
        </w:tc>
        <w:tc>
          <w:tcPr>
            <w:tcW w:w="1134" w:type="dxa"/>
            <w:vAlign w:val="center"/>
          </w:tcPr>
          <w:p w14:paraId="0975DBE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92" w:type="dxa"/>
            <w:vAlign w:val="center"/>
          </w:tcPr>
          <w:p w14:paraId="0F00575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59.90</w:t>
            </w:r>
          </w:p>
        </w:tc>
        <w:tc>
          <w:tcPr>
            <w:tcW w:w="1055" w:type="dxa"/>
            <w:vAlign w:val="center"/>
          </w:tcPr>
          <w:p w14:paraId="140AB7F8">
            <w:pPr>
              <w:widowControl/>
              <w:jc w:val="center"/>
              <w:rPr>
                <w:rFonts w:ascii="Times New Roman" w:hAnsi="Times New Roman" w:eastAsia="仿宋" w:cs="Times New Roman"/>
                <w:szCs w:val="21"/>
              </w:rPr>
            </w:pPr>
            <w:r>
              <w:rPr>
                <w:rFonts w:ascii="Times New Roman" w:hAnsi="Times New Roman" w:eastAsia="仿宋" w:cs="Times New Roman"/>
                <w:szCs w:val="21"/>
              </w:rPr>
              <w:t>水岭乡</w:t>
            </w:r>
          </w:p>
        </w:tc>
        <w:tc>
          <w:tcPr>
            <w:tcW w:w="1159" w:type="dxa"/>
            <w:vAlign w:val="center"/>
          </w:tcPr>
          <w:p w14:paraId="5BBE5D97">
            <w:pPr>
              <w:widowControl/>
              <w:jc w:val="center"/>
              <w:rPr>
                <w:rFonts w:ascii="Times New Roman" w:hAnsi="Times New Roman" w:eastAsia="仿宋" w:cs="Times New Roman"/>
                <w:kern w:val="0"/>
                <w:szCs w:val="21"/>
              </w:rPr>
            </w:pPr>
            <w:r>
              <w:rPr>
                <w:rFonts w:ascii="Times New Roman" w:hAnsi="Times New Roman" w:eastAsia="仿宋" w:cs="Times New Roman"/>
                <w:szCs w:val="21"/>
              </w:rPr>
              <w:t>水岭乡：</w:t>
            </w:r>
            <w:r>
              <w:rPr>
                <w:rFonts w:ascii="Times New Roman" w:hAnsi="Times New Roman" w:eastAsia="仿宋" w:cs="Times New Roman"/>
                <w:kern w:val="0"/>
                <w:szCs w:val="21"/>
              </w:rPr>
              <w:t>重点生态功能区</w:t>
            </w:r>
          </w:p>
        </w:tc>
        <w:tc>
          <w:tcPr>
            <w:tcW w:w="2446" w:type="dxa"/>
            <w:vAlign w:val="center"/>
          </w:tcPr>
          <w:p w14:paraId="0D033BE9">
            <w:pPr>
              <w:widowControl/>
              <w:jc w:val="center"/>
              <w:rPr>
                <w:rFonts w:ascii="Times New Roman" w:hAnsi="Times New Roman" w:eastAsia="仿宋" w:cs="Times New Roman"/>
                <w:kern w:val="0"/>
                <w:szCs w:val="21"/>
              </w:rPr>
            </w:pPr>
            <w:r>
              <w:rPr>
                <w:rFonts w:ascii="Times New Roman" w:hAnsi="Times New Roman" w:eastAsia="仿宋" w:cs="Times New Roman"/>
                <w:szCs w:val="21"/>
              </w:rPr>
              <w:t>种植业、养殖业、农产品加工业、制造业（针织或钩针编织物及其制品制造、制鞋业）、采矿业（建筑石料用灰岩矿开采）等。</w:t>
            </w:r>
          </w:p>
        </w:tc>
        <w:tc>
          <w:tcPr>
            <w:tcW w:w="3544" w:type="dxa"/>
            <w:gridSpan w:val="2"/>
            <w:vAlign w:val="center"/>
          </w:tcPr>
          <w:p w14:paraId="7922D2BA">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环境问题：</w:t>
            </w:r>
          </w:p>
          <w:p w14:paraId="30763F57">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24A8C78E">
            <w:pPr>
              <w:widowControl/>
              <w:jc w:val="left"/>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454C1442">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水岭乡涉及地下水饮用水水源保护区（服务乡镇千人以上）。</w:t>
            </w:r>
          </w:p>
        </w:tc>
      </w:tr>
      <w:tr w14:paraId="0883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1134" w:type="dxa"/>
            <w:vAlign w:val="center"/>
          </w:tcPr>
          <w:p w14:paraId="3FFCF4F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7853138F">
            <w:pPr>
              <w:widowControl/>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三区三线生态红线/生物多样性保护功能重要区/水土保持功能重要区/水土流失敏感区/原生态红线/石漠化敏感区）；水环境一般管控区/水环境其他重点管控区；其他区域；农用地优先保护区/建设用地重点管控区（矿区/中高风险企业用地）/一般管控区/其他重点管控区 </w:t>
            </w:r>
          </w:p>
        </w:tc>
      </w:tr>
      <w:tr w14:paraId="2011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134" w:type="dxa"/>
            <w:vAlign w:val="center"/>
          </w:tcPr>
          <w:p w14:paraId="5CB7A69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634" w:type="dxa"/>
            <w:gridSpan w:val="10"/>
            <w:vAlign w:val="center"/>
          </w:tcPr>
          <w:p w14:paraId="74CACC8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425" w:type="dxa"/>
            <w:vAlign w:val="center"/>
          </w:tcPr>
          <w:p w14:paraId="5967E9DA">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769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34" w:type="dxa"/>
            <w:vAlign w:val="center"/>
          </w:tcPr>
          <w:p w14:paraId="4E01C25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634" w:type="dxa"/>
            <w:gridSpan w:val="10"/>
            <w:vAlign w:val="center"/>
          </w:tcPr>
          <w:p w14:paraId="45E5FAD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（1.1）畜禽养殖产业布局应符合《东安县畜禽养殖污染防治规划 （2021-2025年）》。</w:t>
            </w:r>
          </w:p>
        </w:tc>
        <w:tc>
          <w:tcPr>
            <w:tcW w:w="3425" w:type="dxa"/>
            <w:vMerge w:val="restart"/>
            <w:vAlign w:val="center"/>
          </w:tcPr>
          <w:p w14:paraId="0EFE8AD6">
            <w:pPr>
              <w:rPr>
                <w:rFonts w:ascii="Times New Roman" w:hAnsi="Times New Roman" w:eastAsia="仿宋" w:cs="Times New Roman"/>
                <w:kern w:val="0"/>
                <w:szCs w:val="21"/>
              </w:rPr>
            </w:pPr>
            <w:r>
              <w:rPr>
                <w:rFonts w:ascii="Times New Roman" w:hAnsi="Times New Roman" w:eastAsia="仿宋" w:cs="Times New Roman"/>
                <w:kern w:val="0"/>
                <w:szCs w:val="21"/>
              </w:rPr>
              <w:t>（1.1）《</w:t>
            </w:r>
            <w:r>
              <w:rPr>
                <w:rFonts w:ascii="Times New Roman" w:hAnsi="Times New Roman" w:eastAsia="仿宋" w:cs="Times New Roman"/>
                <w:szCs w:val="21"/>
              </w:rPr>
              <w:t>东安县畜禽养殖污染防治规划 （2021-2025年）</w:t>
            </w:r>
            <w:r>
              <w:rPr>
                <w:rFonts w:ascii="Times New Roman" w:hAnsi="Times New Roman" w:eastAsia="仿宋" w:cs="Times New Roman"/>
                <w:kern w:val="0"/>
                <w:szCs w:val="21"/>
              </w:rPr>
              <w:t>》；</w:t>
            </w:r>
          </w:p>
          <w:p w14:paraId="32D3710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（2.1）《永州市东安县“十四五”生态环境保护规划》；</w:t>
            </w:r>
          </w:p>
          <w:p w14:paraId="3B4B7DF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（3.1）《永州市东安县“十四五”生态环境保护规划》；</w:t>
            </w:r>
          </w:p>
          <w:p w14:paraId="58D90D2C">
            <w:pPr>
              <w:tabs>
                <w:tab w:val="left" w:pos="1021"/>
              </w:tabs>
              <w:ind w:hanging="1"/>
              <w:rPr>
                <w:rFonts w:ascii="Times New Roman" w:hAnsi="Times New Roman" w:eastAsia="仿宋" w:cs="Times New Roman"/>
                <w:szCs w:val="21"/>
              </w:rPr>
            </w:pPr>
            <w:r>
              <w:rPr>
                <w:rFonts w:ascii="Times New Roman" w:hAnsi="Times New Roman" w:eastAsia="仿宋" w:cs="Times New Roman"/>
                <w:kern w:val="0"/>
                <w:szCs w:val="21"/>
              </w:rPr>
              <w:t>（3.1）《永州市“十四五”生态环境保护规划》；</w:t>
            </w:r>
          </w:p>
          <w:p w14:paraId="6D813DB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东安县国民经济和社会发展第十四个五年规划和二〇三五年远景目标纲要（定稿）</w:t>
            </w:r>
            <w:r>
              <w:rPr>
                <w:rFonts w:ascii="Times New Roman" w:hAnsi="Times New Roman" w:eastAsia="仿宋" w:cs="Times New Roman"/>
                <w:szCs w:val="21"/>
              </w:rPr>
              <w:t>》；</w:t>
            </w:r>
          </w:p>
          <w:p w14:paraId="7D9493D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5A6A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134" w:type="dxa"/>
            <w:vAlign w:val="center"/>
          </w:tcPr>
          <w:p w14:paraId="29FE7B5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634" w:type="dxa"/>
            <w:gridSpan w:val="10"/>
            <w:vAlign w:val="center"/>
          </w:tcPr>
          <w:p w14:paraId="79F76AA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完善秸秆机械化还田、收储、成型燃料制造、利用等环节的财政补贴和价格政策，大力推进秸秆机械化还田及能源化、饲料化、基料化、工业原料化等多种形式利用。严格落实焚烧责任制；开展城区餐饮业油烟污染综合整治。</w:t>
            </w:r>
          </w:p>
        </w:tc>
        <w:tc>
          <w:tcPr>
            <w:tcW w:w="3425" w:type="dxa"/>
            <w:vMerge w:val="continue"/>
            <w:vAlign w:val="center"/>
          </w:tcPr>
          <w:p w14:paraId="6E24314D">
            <w:pPr>
              <w:widowControl/>
              <w:jc w:val="left"/>
              <w:rPr>
                <w:rFonts w:ascii="Times New Roman" w:hAnsi="Times New Roman" w:eastAsia="仿宋" w:cs="Times New Roman"/>
                <w:szCs w:val="21"/>
              </w:rPr>
            </w:pPr>
          </w:p>
        </w:tc>
      </w:tr>
      <w:tr w14:paraId="23AB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134" w:type="dxa"/>
            <w:vAlign w:val="center"/>
          </w:tcPr>
          <w:p w14:paraId="16C5CDA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634" w:type="dxa"/>
            <w:gridSpan w:val="10"/>
            <w:vAlign w:val="center"/>
          </w:tcPr>
          <w:p w14:paraId="23F897E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kern w:val="0"/>
                <w:szCs w:val="21"/>
              </w:rPr>
              <w:t>按照《永州市“十四五”生态环境保护规划》《</w:t>
            </w:r>
            <w:r>
              <w:rPr>
                <w:rFonts w:ascii="Times New Roman" w:hAnsi="Times New Roman" w:eastAsia="仿宋" w:cs="Times New Roman"/>
                <w:szCs w:val="21"/>
              </w:rPr>
              <w:t>永州市东安县</w:t>
            </w:r>
            <w:r>
              <w:rPr>
                <w:rFonts w:ascii="Times New Roman" w:hAnsi="Times New Roman" w:eastAsia="仿宋" w:cs="Times New Roman"/>
                <w:kern w:val="0"/>
                <w:szCs w:val="21"/>
              </w:rPr>
              <w:t>“十四五”生态环境保护规划》强化环境风险管控，完善环境风险防控体系。</w:t>
            </w:r>
          </w:p>
        </w:tc>
        <w:tc>
          <w:tcPr>
            <w:tcW w:w="3425" w:type="dxa"/>
            <w:vMerge w:val="continue"/>
            <w:vAlign w:val="center"/>
          </w:tcPr>
          <w:p w14:paraId="590720D1">
            <w:pPr>
              <w:widowControl/>
              <w:jc w:val="left"/>
              <w:rPr>
                <w:rFonts w:ascii="Times New Roman" w:hAnsi="Times New Roman" w:eastAsia="仿宋" w:cs="Times New Roman"/>
                <w:szCs w:val="21"/>
              </w:rPr>
            </w:pPr>
          </w:p>
        </w:tc>
      </w:tr>
      <w:tr w14:paraId="1B86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583893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634" w:type="dxa"/>
            <w:gridSpan w:val="10"/>
            <w:vAlign w:val="center"/>
          </w:tcPr>
          <w:p w14:paraId="0663AC2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1FE0C6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全面完善能源基础设施，构建集水电、风电、光伏发电、天然气于一体多种能源并举的大能源格局。</w:t>
            </w:r>
          </w:p>
          <w:p w14:paraId="42F7EE5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0397CCC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到2025年，东安县指标应符合相应行政区域的管控要求，东安县用水总量达30089万m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，农业用水总量控制在24264万m</w:t>
            </w:r>
            <w:r>
              <w:rPr>
                <w:rFonts w:ascii="Times New Roman" w:hAnsi="Times New Roman" w:eastAsia="仿宋" w:cs="Times New Roman"/>
                <w:kern w:val="0"/>
                <w:szCs w:val="21"/>
                <w:vertAlign w:val="superscript"/>
              </w:rPr>
              <w:t>3</w:t>
            </w:r>
            <w:r>
              <w:rPr>
                <w:rFonts w:ascii="Times New Roman" w:hAnsi="Times New Roman" w:eastAsia="仿宋" w:cs="Times New Roman"/>
                <w:kern w:val="0"/>
                <w:szCs w:val="21"/>
              </w:rPr>
              <w:t>，万元地区生产总值用水量、万元工业增加值用水量分别比2020年降低18.06%、8.87%，农田灌溉水有效利用系数为0.547。</w:t>
            </w:r>
          </w:p>
        </w:tc>
        <w:tc>
          <w:tcPr>
            <w:tcW w:w="3425" w:type="dxa"/>
            <w:vMerge w:val="continue"/>
            <w:vAlign w:val="center"/>
          </w:tcPr>
          <w:p w14:paraId="1CE5246B">
            <w:pPr>
              <w:widowControl/>
              <w:jc w:val="left"/>
              <w:rPr>
                <w:rFonts w:ascii="Times New Roman" w:hAnsi="Times New Roman" w:eastAsia="仿宋" w:cs="Times New Roman"/>
                <w:szCs w:val="21"/>
              </w:rPr>
            </w:pPr>
          </w:p>
        </w:tc>
      </w:tr>
    </w:tbl>
    <w:p w14:paraId="19D01913">
      <w:pPr>
        <w:widowControl/>
        <w:jc w:val="left"/>
        <w:rPr>
          <w:rFonts w:ascii="Times New Roman" w:hAnsi="Times New Roman" w:eastAsia="仿宋" w:cs="Times New Roman"/>
          <w:b/>
          <w:szCs w:val="21"/>
        </w:rPr>
      </w:pPr>
      <w:bookmarkStart w:id="28" w:name="_Toc58452423"/>
      <w:bookmarkStart w:id="29" w:name="_Toc20068"/>
      <w:bookmarkStart w:id="30" w:name="_Toc160709114"/>
      <w:r>
        <w:rPr>
          <w:rFonts w:ascii="Times New Roman" w:hAnsi="Times New Roman" w:eastAsia="仿宋" w:cs="Times New Roman"/>
          <w:b/>
          <w:szCs w:val="21"/>
        </w:rPr>
        <w:br w:type="page"/>
      </w:r>
    </w:p>
    <w:p w14:paraId="1147628B">
      <w:pPr>
        <w:spacing w:line="348" w:lineRule="auto"/>
        <w:jc w:val="center"/>
        <w:outlineLvl w:val="0"/>
        <w:rPr>
          <w:rFonts w:ascii="Times New Roman" w:hAnsi="Times New Roman" w:eastAsia="仿宋" w:cs="Times New Roman"/>
          <w:b/>
          <w:szCs w:val="21"/>
        </w:rPr>
      </w:pPr>
      <w:r>
        <w:rPr>
          <w:rFonts w:ascii="Times New Roman" w:hAnsi="Times New Roman" w:eastAsia="仿宋" w:cs="Times New Roman"/>
          <w:b/>
          <w:szCs w:val="21"/>
        </w:rPr>
        <w:t>5  双牌县</w:t>
      </w:r>
      <w:bookmarkEnd w:id="28"/>
      <w:bookmarkEnd w:id="29"/>
      <w:bookmarkEnd w:id="30"/>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926"/>
        <w:gridCol w:w="1559"/>
        <w:gridCol w:w="444"/>
        <w:gridCol w:w="2107"/>
        <w:gridCol w:w="2168"/>
      </w:tblGrid>
      <w:tr w14:paraId="3B28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0EB40E8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0BA9A00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682F450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603F35D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73939B8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926" w:type="dxa"/>
            <w:vMerge w:val="restart"/>
            <w:vAlign w:val="center"/>
          </w:tcPr>
          <w:p w14:paraId="57D460F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59" w:type="dxa"/>
            <w:vMerge w:val="restart"/>
            <w:vAlign w:val="center"/>
          </w:tcPr>
          <w:p w14:paraId="0371DF4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551" w:type="dxa"/>
            <w:gridSpan w:val="2"/>
            <w:vMerge w:val="restart"/>
            <w:vAlign w:val="center"/>
          </w:tcPr>
          <w:p w14:paraId="78AD8EF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68" w:type="dxa"/>
            <w:vMerge w:val="restart"/>
            <w:vAlign w:val="center"/>
          </w:tcPr>
          <w:p w14:paraId="03729A3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B89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33A3D3F1">
            <w:pPr>
              <w:widowControl/>
              <w:jc w:val="left"/>
              <w:rPr>
                <w:rFonts w:ascii="Times New Roman" w:hAnsi="Times New Roman" w:eastAsia="仿宋" w:cs="Times New Roman"/>
                <w:b/>
                <w:kern w:val="0"/>
                <w:szCs w:val="21"/>
              </w:rPr>
            </w:pPr>
          </w:p>
        </w:tc>
        <w:tc>
          <w:tcPr>
            <w:tcW w:w="851" w:type="dxa"/>
            <w:vMerge w:val="continue"/>
            <w:vAlign w:val="center"/>
          </w:tcPr>
          <w:p w14:paraId="442348A6">
            <w:pPr>
              <w:widowControl/>
              <w:jc w:val="left"/>
              <w:rPr>
                <w:rFonts w:ascii="Times New Roman" w:hAnsi="Times New Roman" w:eastAsia="仿宋" w:cs="Times New Roman"/>
                <w:b/>
                <w:kern w:val="0"/>
                <w:szCs w:val="21"/>
              </w:rPr>
            </w:pPr>
          </w:p>
        </w:tc>
        <w:tc>
          <w:tcPr>
            <w:tcW w:w="425" w:type="dxa"/>
            <w:vAlign w:val="center"/>
          </w:tcPr>
          <w:p w14:paraId="2371447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008A7E6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3755F7C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297D8E89">
            <w:pPr>
              <w:widowControl/>
              <w:jc w:val="left"/>
              <w:rPr>
                <w:rFonts w:ascii="Times New Roman" w:hAnsi="Times New Roman" w:eastAsia="仿宋" w:cs="Times New Roman"/>
                <w:b/>
                <w:kern w:val="0"/>
                <w:szCs w:val="21"/>
              </w:rPr>
            </w:pPr>
          </w:p>
        </w:tc>
        <w:tc>
          <w:tcPr>
            <w:tcW w:w="992" w:type="dxa"/>
            <w:vMerge w:val="continue"/>
            <w:vAlign w:val="center"/>
          </w:tcPr>
          <w:p w14:paraId="63C3759E">
            <w:pPr>
              <w:widowControl/>
              <w:jc w:val="left"/>
              <w:rPr>
                <w:rFonts w:ascii="Times New Roman" w:hAnsi="Times New Roman" w:eastAsia="仿宋" w:cs="Times New Roman"/>
                <w:b/>
                <w:kern w:val="0"/>
                <w:szCs w:val="21"/>
              </w:rPr>
            </w:pPr>
          </w:p>
        </w:tc>
        <w:tc>
          <w:tcPr>
            <w:tcW w:w="1926" w:type="dxa"/>
            <w:vMerge w:val="continue"/>
            <w:vAlign w:val="center"/>
          </w:tcPr>
          <w:p w14:paraId="1CB823E7">
            <w:pPr>
              <w:widowControl/>
              <w:jc w:val="left"/>
              <w:rPr>
                <w:rFonts w:ascii="Times New Roman" w:hAnsi="Times New Roman" w:eastAsia="仿宋" w:cs="Times New Roman"/>
                <w:b/>
                <w:kern w:val="0"/>
                <w:szCs w:val="21"/>
              </w:rPr>
            </w:pPr>
          </w:p>
        </w:tc>
        <w:tc>
          <w:tcPr>
            <w:tcW w:w="1559" w:type="dxa"/>
            <w:vMerge w:val="continue"/>
            <w:vAlign w:val="center"/>
          </w:tcPr>
          <w:p w14:paraId="757CB47C">
            <w:pPr>
              <w:widowControl/>
              <w:jc w:val="left"/>
              <w:rPr>
                <w:rFonts w:ascii="Times New Roman" w:hAnsi="Times New Roman" w:eastAsia="仿宋" w:cs="Times New Roman"/>
                <w:b/>
                <w:kern w:val="0"/>
                <w:szCs w:val="21"/>
              </w:rPr>
            </w:pPr>
          </w:p>
        </w:tc>
        <w:tc>
          <w:tcPr>
            <w:tcW w:w="2551" w:type="dxa"/>
            <w:gridSpan w:val="2"/>
            <w:vMerge w:val="continue"/>
            <w:vAlign w:val="center"/>
          </w:tcPr>
          <w:p w14:paraId="7BCEBB59">
            <w:pPr>
              <w:widowControl/>
              <w:jc w:val="left"/>
              <w:rPr>
                <w:rFonts w:ascii="Times New Roman" w:hAnsi="Times New Roman" w:eastAsia="仿宋" w:cs="Times New Roman"/>
                <w:b/>
                <w:kern w:val="0"/>
                <w:szCs w:val="21"/>
              </w:rPr>
            </w:pPr>
          </w:p>
        </w:tc>
        <w:tc>
          <w:tcPr>
            <w:tcW w:w="2168" w:type="dxa"/>
            <w:vMerge w:val="continue"/>
            <w:vAlign w:val="center"/>
          </w:tcPr>
          <w:p w14:paraId="17AE9949">
            <w:pPr>
              <w:widowControl/>
              <w:jc w:val="left"/>
              <w:rPr>
                <w:rFonts w:ascii="Times New Roman" w:hAnsi="Times New Roman" w:eastAsia="仿宋" w:cs="Times New Roman"/>
                <w:b/>
                <w:kern w:val="0"/>
                <w:szCs w:val="21"/>
              </w:rPr>
            </w:pPr>
          </w:p>
        </w:tc>
      </w:tr>
      <w:tr w14:paraId="5BB9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4244B6F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ZH43112310001</w:t>
            </w:r>
          </w:p>
        </w:tc>
        <w:tc>
          <w:tcPr>
            <w:tcW w:w="851" w:type="dxa"/>
            <w:vAlign w:val="center"/>
          </w:tcPr>
          <w:p w14:paraId="2A7794A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茶林镇/麻江镇</w:t>
            </w:r>
          </w:p>
        </w:tc>
        <w:tc>
          <w:tcPr>
            <w:tcW w:w="425" w:type="dxa"/>
            <w:vAlign w:val="center"/>
          </w:tcPr>
          <w:p w14:paraId="0159212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0CFD15F3">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0258BD93">
            <w:pPr>
              <w:widowControl/>
              <w:jc w:val="center"/>
              <w:rPr>
                <w:rFonts w:ascii="Times New Roman" w:hAnsi="Times New Roman" w:eastAsia="仿宋" w:cs="Times New Roman"/>
                <w:szCs w:val="21"/>
              </w:rPr>
            </w:pPr>
            <w:r>
              <w:rPr>
                <w:rFonts w:ascii="Times New Roman" w:hAnsi="Times New Roman" w:eastAsia="仿宋" w:cs="Times New Roman"/>
                <w:szCs w:val="21"/>
              </w:rPr>
              <w:t>双牌县</w:t>
            </w:r>
          </w:p>
        </w:tc>
        <w:tc>
          <w:tcPr>
            <w:tcW w:w="1134" w:type="dxa"/>
            <w:vAlign w:val="center"/>
          </w:tcPr>
          <w:p w14:paraId="2A0ABE6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tcBorders>
              <w:top w:val="single" w:color="auto" w:sz="4" w:space="0"/>
              <w:left w:val="nil"/>
              <w:bottom w:val="single" w:color="auto" w:sz="4" w:space="0"/>
              <w:right w:val="single" w:color="auto" w:sz="4" w:space="0"/>
            </w:tcBorders>
            <w:shd w:val="clear" w:color="auto" w:fill="auto"/>
            <w:vAlign w:val="center"/>
          </w:tcPr>
          <w:p w14:paraId="428CFDC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345.13</w:t>
            </w:r>
          </w:p>
        </w:tc>
        <w:tc>
          <w:tcPr>
            <w:tcW w:w="1926" w:type="dxa"/>
            <w:tcBorders>
              <w:top w:val="single" w:color="auto" w:sz="4" w:space="0"/>
              <w:left w:val="single" w:color="auto" w:sz="4" w:space="0"/>
              <w:bottom w:val="single" w:color="auto" w:sz="4" w:space="0"/>
              <w:right w:val="nil"/>
            </w:tcBorders>
            <w:shd w:val="clear" w:color="auto" w:fill="auto"/>
            <w:vAlign w:val="center"/>
          </w:tcPr>
          <w:p w14:paraId="3800C81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茶林镇/麻江镇/阳明山管理局</w:t>
            </w:r>
          </w:p>
        </w:tc>
        <w:tc>
          <w:tcPr>
            <w:tcW w:w="1559" w:type="dxa"/>
            <w:vAlign w:val="center"/>
          </w:tcPr>
          <w:p w14:paraId="369893F5">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茶林镇：</w:t>
            </w:r>
            <w:r>
              <w:rPr>
                <w:rFonts w:ascii="Times New Roman" w:hAnsi="Times New Roman" w:eastAsia="仿宋" w:cs="Times New Roman"/>
                <w:kern w:val="0"/>
                <w:szCs w:val="21"/>
              </w:rPr>
              <w:t>重点生态功能区；</w:t>
            </w:r>
          </w:p>
          <w:p w14:paraId="4EB830A2">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麻江镇：</w:t>
            </w:r>
            <w:r>
              <w:rPr>
                <w:rFonts w:ascii="Times New Roman" w:hAnsi="Times New Roman" w:eastAsia="仿宋" w:cs="Times New Roman"/>
                <w:kern w:val="0"/>
                <w:szCs w:val="21"/>
              </w:rPr>
              <w:t>农产品主产区</w:t>
            </w:r>
          </w:p>
        </w:tc>
        <w:tc>
          <w:tcPr>
            <w:tcW w:w="2551" w:type="dxa"/>
            <w:gridSpan w:val="2"/>
            <w:vAlign w:val="center"/>
          </w:tcPr>
          <w:p w14:paraId="19459E1A">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茶林镇、麻江镇：</w:t>
            </w:r>
            <w:r>
              <w:rPr>
                <w:rFonts w:ascii="Times New Roman" w:hAnsi="Times New Roman" w:eastAsia="仿宋" w:cs="Times New Roman"/>
                <w:kern w:val="0"/>
                <w:szCs w:val="21"/>
              </w:rPr>
              <w:t>旅游业、农业、风力发电、水力发电、光伏发电、燃气零售（加油站、液化气站）、工艺品加工、农林产品加工等。</w:t>
            </w:r>
          </w:p>
          <w:p w14:paraId="7EB76FF2">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阳明山管理局：</w:t>
            </w:r>
            <w:r>
              <w:rPr>
                <w:rFonts w:ascii="Times New Roman" w:hAnsi="Times New Roman" w:eastAsia="仿宋" w:cs="Times New Roman"/>
                <w:kern w:val="0"/>
                <w:szCs w:val="21"/>
              </w:rPr>
              <w:t>旅游业。</w:t>
            </w:r>
          </w:p>
        </w:tc>
        <w:tc>
          <w:tcPr>
            <w:tcW w:w="2168" w:type="dxa"/>
            <w:vAlign w:val="center"/>
          </w:tcPr>
          <w:p w14:paraId="642870A7">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3546DE19">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71CE1F5C">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02EE3361">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湖南阳明山国家级自然保护区等</w:t>
            </w:r>
            <w:r>
              <w:rPr>
                <w:rFonts w:hint="eastAsia" w:ascii="Times New Roman" w:hAnsi="Times New Roman" w:eastAsia="仿宋" w:cs="Times New Roman"/>
                <w:kern w:val="0"/>
                <w:szCs w:val="21"/>
              </w:rPr>
              <w:t>。</w:t>
            </w:r>
          </w:p>
        </w:tc>
      </w:tr>
      <w:tr w14:paraId="08F1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7" w:hRule="atLeast"/>
          <w:jc w:val="center"/>
        </w:trPr>
        <w:tc>
          <w:tcPr>
            <w:tcW w:w="1134" w:type="dxa"/>
            <w:vAlign w:val="center"/>
          </w:tcPr>
          <w:p w14:paraId="0A15393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2492E097">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茶林镇：</w:t>
            </w:r>
          </w:p>
          <w:p w14:paraId="680C3F4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自然保护区/三区三线生态红线/水土流失敏感区/生物多样性保护功能重要区/原生态红线）；水环境一般管控区；大气环境优先保护区/大气环境受体敏感重点管控区/其他区域；农用地优先保护区/建设用地重点管控区/其他重点管控区/一般管控区</w:t>
            </w:r>
          </w:p>
          <w:p w14:paraId="02BE7837">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麻江镇：</w:t>
            </w:r>
          </w:p>
          <w:p w14:paraId="1C4BC0A5">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自然保护区/水源涵养重要区/三区三线生态红线/水土保持功能重要区/生物多样性保护功能重要区/原生态红线/水土流失敏感区/石漠化敏感区）；水环境一般管控区；大气环境优先保护区/大气环境受体敏感重点管控区/大气环境弱扩散重点管控区/其他区域；农用地优先保护区/建设用地重点管控区/其他重点管控区/一般管控区</w:t>
            </w:r>
          </w:p>
          <w:p w14:paraId="1319B5D3">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阳明山管理局：</w:t>
            </w:r>
            <w:r>
              <w:rPr>
                <w:rFonts w:ascii="Times New Roman" w:hAnsi="Times New Roman" w:eastAsia="仿宋" w:cs="Times New Roman"/>
                <w:kern w:val="0"/>
                <w:szCs w:val="21"/>
              </w:rPr>
              <w:t>生态保护红线/一般生态空间（公益林/生物多样性保护功能重要区/水土保持功能重要区/水源涵养重要区/自然保护区/森林公园）；水环境一般管控区；大气环境优先保护区（湖南阳明山国家级自然保护区）；土壤污染风险一般管控区</w:t>
            </w:r>
          </w:p>
        </w:tc>
      </w:tr>
      <w:tr w14:paraId="7E0A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A0DAF56">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784" w:type="dxa"/>
            <w:gridSpan w:val="9"/>
            <w:vAlign w:val="center"/>
          </w:tcPr>
          <w:p w14:paraId="4AFC5E4A">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275" w:type="dxa"/>
            <w:gridSpan w:val="2"/>
            <w:vAlign w:val="center"/>
          </w:tcPr>
          <w:p w14:paraId="760235F1">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592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4" w:type="dxa"/>
            <w:vAlign w:val="center"/>
          </w:tcPr>
          <w:p w14:paraId="6DD0D6B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784" w:type="dxa"/>
            <w:gridSpan w:val="9"/>
            <w:vAlign w:val="center"/>
          </w:tcPr>
          <w:p w14:paraId="2805E3A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（1.1）产业准入应严格执行国家、省级关于主体功能区划的环境保护及产业准入负面清单要求。</w:t>
            </w:r>
          </w:p>
          <w:p w14:paraId="052ED49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（1.2）畜禽养殖产业布局应符合《双牌县畜禽规模养殖“三区”划定工作方案》、《双牌县畜牧业发展“十四五”规划（2021-2025 年） 》。</w:t>
            </w:r>
          </w:p>
        </w:tc>
        <w:tc>
          <w:tcPr>
            <w:tcW w:w="4275" w:type="dxa"/>
            <w:gridSpan w:val="2"/>
            <w:vMerge w:val="restart"/>
            <w:vAlign w:val="center"/>
          </w:tcPr>
          <w:p w14:paraId="0A41D62B">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（1.2）双牌县人民政府办公室关于印发《双牌县畜禽规模养殖“三区”划定工作方案》的通知（双政办发〔2020〕2号）；</w:t>
            </w:r>
          </w:p>
          <w:p w14:paraId="3AF2FF1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（1.2）《双牌县畜牧业发展“十四五”规划（2021-2025 年） 》；</w:t>
            </w:r>
          </w:p>
          <w:p w14:paraId="0B05484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3997CE22">
            <w:pPr>
              <w:tabs>
                <w:tab w:val="left" w:pos="1021"/>
              </w:tabs>
              <w:ind w:hanging="1"/>
              <w:rPr>
                <w:rFonts w:ascii="Times New Roman" w:hAnsi="Times New Roman" w:eastAsia="仿宋" w:cs="Times New Roman"/>
                <w:b/>
                <w:bCs/>
                <w:szCs w:val="21"/>
              </w:rPr>
            </w:pPr>
            <w:r>
              <w:rPr>
                <w:rFonts w:ascii="Times New Roman" w:hAnsi="Times New Roman" w:eastAsia="仿宋" w:cs="Times New Roman"/>
                <w:szCs w:val="21"/>
              </w:rPr>
              <w:t>（2.2）《</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3DDD5EB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（2.3）双牌县人民政府《关于禁止露天焚烧的通告》（双政函〔20202〕49号）；</w:t>
            </w:r>
          </w:p>
          <w:p w14:paraId="27F1E544">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4AEC4EFC">
            <w:pPr>
              <w:tabs>
                <w:tab w:val="left" w:pos="1021"/>
              </w:tabs>
              <w:ind w:hanging="1"/>
              <w:rPr>
                <w:rFonts w:ascii="Times New Roman" w:hAnsi="Times New Roman" w:eastAsia="仿宋" w:cs="Times New Roman"/>
                <w:szCs w:val="21"/>
                <w:lang w:eastAsia="zh-Hans"/>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3AD6B98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30F74F7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p w14:paraId="672F468E">
            <w:pPr>
              <w:tabs>
                <w:tab w:val="left" w:pos="1021"/>
              </w:tabs>
              <w:ind w:hanging="1"/>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68DB2F8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tc>
      </w:tr>
      <w:tr w14:paraId="1A6A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10C632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784" w:type="dxa"/>
            <w:gridSpan w:val="9"/>
            <w:vAlign w:val="center"/>
          </w:tcPr>
          <w:p w14:paraId="411DFA0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（2.1）做好养殖业的粪污利用工程，建设以处理后养殖废水贮存池为核心的养殖废水农田利用工程。</w:t>
            </w:r>
          </w:p>
          <w:p w14:paraId="2178E11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（2.2）完善生活污水处理设施及管网。</w:t>
            </w:r>
          </w:p>
          <w:p w14:paraId="2C07886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（2.3）加强对露天焚烧秸秆的管理。</w:t>
            </w:r>
          </w:p>
          <w:p w14:paraId="3C794AA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（2.4）持续推进生活垃圾无害化处置。建设垃圾中转站，垃圾处理站，餐厨垃圾治理设施，购置相关车辆和设备，配套附属工程，对双牌县城市生活垃圾进行治理，实现综合利用。</w:t>
            </w:r>
          </w:p>
        </w:tc>
        <w:tc>
          <w:tcPr>
            <w:tcW w:w="4275" w:type="dxa"/>
            <w:gridSpan w:val="2"/>
            <w:vMerge w:val="continue"/>
            <w:vAlign w:val="center"/>
          </w:tcPr>
          <w:p w14:paraId="5CE23E7C">
            <w:pPr>
              <w:widowControl/>
              <w:jc w:val="left"/>
              <w:rPr>
                <w:rFonts w:ascii="Times New Roman" w:hAnsi="Times New Roman" w:eastAsia="仿宋" w:cs="Times New Roman"/>
                <w:szCs w:val="21"/>
              </w:rPr>
            </w:pPr>
          </w:p>
        </w:tc>
      </w:tr>
      <w:tr w14:paraId="2421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ABD45B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784" w:type="dxa"/>
            <w:gridSpan w:val="9"/>
            <w:vAlign w:val="center"/>
          </w:tcPr>
          <w:p w14:paraId="073CDEF0">
            <w:pPr>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lang w:eastAsia="zh-Hans"/>
              </w:rPr>
              <w:t>》强化环境风险管控，完善环境风险防控体系。</w:t>
            </w:r>
          </w:p>
        </w:tc>
        <w:tc>
          <w:tcPr>
            <w:tcW w:w="4275" w:type="dxa"/>
            <w:gridSpan w:val="2"/>
            <w:vMerge w:val="continue"/>
            <w:vAlign w:val="center"/>
          </w:tcPr>
          <w:p w14:paraId="3754E34C">
            <w:pPr>
              <w:widowControl/>
              <w:jc w:val="left"/>
              <w:rPr>
                <w:rFonts w:ascii="Times New Roman" w:hAnsi="Times New Roman" w:eastAsia="仿宋" w:cs="Times New Roman"/>
                <w:szCs w:val="21"/>
              </w:rPr>
            </w:pPr>
          </w:p>
        </w:tc>
      </w:tr>
      <w:tr w14:paraId="6778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ADC4FA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784" w:type="dxa"/>
            <w:gridSpan w:val="9"/>
            <w:vAlign w:val="center"/>
          </w:tcPr>
          <w:p w14:paraId="01FBEE3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54AACF97">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着力优化能源结构，包括严格控制煤炭消费总量、加快燃煤锅炉综合整治、优先使用和推广可再生能源、积极推广利用天然气和推进燃油油品质量升级。</w:t>
            </w:r>
          </w:p>
          <w:p w14:paraId="58586B0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67C6A088">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到2025年，双牌县指标应符合相应行政区域的管控要求，双牌县用水总量为8025万立方米以内，农业用水总量控制在6038万m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，万元地区生产总值用水量、万元工业增加值用水量分别比2020年降低8.00%、8.87%，农田灌溉水有效利用系数为0.557。</w:t>
            </w:r>
          </w:p>
          <w:p w14:paraId="571E0ADE">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2EE17387">
            <w:pPr>
              <w:tabs>
                <w:tab w:val="left" w:pos="1021"/>
              </w:tabs>
              <w:ind w:left="105" w:leftChars="50" w:firstLine="315" w:firstLineChars="150"/>
              <w:rPr>
                <w:rFonts w:ascii="Times New Roman" w:hAnsi="Times New Roman" w:eastAsia="仿宋" w:cs="Times New Roman"/>
                <w:kern w:val="0"/>
                <w:szCs w:val="21"/>
              </w:rPr>
            </w:pPr>
            <w:r>
              <w:rPr>
                <w:rFonts w:ascii="Times New Roman" w:hAnsi="Times New Roman" w:eastAsia="仿宋" w:cs="Times New Roman"/>
                <w:kern w:val="0"/>
                <w:szCs w:val="21"/>
              </w:rPr>
              <w:t xml:space="preserve">规划到2035 年，全县耕地保有量不低于7953.88公顷（其中茶林镇、麻江镇456.37、454.38 </w:t>
            </w:r>
          </w:p>
          <w:p w14:paraId="687D7739">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公顷），永久基本农田保护面积不低于7035.46公顷（其中茶林镇、麻江镇418.51、423.55公顷），全县生态保护红线面积不低于33936.85公顷；全县划定城镇开发边界1199.92公顷，划定城镇发展区 1249.55公顷，乡村发展区81704.61公顷，矿产能源发展区54.84公顷。</w:t>
            </w:r>
          </w:p>
        </w:tc>
        <w:tc>
          <w:tcPr>
            <w:tcW w:w="4275" w:type="dxa"/>
            <w:gridSpan w:val="2"/>
            <w:vMerge w:val="continue"/>
            <w:vAlign w:val="center"/>
          </w:tcPr>
          <w:p w14:paraId="622A6DA5">
            <w:pPr>
              <w:widowControl/>
              <w:jc w:val="left"/>
              <w:rPr>
                <w:rFonts w:ascii="Times New Roman" w:hAnsi="Times New Roman" w:eastAsia="仿宋" w:cs="Times New Roman"/>
                <w:szCs w:val="21"/>
              </w:rPr>
            </w:pPr>
          </w:p>
        </w:tc>
      </w:tr>
    </w:tbl>
    <w:p w14:paraId="2944D0B3">
      <w:pPr>
        <w:rPr>
          <w:rFonts w:ascii="Times New Roman" w:hAnsi="Times New Roman" w:eastAsia="仿宋" w:cs="Times New Roman"/>
          <w:szCs w:val="21"/>
        </w:rPr>
      </w:pPr>
    </w:p>
    <w:p w14:paraId="3E78BE72">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0D0A0DC0">
      <w:pPr>
        <w:tabs>
          <w:tab w:val="left" w:pos="4563"/>
        </w:tabs>
        <w:rPr>
          <w:rFonts w:ascii="Times New Roman" w:hAnsi="Times New Roman" w:eastAsia="仿宋" w:cs="Times New Roman"/>
          <w:b/>
          <w:szCs w:val="21"/>
        </w:rPr>
      </w:pPr>
      <w:r>
        <w:rPr>
          <w:rFonts w:ascii="Times New Roman" w:hAnsi="Times New Roman" w:eastAsia="仿宋" w:cs="Times New Roman"/>
          <w:b/>
          <w:szCs w:val="21"/>
        </w:rPr>
        <w:tab/>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63"/>
        <w:gridCol w:w="426"/>
        <w:gridCol w:w="425"/>
        <w:gridCol w:w="425"/>
        <w:gridCol w:w="992"/>
        <w:gridCol w:w="1134"/>
        <w:gridCol w:w="1985"/>
        <w:gridCol w:w="1276"/>
        <w:gridCol w:w="283"/>
        <w:gridCol w:w="1714"/>
        <w:gridCol w:w="2136"/>
      </w:tblGrid>
      <w:tr w14:paraId="1EBD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72F11F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2263" w:type="dxa"/>
            <w:vMerge w:val="restart"/>
            <w:vAlign w:val="center"/>
          </w:tcPr>
          <w:p w14:paraId="7E32F76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3"/>
            <w:vAlign w:val="center"/>
          </w:tcPr>
          <w:p w14:paraId="017F7CF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992" w:type="dxa"/>
            <w:vMerge w:val="restart"/>
            <w:vAlign w:val="center"/>
          </w:tcPr>
          <w:p w14:paraId="466F749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7C606F3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985" w:type="dxa"/>
            <w:vMerge w:val="restart"/>
            <w:vAlign w:val="center"/>
          </w:tcPr>
          <w:p w14:paraId="126B1FC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59" w:type="dxa"/>
            <w:gridSpan w:val="2"/>
            <w:vMerge w:val="restart"/>
            <w:vAlign w:val="center"/>
          </w:tcPr>
          <w:p w14:paraId="4B1DFFB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714" w:type="dxa"/>
            <w:vMerge w:val="restart"/>
            <w:vAlign w:val="center"/>
          </w:tcPr>
          <w:p w14:paraId="37426B6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36" w:type="dxa"/>
            <w:vMerge w:val="restart"/>
            <w:vAlign w:val="center"/>
          </w:tcPr>
          <w:p w14:paraId="1D19C47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040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A37C7E4">
            <w:pPr>
              <w:widowControl/>
              <w:jc w:val="left"/>
              <w:rPr>
                <w:rFonts w:ascii="Times New Roman" w:hAnsi="Times New Roman" w:eastAsia="仿宋" w:cs="Times New Roman"/>
                <w:b/>
                <w:kern w:val="0"/>
                <w:szCs w:val="21"/>
              </w:rPr>
            </w:pPr>
          </w:p>
        </w:tc>
        <w:tc>
          <w:tcPr>
            <w:tcW w:w="2263" w:type="dxa"/>
            <w:vMerge w:val="continue"/>
            <w:vAlign w:val="center"/>
          </w:tcPr>
          <w:p w14:paraId="53499729">
            <w:pPr>
              <w:widowControl/>
              <w:jc w:val="left"/>
              <w:rPr>
                <w:rFonts w:ascii="Times New Roman" w:hAnsi="Times New Roman" w:eastAsia="仿宋" w:cs="Times New Roman"/>
                <w:b/>
                <w:kern w:val="0"/>
                <w:szCs w:val="21"/>
              </w:rPr>
            </w:pPr>
          </w:p>
        </w:tc>
        <w:tc>
          <w:tcPr>
            <w:tcW w:w="426" w:type="dxa"/>
            <w:vAlign w:val="center"/>
          </w:tcPr>
          <w:p w14:paraId="2BB0D8E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5E753AF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4F5E080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992" w:type="dxa"/>
            <w:vMerge w:val="continue"/>
            <w:vAlign w:val="center"/>
          </w:tcPr>
          <w:p w14:paraId="11FAD43E">
            <w:pPr>
              <w:widowControl/>
              <w:jc w:val="left"/>
              <w:rPr>
                <w:rFonts w:ascii="Times New Roman" w:hAnsi="Times New Roman" w:eastAsia="仿宋" w:cs="Times New Roman"/>
                <w:b/>
                <w:kern w:val="0"/>
                <w:szCs w:val="21"/>
              </w:rPr>
            </w:pPr>
          </w:p>
        </w:tc>
        <w:tc>
          <w:tcPr>
            <w:tcW w:w="1134" w:type="dxa"/>
            <w:vMerge w:val="continue"/>
            <w:vAlign w:val="center"/>
          </w:tcPr>
          <w:p w14:paraId="3FE8DE88">
            <w:pPr>
              <w:widowControl/>
              <w:jc w:val="left"/>
              <w:rPr>
                <w:rFonts w:ascii="Times New Roman" w:hAnsi="Times New Roman" w:eastAsia="仿宋" w:cs="Times New Roman"/>
                <w:b/>
                <w:kern w:val="0"/>
                <w:szCs w:val="21"/>
              </w:rPr>
            </w:pPr>
          </w:p>
        </w:tc>
        <w:tc>
          <w:tcPr>
            <w:tcW w:w="1985" w:type="dxa"/>
            <w:vMerge w:val="continue"/>
            <w:vAlign w:val="center"/>
          </w:tcPr>
          <w:p w14:paraId="1D0A212F">
            <w:pPr>
              <w:widowControl/>
              <w:jc w:val="left"/>
              <w:rPr>
                <w:rFonts w:ascii="Times New Roman" w:hAnsi="Times New Roman" w:eastAsia="仿宋" w:cs="Times New Roman"/>
                <w:b/>
                <w:kern w:val="0"/>
                <w:szCs w:val="21"/>
              </w:rPr>
            </w:pPr>
          </w:p>
        </w:tc>
        <w:tc>
          <w:tcPr>
            <w:tcW w:w="1559" w:type="dxa"/>
            <w:gridSpan w:val="2"/>
            <w:vMerge w:val="continue"/>
            <w:vAlign w:val="center"/>
          </w:tcPr>
          <w:p w14:paraId="46D5ADBC">
            <w:pPr>
              <w:widowControl/>
              <w:jc w:val="left"/>
              <w:rPr>
                <w:rFonts w:ascii="Times New Roman" w:hAnsi="Times New Roman" w:eastAsia="仿宋" w:cs="Times New Roman"/>
                <w:b/>
                <w:kern w:val="0"/>
                <w:szCs w:val="21"/>
              </w:rPr>
            </w:pPr>
          </w:p>
        </w:tc>
        <w:tc>
          <w:tcPr>
            <w:tcW w:w="1714" w:type="dxa"/>
            <w:vMerge w:val="continue"/>
            <w:vAlign w:val="center"/>
          </w:tcPr>
          <w:p w14:paraId="7FE9B689">
            <w:pPr>
              <w:widowControl/>
              <w:jc w:val="left"/>
              <w:rPr>
                <w:rFonts w:ascii="Times New Roman" w:hAnsi="Times New Roman" w:eastAsia="仿宋" w:cs="Times New Roman"/>
                <w:b/>
                <w:kern w:val="0"/>
                <w:szCs w:val="21"/>
              </w:rPr>
            </w:pPr>
          </w:p>
        </w:tc>
        <w:tc>
          <w:tcPr>
            <w:tcW w:w="2136" w:type="dxa"/>
            <w:vMerge w:val="continue"/>
            <w:vAlign w:val="center"/>
          </w:tcPr>
          <w:p w14:paraId="1315CABD">
            <w:pPr>
              <w:widowControl/>
              <w:jc w:val="left"/>
              <w:rPr>
                <w:rFonts w:ascii="Times New Roman" w:hAnsi="Times New Roman" w:eastAsia="仿宋" w:cs="Times New Roman"/>
                <w:b/>
                <w:kern w:val="0"/>
                <w:szCs w:val="21"/>
              </w:rPr>
            </w:pPr>
          </w:p>
        </w:tc>
      </w:tr>
      <w:tr w14:paraId="1AA8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176DDD2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ZH43112310002</w:t>
            </w:r>
          </w:p>
        </w:tc>
        <w:tc>
          <w:tcPr>
            <w:tcW w:w="2263" w:type="dxa"/>
            <w:vAlign w:val="center"/>
          </w:tcPr>
          <w:p w14:paraId="32DB6F6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打鼓坪乡/江村镇/理家坪乡/上梧江瑶族乡</w:t>
            </w:r>
          </w:p>
        </w:tc>
        <w:tc>
          <w:tcPr>
            <w:tcW w:w="426" w:type="dxa"/>
            <w:vAlign w:val="center"/>
          </w:tcPr>
          <w:p w14:paraId="315C460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0439B50B">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65BE29D8">
            <w:pPr>
              <w:widowControl/>
              <w:jc w:val="center"/>
              <w:rPr>
                <w:rFonts w:ascii="Times New Roman" w:hAnsi="Times New Roman" w:eastAsia="仿宋" w:cs="Times New Roman"/>
                <w:szCs w:val="21"/>
              </w:rPr>
            </w:pPr>
            <w:r>
              <w:rPr>
                <w:rFonts w:ascii="Times New Roman" w:hAnsi="Times New Roman" w:eastAsia="仿宋" w:cs="Times New Roman"/>
                <w:szCs w:val="21"/>
              </w:rPr>
              <w:t>双牌县</w:t>
            </w:r>
          </w:p>
        </w:tc>
        <w:tc>
          <w:tcPr>
            <w:tcW w:w="992" w:type="dxa"/>
            <w:vAlign w:val="center"/>
          </w:tcPr>
          <w:p w14:paraId="44873AD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134" w:type="dxa"/>
            <w:tcBorders>
              <w:top w:val="single" w:color="auto" w:sz="4" w:space="0"/>
              <w:left w:val="nil"/>
              <w:bottom w:val="single" w:color="auto" w:sz="4" w:space="0"/>
              <w:right w:val="single" w:color="auto" w:sz="4" w:space="0"/>
            </w:tcBorders>
            <w:shd w:val="clear" w:color="auto" w:fill="auto"/>
            <w:vAlign w:val="center"/>
          </w:tcPr>
          <w:p w14:paraId="68A37CD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548.07</w:t>
            </w:r>
          </w:p>
        </w:tc>
        <w:tc>
          <w:tcPr>
            <w:tcW w:w="1985" w:type="dxa"/>
            <w:tcBorders>
              <w:top w:val="single" w:color="auto" w:sz="4" w:space="0"/>
              <w:left w:val="single" w:color="auto" w:sz="4" w:space="0"/>
              <w:bottom w:val="single" w:color="auto" w:sz="4" w:space="0"/>
              <w:right w:val="nil"/>
            </w:tcBorders>
            <w:shd w:val="clear" w:color="auto" w:fill="auto"/>
            <w:vAlign w:val="center"/>
          </w:tcPr>
          <w:p w14:paraId="5203266F">
            <w:pPr>
              <w:widowControl/>
              <w:ind w:left="-106" w:leftChars="-51" w:right="-109" w:rightChars="-52" w:hanging="1"/>
              <w:jc w:val="center"/>
              <w:rPr>
                <w:rFonts w:ascii="Times New Roman" w:hAnsi="Times New Roman" w:eastAsia="仿宋" w:cs="Times New Roman"/>
                <w:kern w:val="0"/>
                <w:szCs w:val="21"/>
              </w:rPr>
            </w:pPr>
            <w:r>
              <w:rPr>
                <w:rFonts w:ascii="Times New Roman" w:hAnsi="Times New Roman" w:eastAsia="仿宋" w:cs="Times New Roman"/>
                <w:kern w:val="0"/>
                <w:szCs w:val="21"/>
              </w:rPr>
              <w:t>打鼓坪乡/江村镇/理家坪乡/上梧江瑶族乡</w:t>
            </w:r>
          </w:p>
        </w:tc>
        <w:tc>
          <w:tcPr>
            <w:tcW w:w="1559" w:type="dxa"/>
            <w:gridSpan w:val="2"/>
            <w:vAlign w:val="center"/>
          </w:tcPr>
          <w:p w14:paraId="714A428A">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打鼓坪乡/江村镇/理家坪乡/上梧江瑶族乡：</w:t>
            </w:r>
            <w:r>
              <w:rPr>
                <w:rFonts w:ascii="Times New Roman" w:hAnsi="Times New Roman" w:eastAsia="仿宋" w:cs="Times New Roman"/>
                <w:kern w:val="0"/>
                <w:szCs w:val="21"/>
              </w:rPr>
              <w:t>重点生态功能区</w:t>
            </w:r>
          </w:p>
        </w:tc>
        <w:tc>
          <w:tcPr>
            <w:tcW w:w="1714" w:type="dxa"/>
            <w:vAlign w:val="center"/>
          </w:tcPr>
          <w:p w14:paraId="39C8BDF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农业、旅游业、养殖业、</w:t>
            </w:r>
            <w:r>
              <w:rPr>
                <w:rFonts w:ascii="Times New Roman" w:hAnsi="Times New Roman" w:eastAsia="仿宋" w:cs="Times New Roman"/>
                <w:szCs w:val="21"/>
              </w:rPr>
              <w:t>餐饮服务、凤力发电、水力发电、农副产品深加工</w:t>
            </w:r>
            <w:r>
              <w:rPr>
                <w:rFonts w:ascii="Times New Roman" w:hAnsi="Times New Roman" w:eastAsia="仿宋" w:cs="Times New Roman"/>
                <w:kern w:val="0"/>
                <w:szCs w:val="21"/>
              </w:rPr>
              <w:t>。</w:t>
            </w:r>
          </w:p>
        </w:tc>
        <w:tc>
          <w:tcPr>
            <w:tcW w:w="2136" w:type="dxa"/>
            <w:vAlign w:val="center"/>
          </w:tcPr>
          <w:p w14:paraId="71CEBEC1">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5DC583DA">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59F94709">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731FA9A4">
            <w:pPr>
              <w:widowControl/>
              <w:ind w:leftChars="-52" w:hanging="109" w:hangingChars="52"/>
              <w:jc w:val="left"/>
              <w:rPr>
                <w:rFonts w:ascii="Times New Roman" w:hAnsi="Times New Roman" w:eastAsia="仿宋" w:cs="Times New Roman"/>
                <w:kern w:val="0"/>
                <w:szCs w:val="21"/>
              </w:rPr>
            </w:pPr>
            <w:r>
              <w:rPr>
                <w:rFonts w:ascii="Times New Roman" w:hAnsi="Times New Roman" w:eastAsia="仿宋" w:cs="Times New Roman"/>
                <w:kern w:val="0"/>
                <w:szCs w:val="21"/>
              </w:rPr>
              <w:t>湖南双牌打鼓坪省级森林公园、双牌日月湖国家湿地公园、湘江潇水双牌段光倒刺拟尖头白国家级水产种质资源保护区等。</w:t>
            </w:r>
          </w:p>
        </w:tc>
      </w:tr>
      <w:tr w14:paraId="64B2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C6A7E0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70DB158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b/>
                <w:bCs/>
                <w:kern w:val="0"/>
                <w:szCs w:val="21"/>
              </w:rPr>
              <w:t>打鼓坪乡：</w:t>
            </w:r>
          </w:p>
          <w:p w14:paraId="092759C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红线/一般生态空间（水源涵养重要区/森林公园/三区三线生态红线）；水环境一般管控区；大气环境优先保护区/大气环境受体敏感重点管控区/其他区域；农用地优先保护区/一般管控区</w:t>
            </w:r>
          </w:p>
          <w:p w14:paraId="2BC5EE5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b/>
                <w:bCs/>
                <w:kern w:val="0"/>
                <w:szCs w:val="21"/>
              </w:rPr>
              <w:t>江村镇：</w:t>
            </w:r>
          </w:p>
          <w:p w14:paraId="75B1DCC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 xml:space="preserve">红线/一般生态空间（水源涵养重要区/三区三线生态红线/湿地公园/森林公园/生物多样性保护功能重要区/原生态红线/水土保持功能重要区/水土流失敏感区）；水环境优先保护区/水环境一般管控区；大气环境优先保护区/大气环境受体敏感重点管控区/大气环境弱扩散重点管控区/其他区域；农用地优先保护区/一般管控区 </w:t>
            </w:r>
          </w:p>
          <w:p w14:paraId="02DAA70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b/>
                <w:bCs/>
                <w:kern w:val="0"/>
                <w:szCs w:val="21"/>
              </w:rPr>
              <w:t>理家坪乡：</w:t>
            </w:r>
          </w:p>
          <w:p w14:paraId="4989F8E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湿地公园/生物多样性保护功能重要区/原生态红线/森林公园/水土流失敏感区/水土保持功能重要区）；水环境优先保护区/水环境一般管控区；大气环境优先保护区/大气环境受体敏感重点管控区/大气环境弱扩散重点管控区/其他区域；农用地优先保护区/建设用地重点管控区/其他重点管控区/一般管控区</w:t>
            </w:r>
          </w:p>
          <w:p w14:paraId="38F572C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b/>
                <w:bCs/>
                <w:kern w:val="0"/>
                <w:szCs w:val="21"/>
              </w:rPr>
              <w:t>上梧江瑶族乡：</w:t>
            </w:r>
          </w:p>
          <w:p w14:paraId="6E10D3C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湿地公园/三区三线生态红线/水土保持功能重要区/生物多样性保护功能重要区/原生态红线/石漠化敏感区）；水环境优先保护区/水环境一般管控区；大气环境优先保护区/大气环境受体敏感重点管控区/大气环境弱扩散重点管控区/其他区域；农用地优先保护区/一般管控区</w:t>
            </w:r>
          </w:p>
        </w:tc>
      </w:tr>
      <w:tr w14:paraId="18EF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FFD78B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926" w:type="dxa"/>
            <w:gridSpan w:val="8"/>
            <w:vAlign w:val="center"/>
          </w:tcPr>
          <w:p w14:paraId="65EBE2CF">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133" w:type="dxa"/>
            <w:gridSpan w:val="3"/>
            <w:vAlign w:val="center"/>
          </w:tcPr>
          <w:p w14:paraId="62BABF53">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236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25E44B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926" w:type="dxa"/>
            <w:gridSpan w:val="8"/>
            <w:vAlign w:val="center"/>
          </w:tcPr>
          <w:p w14:paraId="084DA11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（1.1）产业准入应严格执行国家、省级关于主体功能区划的环境保护及产业准入负面清单要求。</w:t>
            </w:r>
          </w:p>
          <w:p w14:paraId="65BCC8B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（1.2）畜禽养殖产业布局应符合《双牌县畜禽规模养殖“三区”划定工作方案》、《双牌县畜牧业发展“十四五”规划（2021-2025 年） 》。</w:t>
            </w:r>
          </w:p>
        </w:tc>
        <w:tc>
          <w:tcPr>
            <w:tcW w:w="4133" w:type="dxa"/>
            <w:gridSpan w:val="3"/>
            <w:vMerge w:val="restart"/>
            <w:vAlign w:val="center"/>
          </w:tcPr>
          <w:p w14:paraId="0F0B5AA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（1.2）双牌县人民政府办公室关于印发《双牌县畜禽规模养殖“三区”划定工作方案》的通知（双政办发〔2020〕2号）；</w:t>
            </w:r>
          </w:p>
          <w:p w14:paraId="7FC0858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（1.2）《双牌县畜牧业发展“十四五”规划（2021-2025 年） 》；</w:t>
            </w:r>
          </w:p>
          <w:p w14:paraId="60CE3B3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6DDCAD78">
            <w:pPr>
              <w:tabs>
                <w:tab w:val="left" w:pos="1021"/>
              </w:tabs>
              <w:ind w:hanging="1"/>
              <w:rPr>
                <w:rFonts w:ascii="Times New Roman" w:hAnsi="Times New Roman" w:eastAsia="仿宋" w:cs="Times New Roman"/>
                <w:b/>
                <w:bCs/>
                <w:szCs w:val="21"/>
              </w:rPr>
            </w:pPr>
            <w:r>
              <w:rPr>
                <w:rFonts w:ascii="Times New Roman" w:hAnsi="Times New Roman" w:eastAsia="仿宋" w:cs="Times New Roman"/>
                <w:szCs w:val="21"/>
              </w:rPr>
              <w:t>（2.2）《</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6491B21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（2.3）双牌县人民政府《关于禁止露天焚烧的通告》（双政函〔20202〕49号）；</w:t>
            </w:r>
          </w:p>
          <w:p w14:paraId="01D1828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2D0BC04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488DA1B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p w14:paraId="3DFB2F82">
            <w:pPr>
              <w:tabs>
                <w:tab w:val="left" w:pos="1021"/>
              </w:tabs>
              <w:ind w:hanging="1"/>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68B0976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tc>
      </w:tr>
      <w:tr w14:paraId="5DAF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815ED5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926" w:type="dxa"/>
            <w:gridSpan w:val="8"/>
            <w:vAlign w:val="center"/>
          </w:tcPr>
          <w:p w14:paraId="1DB40F0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（2.1）做好养殖业的粪污利用工程，建设以处理后养殖废水贮存池为核心的养殖废水农田利用工程。</w:t>
            </w:r>
          </w:p>
          <w:p w14:paraId="01BA94C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（2.2）完善生活污水处理设施及管网。</w:t>
            </w:r>
          </w:p>
          <w:p w14:paraId="25C108C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（2.3）加强对露天焚烧秸秆的管理。</w:t>
            </w:r>
          </w:p>
          <w:p w14:paraId="0D5963C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（2.4）持续推进生活垃圾无害化处置。建设垃圾中转站，垃圾处理站，餐厨垃圾治理设施，购置相关车辆和设备，配套附属工程，对双牌县城市生活垃圾进行治理，实现综合利用。</w:t>
            </w:r>
          </w:p>
        </w:tc>
        <w:tc>
          <w:tcPr>
            <w:tcW w:w="4133" w:type="dxa"/>
            <w:gridSpan w:val="3"/>
            <w:vMerge w:val="continue"/>
            <w:vAlign w:val="center"/>
          </w:tcPr>
          <w:p w14:paraId="087082F2">
            <w:pPr>
              <w:widowControl/>
              <w:jc w:val="left"/>
              <w:rPr>
                <w:rFonts w:ascii="Times New Roman" w:hAnsi="Times New Roman" w:eastAsia="仿宋" w:cs="Times New Roman"/>
                <w:szCs w:val="21"/>
              </w:rPr>
            </w:pPr>
          </w:p>
        </w:tc>
      </w:tr>
      <w:tr w14:paraId="57F7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E7E7BD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926" w:type="dxa"/>
            <w:gridSpan w:val="8"/>
            <w:vAlign w:val="center"/>
          </w:tcPr>
          <w:p w14:paraId="3AE34F9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（3.1）建立健全地下水污染突发事件应急预案和技术储备体系。制定《饮用水水源突发环境事件应急预案》。</w:t>
            </w:r>
          </w:p>
        </w:tc>
        <w:tc>
          <w:tcPr>
            <w:tcW w:w="4133" w:type="dxa"/>
            <w:gridSpan w:val="3"/>
            <w:vMerge w:val="continue"/>
            <w:vAlign w:val="center"/>
          </w:tcPr>
          <w:p w14:paraId="53405F0F">
            <w:pPr>
              <w:widowControl/>
              <w:jc w:val="left"/>
              <w:rPr>
                <w:rFonts w:ascii="Times New Roman" w:hAnsi="Times New Roman" w:eastAsia="仿宋" w:cs="Times New Roman"/>
                <w:szCs w:val="21"/>
              </w:rPr>
            </w:pPr>
          </w:p>
        </w:tc>
      </w:tr>
      <w:tr w14:paraId="12F5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6CBFA0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926" w:type="dxa"/>
            <w:gridSpan w:val="8"/>
            <w:vAlign w:val="center"/>
          </w:tcPr>
          <w:p w14:paraId="21C273FA">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（4.1）能源：</w:t>
            </w:r>
          </w:p>
          <w:p w14:paraId="44B0FDA0">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着力优化能源结构，包括严格控制煤炭消费总量、加快燃煤锅炉综合整治、优先使用和推广可再生能源、积极推广利用天然气和推进燃油油品质量升级。</w:t>
            </w:r>
          </w:p>
          <w:p w14:paraId="3B039B7A">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（4.2）水资源：</w:t>
            </w:r>
          </w:p>
          <w:p w14:paraId="495080CB">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lang w:bidi="ar"/>
              </w:rPr>
              <w:t>到2025年，双牌县指标应符合相应行政区域的管控要求，双牌县用水总量为8025万立方米以内，农业用水总量控制在6038万m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，万元地区生产总值用水量、万元工业增加值用水量分别比2020年降低8.00%、8.87%，农田灌溉水有效利用系数为0.557。</w:t>
            </w:r>
          </w:p>
          <w:p w14:paraId="792BF79C">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szCs w:val="21"/>
              </w:rPr>
            </w:pPr>
            <w:r>
              <w:rPr>
                <w:rFonts w:ascii="Times New Roman" w:hAnsi="Times New Roman" w:eastAsia="仿宋" w:cs="Times New Roman"/>
                <w:szCs w:val="21"/>
              </w:rPr>
              <w:t>（4.3）土地资源：</w:t>
            </w:r>
          </w:p>
          <w:p w14:paraId="542631A7">
            <w:pPr>
              <w:keepNext w:val="0"/>
              <w:keepLines w:val="0"/>
              <w:pageBreakBefore w:val="0"/>
              <w:tabs>
                <w:tab w:val="left" w:pos="1021"/>
              </w:tabs>
              <w:kinsoku/>
              <w:wordWrap/>
              <w:overflowPunct/>
              <w:topLinePunct w:val="0"/>
              <w:autoSpaceDE/>
              <w:autoSpaceDN/>
              <w:bidi w:val="0"/>
              <w:adjustRightInd/>
              <w:snapToGrid/>
              <w:spacing w:line="300" w:lineRule="exact"/>
              <w:ind w:left="105" w:leftChars="50" w:firstLine="315" w:firstLineChars="15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规划到2035 年，全县耕地保有量不低于7953.88公顷（其中打鼓坪乡、江村镇、理家坪乡、上梧江瑶族乡150.96、775.20、872.22、629.59公顷），永久基本农田保护面积不低于7035.46公顷（其中打鼓坪乡、江村镇、理家坪乡、上梧江瑶族乡138.87、733.15、833.67、572.15公顷），全县生态保护红线面积不低于33936.85公顷；全县划定城镇开发边界1199.92公顷，划定城镇发展区 1249.55公顷，乡村发展区81704.61公顷，矿产能源发展区54.84公顷。</w:t>
            </w:r>
          </w:p>
        </w:tc>
        <w:tc>
          <w:tcPr>
            <w:tcW w:w="4133" w:type="dxa"/>
            <w:gridSpan w:val="3"/>
            <w:vMerge w:val="continue"/>
            <w:vAlign w:val="center"/>
          </w:tcPr>
          <w:p w14:paraId="7244A9E4">
            <w:pPr>
              <w:widowControl/>
              <w:jc w:val="left"/>
              <w:rPr>
                <w:rFonts w:ascii="Times New Roman" w:hAnsi="Times New Roman" w:eastAsia="仿宋" w:cs="Times New Roman"/>
                <w:szCs w:val="21"/>
              </w:rPr>
            </w:pPr>
          </w:p>
        </w:tc>
      </w:tr>
    </w:tbl>
    <w:p w14:paraId="10E57F42">
      <w:pPr>
        <w:tabs>
          <w:tab w:val="left" w:pos="4563"/>
        </w:tabs>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仿宋" w:cs="Times New Roman"/>
          <w:szCs w:val="21"/>
        </w:rPr>
        <w:tab/>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236"/>
        <w:gridCol w:w="1398"/>
        <w:gridCol w:w="1011"/>
        <w:gridCol w:w="1418"/>
        <w:gridCol w:w="3141"/>
      </w:tblGrid>
      <w:tr w14:paraId="4AEB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B0AD66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647F91E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5944BE3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08CFB01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17A3C96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36" w:type="dxa"/>
            <w:vMerge w:val="restart"/>
            <w:vAlign w:val="center"/>
          </w:tcPr>
          <w:p w14:paraId="2E0642F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398" w:type="dxa"/>
            <w:vMerge w:val="restart"/>
            <w:vAlign w:val="center"/>
          </w:tcPr>
          <w:p w14:paraId="39CD483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429" w:type="dxa"/>
            <w:gridSpan w:val="2"/>
            <w:vMerge w:val="restart"/>
            <w:vAlign w:val="center"/>
          </w:tcPr>
          <w:p w14:paraId="52F66B6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141" w:type="dxa"/>
            <w:vMerge w:val="restart"/>
            <w:vAlign w:val="center"/>
          </w:tcPr>
          <w:p w14:paraId="7484C0E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3FDB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369BBB94">
            <w:pPr>
              <w:widowControl/>
              <w:jc w:val="left"/>
              <w:rPr>
                <w:rFonts w:ascii="Times New Roman" w:hAnsi="Times New Roman" w:eastAsia="仿宋" w:cs="Times New Roman"/>
                <w:b/>
                <w:kern w:val="0"/>
                <w:szCs w:val="21"/>
              </w:rPr>
            </w:pPr>
          </w:p>
        </w:tc>
        <w:tc>
          <w:tcPr>
            <w:tcW w:w="851" w:type="dxa"/>
            <w:vMerge w:val="continue"/>
            <w:vAlign w:val="center"/>
          </w:tcPr>
          <w:p w14:paraId="29637165">
            <w:pPr>
              <w:widowControl/>
              <w:jc w:val="left"/>
              <w:rPr>
                <w:rFonts w:ascii="Times New Roman" w:hAnsi="Times New Roman" w:eastAsia="仿宋" w:cs="Times New Roman"/>
                <w:b/>
                <w:kern w:val="0"/>
                <w:szCs w:val="21"/>
              </w:rPr>
            </w:pPr>
          </w:p>
        </w:tc>
        <w:tc>
          <w:tcPr>
            <w:tcW w:w="425" w:type="dxa"/>
            <w:vAlign w:val="center"/>
          </w:tcPr>
          <w:p w14:paraId="6580610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1A09641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7AA074E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4047A960">
            <w:pPr>
              <w:widowControl/>
              <w:jc w:val="left"/>
              <w:rPr>
                <w:rFonts w:ascii="Times New Roman" w:hAnsi="Times New Roman" w:eastAsia="仿宋" w:cs="Times New Roman"/>
                <w:b/>
                <w:kern w:val="0"/>
                <w:szCs w:val="21"/>
              </w:rPr>
            </w:pPr>
          </w:p>
        </w:tc>
        <w:tc>
          <w:tcPr>
            <w:tcW w:w="992" w:type="dxa"/>
            <w:vMerge w:val="continue"/>
            <w:vAlign w:val="center"/>
          </w:tcPr>
          <w:p w14:paraId="429427B0">
            <w:pPr>
              <w:widowControl/>
              <w:jc w:val="left"/>
              <w:rPr>
                <w:rFonts w:ascii="Times New Roman" w:hAnsi="Times New Roman" w:eastAsia="仿宋" w:cs="Times New Roman"/>
                <w:b/>
                <w:kern w:val="0"/>
                <w:szCs w:val="21"/>
              </w:rPr>
            </w:pPr>
          </w:p>
        </w:tc>
        <w:tc>
          <w:tcPr>
            <w:tcW w:w="1236" w:type="dxa"/>
            <w:vMerge w:val="continue"/>
            <w:vAlign w:val="center"/>
          </w:tcPr>
          <w:p w14:paraId="0AF4E3F4">
            <w:pPr>
              <w:widowControl/>
              <w:jc w:val="left"/>
              <w:rPr>
                <w:rFonts w:ascii="Times New Roman" w:hAnsi="Times New Roman" w:eastAsia="仿宋" w:cs="Times New Roman"/>
                <w:b/>
                <w:kern w:val="0"/>
                <w:szCs w:val="21"/>
              </w:rPr>
            </w:pPr>
          </w:p>
        </w:tc>
        <w:tc>
          <w:tcPr>
            <w:tcW w:w="1398" w:type="dxa"/>
            <w:vMerge w:val="continue"/>
            <w:vAlign w:val="center"/>
          </w:tcPr>
          <w:p w14:paraId="3A162D79">
            <w:pPr>
              <w:widowControl/>
              <w:jc w:val="left"/>
              <w:rPr>
                <w:rFonts w:ascii="Times New Roman" w:hAnsi="Times New Roman" w:eastAsia="仿宋" w:cs="Times New Roman"/>
                <w:b/>
                <w:kern w:val="0"/>
                <w:szCs w:val="21"/>
              </w:rPr>
            </w:pPr>
          </w:p>
        </w:tc>
        <w:tc>
          <w:tcPr>
            <w:tcW w:w="2429" w:type="dxa"/>
            <w:gridSpan w:val="2"/>
            <w:vMerge w:val="continue"/>
            <w:vAlign w:val="center"/>
          </w:tcPr>
          <w:p w14:paraId="3401969D">
            <w:pPr>
              <w:widowControl/>
              <w:jc w:val="left"/>
              <w:rPr>
                <w:rFonts w:ascii="Times New Roman" w:hAnsi="Times New Roman" w:eastAsia="仿宋" w:cs="Times New Roman"/>
                <w:b/>
                <w:kern w:val="0"/>
                <w:szCs w:val="21"/>
              </w:rPr>
            </w:pPr>
          </w:p>
        </w:tc>
        <w:tc>
          <w:tcPr>
            <w:tcW w:w="3141" w:type="dxa"/>
            <w:vMerge w:val="continue"/>
            <w:vAlign w:val="center"/>
          </w:tcPr>
          <w:p w14:paraId="3F38E6C4">
            <w:pPr>
              <w:widowControl/>
              <w:jc w:val="left"/>
              <w:rPr>
                <w:rFonts w:ascii="Times New Roman" w:hAnsi="Times New Roman" w:eastAsia="仿宋" w:cs="Times New Roman"/>
                <w:b/>
                <w:kern w:val="0"/>
                <w:szCs w:val="21"/>
              </w:rPr>
            </w:pPr>
          </w:p>
        </w:tc>
      </w:tr>
      <w:tr w14:paraId="36E5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423A8D50">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ZH43112310003</w:t>
            </w:r>
          </w:p>
        </w:tc>
        <w:tc>
          <w:tcPr>
            <w:tcW w:w="851" w:type="dxa"/>
            <w:vAlign w:val="center"/>
          </w:tcPr>
          <w:p w14:paraId="30D6D44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何家洞镇</w:t>
            </w:r>
          </w:p>
        </w:tc>
        <w:tc>
          <w:tcPr>
            <w:tcW w:w="425" w:type="dxa"/>
            <w:vAlign w:val="center"/>
          </w:tcPr>
          <w:p w14:paraId="63EB958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624E4866">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80" w:type="dxa"/>
            <w:vAlign w:val="center"/>
          </w:tcPr>
          <w:p w14:paraId="4847D45E">
            <w:pPr>
              <w:widowControl/>
              <w:jc w:val="center"/>
              <w:rPr>
                <w:rFonts w:ascii="Times New Roman" w:hAnsi="Times New Roman" w:eastAsia="仿宋" w:cs="Times New Roman"/>
                <w:szCs w:val="21"/>
              </w:rPr>
            </w:pPr>
            <w:r>
              <w:rPr>
                <w:rFonts w:ascii="Times New Roman" w:hAnsi="Times New Roman" w:eastAsia="仿宋" w:cs="Times New Roman"/>
                <w:szCs w:val="21"/>
              </w:rPr>
              <w:t>双牌县</w:t>
            </w:r>
          </w:p>
        </w:tc>
        <w:tc>
          <w:tcPr>
            <w:tcW w:w="1134" w:type="dxa"/>
            <w:vAlign w:val="center"/>
          </w:tcPr>
          <w:p w14:paraId="43DAAA6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tcBorders>
              <w:top w:val="single" w:color="auto" w:sz="4" w:space="0"/>
              <w:left w:val="nil"/>
              <w:bottom w:val="single" w:color="auto" w:sz="4" w:space="0"/>
              <w:right w:val="single" w:color="auto" w:sz="4" w:space="0"/>
            </w:tcBorders>
            <w:shd w:val="clear" w:color="auto" w:fill="auto"/>
            <w:vAlign w:val="center"/>
          </w:tcPr>
          <w:p w14:paraId="52F1236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199.16</w:t>
            </w:r>
          </w:p>
        </w:tc>
        <w:tc>
          <w:tcPr>
            <w:tcW w:w="1236" w:type="dxa"/>
            <w:tcBorders>
              <w:top w:val="single" w:color="auto" w:sz="4" w:space="0"/>
              <w:left w:val="single" w:color="auto" w:sz="4" w:space="0"/>
              <w:bottom w:val="single" w:color="auto" w:sz="4" w:space="0"/>
              <w:right w:val="nil"/>
            </w:tcBorders>
            <w:shd w:val="clear" w:color="auto" w:fill="auto"/>
            <w:vAlign w:val="center"/>
          </w:tcPr>
          <w:p w14:paraId="6192CE2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何家洞镇</w:t>
            </w:r>
          </w:p>
        </w:tc>
        <w:tc>
          <w:tcPr>
            <w:tcW w:w="1398" w:type="dxa"/>
            <w:vAlign w:val="center"/>
          </w:tcPr>
          <w:p w14:paraId="26C4771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重点生态功能区</w:t>
            </w:r>
          </w:p>
        </w:tc>
        <w:tc>
          <w:tcPr>
            <w:tcW w:w="2429" w:type="dxa"/>
            <w:gridSpan w:val="2"/>
            <w:vAlign w:val="center"/>
          </w:tcPr>
          <w:p w14:paraId="616030F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农业、旅游业、养殖业、竹制品加工等。</w:t>
            </w:r>
          </w:p>
        </w:tc>
        <w:tc>
          <w:tcPr>
            <w:tcW w:w="3141" w:type="dxa"/>
            <w:vAlign w:val="center"/>
          </w:tcPr>
          <w:p w14:paraId="5052EA66">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7B27E361">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tc>
      </w:tr>
      <w:tr w14:paraId="2BFF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68C9A7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6201FD2D">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红线/一般生态空间（水源涵养重要区/三区三线生态红线/原生态红线/水土流失敏感区）；水环境一般管控区；大气环境受体敏感重点管控区/其他区域；农用地优先保护区/一般管控区</w:t>
            </w:r>
          </w:p>
        </w:tc>
      </w:tr>
      <w:tr w14:paraId="53A0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6BEFF07">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500" w:type="dxa"/>
            <w:gridSpan w:val="9"/>
            <w:vAlign w:val="center"/>
          </w:tcPr>
          <w:p w14:paraId="4CAE6963">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559" w:type="dxa"/>
            <w:gridSpan w:val="2"/>
            <w:vAlign w:val="center"/>
          </w:tcPr>
          <w:p w14:paraId="7E28DB2D">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55E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DBD766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500" w:type="dxa"/>
            <w:gridSpan w:val="9"/>
            <w:vAlign w:val="center"/>
          </w:tcPr>
          <w:p w14:paraId="26A88A4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w:t>
            </w:r>
            <w:bookmarkStart w:id="31" w:name="OLE_LINK3"/>
            <w:r>
              <w:rPr>
                <w:rFonts w:ascii="Times New Roman" w:hAnsi="Times New Roman" w:eastAsia="仿宋" w:cs="Times New Roman"/>
                <w:szCs w:val="21"/>
              </w:rPr>
              <w:t>产业准入应严格执行国家、省级关于主体功能区划的环境保护及产业准入负面清单要求</w:t>
            </w:r>
            <w:bookmarkEnd w:id="31"/>
            <w:r>
              <w:rPr>
                <w:rFonts w:ascii="Times New Roman" w:hAnsi="Times New Roman" w:eastAsia="仿宋" w:cs="Times New Roman"/>
                <w:szCs w:val="21"/>
              </w:rPr>
              <w:t>。</w:t>
            </w:r>
          </w:p>
          <w:p w14:paraId="2C8C715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（1.2）畜禽养殖产业布局应符合《双牌县畜禽规模养殖“三区”划定工作方案》、《双牌县畜牧业发展“十四五”规划（2021-2025 年） 》。</w:t>
            </w:r>
          </w:p>
        </w:tc>
        <w:tc>
          <w:tcPr>
            <w:tcW w:w="4559" w:type="dxa"/>
            <w:gridSpan w:val="2"/>
            <w:vMerge w:val="restart"/>
            <w:vAlign w:val="center"/>
          </w:tcPr>
          <w:p w14:paraId="249E03E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（1.2）双牌县人民政府办公室关于印发《双牌县畜禽规模养殖“三区”划定工作方案》的通知（双政办发〔2020〕2号）；</w:t>
            </w:r>
          </w:p>
          <w:p w14:paraId="171E597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（1.2）《双牌县畜牧业发展“十四五”规划（2021-2025 年） 》；</w:t>
            </w:r>
          </w:p>
          <w:p w14:paraId="58AB1F97">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64E81D3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7106F28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（2.3）双牌县人民政府《关于禁止露天焚烧的通告》（双政函〔20202〕49号）；</w:t>
            </w:r>
          </w:p>
          <w:p w14:paraId="459B816A">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3F8C1F5A">
            <w:pPr>
              <w:tabs>
                <w:tab w:val="left" w:pos="1021"/>
              </w:tabs>
              <w:ind w:hanging="1"/>
              <w:rPr>
                <w:rFonts w:ascii="Times New Roman" w:hAnsi="Times New Roman" w:eastAsia="仿宋" w:cs="Times New Roman"/>
                <w:szCs w:val="21"/>
                <w:lang w:eastAsia="zh-Hans"/>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214CD455">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2E4AE44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p w14:paraId="6311D946">
            <w:pPr>
              <w:tabs>
                <w:tab w:val="left" w:pos="1021"/>
              </w:tabs>
              <w:ind w:hanging="1"/>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594F7C2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tc>
      </w:tr>
      <w:tr w14:paraId="7990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9CDE2A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500" w:type="dxa"/>
            <w:gridSpan w:val="9"/>
            <w:vAlign w:val="center"/>
          </w:tcPr>
          <w:p w14:paraId="33885CE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（2.1）做好养殖业的粪污利用工程，建设以处理后养殖废水贮存池为核心的养殖废水农田利用工程。</w:t>
            </w:r>
          </w:p>
          <w:p w14:paraId="51C4587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（2.2）完善生活污水处理设施及管网。</w:t>
            </w:r>
          </w:p>
          <w:p w14:paraId="3EC84A7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（2.3）加强对露天焚烧秸秆的管理。</w:t>
            </w:r>
          </w:p>
          <w:p w14:paraId="1D38CB6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（2.4）持续推进生活垃圾无害化处置。建设垃圾中转站，垃圾处理站，餐厨垃圾治理设施，购置相关车辆和设备，配套附属工程，对双牌县城市生活垃圾进行治理，实现综合利用。</w:t>
            </w:r>
          </w:p>
        </w:tc>
        <w:tc>
          <w:tcPr>
            <w:tcW w:w="4559" w:type="dxa"/>
            <w:gridSpan w:val="2"/>
            <w:vMerge w:val="continue"/>
            <w:vAlign w:val="center"/>
          </w:tcPr>
          <w:p w14:paraId="53EF57DE">
            <w:pPr>
              <w:widowControl/>
              <w:jc w:val="left"/>
              <w:rPr>
                <w:rFonts w:ascii="Times New Roman" w:hAnsi="Times New Roman" w:eastAsia="仿宋" w:cs="Times New Roman"/>
                <w:szCs w:val="21"/>
              </w:rPr>
            </w:pPr>
          </w:p>
        </w:tc>
      </w:tr>
      <w:tr w14:paraId="7D23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3A8957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500" w:type="dxa"/>
            <w:gridSpan w:val="9"/>
            <w:vAlign w:val="center"/>
          </w:tcPr>
          <w:p w14:paraId="05B1745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lang w:eastAsia="zh-Hans"/>
              </w:rPr>
              <w:t>》强化环境风险管控，完善环境风险防控体系。</w:t>
            </w:r>
          </w:p>
        </w:tc>
        <w:tc>
          <w:tcPr>
            <w:tcW w:w="4559" w:type="dxa"/>
            <w:gridSpan w:val="2"/>
            <w:vMerge w:val="continue"/>
            <w:vAlign w:val="center"/>
          </w:tcPr>
          <w:p w14:paraId="2D21934E">
            <w:pPr>
              <w:widowControl/>
              <w:jc w:val="left"/>
              <w:rPr>
                <w:rFonts w:ascii="Times New Roman" w:hAnsi="Times New Roman" w:eastAsia="仿宋" w:cs="Times New Roman"/>
                <w:szCs w:val="21"/>
              </w:rPr>
            </w:pPr>
          </w:p>
        </w:tc>
      </w:tr>
      <w:tr w14:paraId="1E39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80312A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500" w:type="dxa"/>
            <w:gridSpan w:val="9"/>
            <w:vAlign w:val="center"/>
          </w:tcPr>
          <w:p w14:paraId="6563756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706D1377">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着力优化能源结构，包括严格控制煤炭消费总量、加快燃煤锅炉综合整治、优先使用和推广可再生能源、积极推广利用天然气和推进燃油油品质量升级。</w:t>
            </w:r>
          </w:p>
          <w:p w14:paraId="0AF7741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2DCFCD1">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到2025年，双牌县指标应符合相应行政区域的管控要求，双牌县用水总量为8025万立方米以内，农业用水总量控制在6038万m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，万元地区生产总值用水量、万元工业增加值用水量分别比2020年降低8.00%、8.87%，农田灌溉水有效利用系数为0.557。</w:t>
            </w:r>
          </w:p>
          <w:p w14:paraId="7A2535FB">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1EC94A71">
            <w:pPr>
              <w:tabs>
                <w:tab w:val="left" w:pos="1021"/>
              </w:tabs>
              <w:ind w:left="105" w:leftChars="50" w:firstLine="315" w:firstLineChars="150"/>
              <w:rPr>
                <w:rFonts w:ascii="Times New Roman" w:hAnsi="Times New Roman" w:eastAsia="仿宋" w:cs="Times New Roman"/>
                <w:kern w:val="0"/>
                <w:szCs w:val="21"/>
              </w:rPr>
            </w:pPr>
            <w:r>
              <w:rPr>
                <w:rFonts w:ascii="Times New Roman" w:hAnsi="Times New Roman" w:eastAsia="仿宋" w:cs="Times New Roman"/>
                <w:kern w:val="0"/>
                <w:szCs w:val="21"/>
              </w:rPr>
              <w:t>规划到2035 年，全县耕地保有量不低于7953.88公顷（其中何家洞镇873.07公顷），永久基本农田保护面积不低于7035.46公顷（其中何家洞镇788.78公顷），全县生态保护红线面积不低于33936.85公顷；全县划定城镇开发边界1199.92公顷，划定城镇发展区 1249.55公顷，乡村发展区81704.61公顷，矿产能源发展区54.84公顷。</w:t>
            </w:r>
          </w:p>
        </w:tc>
        <w:tc>
          <w:tcPr>
            <w:tcW w:w="4559" w:type="dxa"/>
            <w:gridSpan w:val="2"/>
            <w:vMerge w:val="continue"/>
            <w:vAlign w:val="center"/>
          </w:tcPr>
          <w:p w14:paraId="0249D4E9">
            <w:pPr>
              <w:widowControl/>
              <w:jc w:val="left"/>
              <w:rPr>
                <w:rFonts w:ascii="Times New Roman" w:hAnsi="Times New Roman" w:eastAsia="仿宋" w:cs="Times New Roman"/>
                <w:szCs w:val="21"/>
              </w:rPr>
            </w:pPr>
          </w:p>
        </w:tc>
      </w:tr>
    </w:tbl>
    <w:p w14:paraId="6A4736D8">
      <w:pPr>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426"/>
        <w:gridCol w:w="1417"/>
        <w:gridCol w:w="1316"/>
        <w:gridCol w:w="1094"/>
        <w:gridCol w:w="1540"/>
        <w:gridCol w:w="1153"/>
        <w:gridCol w:w="2102"/>
        <w:gridCol w:w="2315"/>
      </w:tblGrid>
      <w:tr w14:paraId="4678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56AB3B0A">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21E3782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1" w:type="dxa"/>
            <w:gridSpan w:val="3"/>
            <w:vAlign w:val="center"/>
          </w:tcPr>
          <w:p w14:paraId="13F4A61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417" w:type="dxa"/>
            <w:vMerge w:val="restart"/>
            <w:vAlign w:val="center"/>
          </w:tcPr>
          <w:p w14:paraId="50CD302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316" w:type="dxa"/>
            <w:vMerge w:val="restart"/>
            <w:vAlign w:val="center"/>
          </w:tcPr>
          <w:p w14:paraId="402A86D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94" w:type="dxa"/>
            <w:vMerge w:val="restart"/>
            <w:vAlign w:val="center"/>
          </w:tcPr>
          <w:p w14:paraId="3A5A72A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40" w:type="dxa"/>
            <w:vMerge w:val="restart"/>
            <w:vAlign w:val="center"/>
          </w:tcPr>
          <w:p w14:paraId="43581C6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255" w:type="dxa"/>
            <w:gridSpan w:val="2"/>
            <w:vMerge w:val="restart"/>
            <w:vAlign w:val="center"/>
          </w:tcPr>
          <w:p w14:paraId="7A0D9C3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315" w:type="dxa"/>
            <w:vMerge w:val="restart"/>
            <w:vAlign w:val="center"/>
          </w:tcPr>
          <w:p w14:paraId="68219CE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799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0A1B80F">
            <w:pPr>
              <w:widowControl/>
              <w:jc w:val="left"/>
              <w:rPr>
                <w:rFonts w:ascii="Times New Roman" w:hAnsi="Times New Roman" w:eastAsia="仿宋" w:cs="Times New Roman"/>
                <w:b/>
                <w:kern w:val="0"/>
                <w:szCs w:val="21"/>
              </w:rPr>
            </w:pPr>
          </w:p>
        </w:tc>
        <w:tc>
          <w:tcPr>
            <w:tcW w:w="851" w:type="dxa"/>
            <w:vMerge w:val="continue"/>
            <w:vAlign w:val="center"/>
          </w:tcPr>
          <w:p w14:paraId="7A389D86">
            <w:pPr>
              <w:widowControl/>
              <w:jc w:val="left"/>
              <w:rPr>
                <w:rFonts w:ascii="Times New Roman" w:hAnsi="Times New Roman" w:eastAsia="仿宋" w:cs="Times New Roman"/>
                <w:b/>
                <w:kern w:val="0"/>
                <w:szCs w:val="21"/>
              </w:rPr>
            </w:pPr>
          </w:p>
        </w:tc>
        <w:tc>
          <w:tcPr>
            <w:tcW w:w="425" w:type="dxa"/>
            <w:vAlign w:val="center"/>
          </w:tcPr>
          <w:p w14:paraId="2213F0FB">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0" w:type="dxa"/>
            <w:vAlign w:val="center"/>
          </w:tcPr>
          <w:p w14:paraId="55758188">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6" w:type="dxa"/>
            <w:vAlign w:val="center"/>
          </w:tcPr>
          <w:p w14:paraId="63A7D1DD">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417" w:type="dxa"/>
            <w:vMerge w:val="continue"/>
            <w:vAlign w:val="center"/>
          </w:tcPr>
          <w:p w14:paraId="3FF00151">
            <w:pPr>
              <w:widowControl/>
              <w:jc w:val="left"/>
              <w:rPr>
                <w:rFonts w:ascii="Times New Roman" w:hAnsi="Times New Roman" w:eastAsia="仿宋" w:cs="Times New Roman"/>
                <w:b/>
                <w:kern w:val="0"/>
                <w:szCs w:val="21"/>
              </w:rPr>
            </w:pPr>
          </w:p>
        </w:tc>
        <w:tc>
          <w:tcPr>
            <w:tcW w:w="1316" w:type="dxa"/>
            <w:vMerge w:val="continue"/>
            <w:vAlign w:val="center"/>
          </w:tcPr>
          <w:p w14:paraId="181E55CA">
            <w:pPr>
              <w:widowControl/>
              <w:jc w:val="left"/>
              <w:rPr>
                <w:rFonts w:ascii="Times New Roman" w:hAnsi="Times New Roman" w:eastAsia="仿宋" w:cs="Times New Roman"/>
                <w:b/>
                <w:kern w:val="0"/>
                <w:szCs w:val="21"/>
              </w:rPr>
            </w:pPr>
          </w:p>
        </w:tc>
        <w:tc>
          <w:tcPr>
            <w:tcW w:w="1094" w:type="dxa"/>
            <w:vMerge w:val="continue"/>
            <w:vAlign w:val="center"/>
          </w:tcPr>
          <w:p w14:paraId="6B12D0BA">
            <w:pPr>
              <w:widowControl/>
              <w:jc w:val="left"/>
              <w:rPr>
                <w:rFonts w:ascii="Times New Roman" w:hAnsi="Times New Roman" w:eastAsia="仿宋" w:cs="Times New Roman"/>
                <w:b/>
                <w:kern w:val="0"/>
                <w:szCs w:val="21"/>
              </w:rPr>
            </w:pPr>
          </w:p>
        </w:tc>
        <w:tc>
          <w:tcPr>
            <w:tcW w:w="1540" w:type="dxa"/>
            <w:vMerge w:val="continue"/>
            <w:vAlign w:val="center"/>
          </w:tcPr>
          <w:p w14:paraId="64E2FF9F">
            <w:pPr>
              <w:widowControl/>
              <w:jc w:val="left"/>
              <w:rPr>
                <w:rFonts w:ascii="Times New Roman" w:hAnsi="Times New Roman" w:eastAsia="仿宋" w:cs="Times New Roman"/>
                <w:b/>
                <w:kern w:val="0"/>
                <w:szCs w:val="21"/>
              </w:rPr>
            </w:pPr>
          </w:p>
        </w:tc>
        <w:tc>
          <w:tcPr>
            <w:tcW w:w="3255" w:type="dxa"/>
            <w:gridSpan w:val="2"/>
            <w:vMerge w:val="continue"/>
            <w:vAlign w:val="center"/>
          </w:tcPr>
          <w:p w14:paraId="32E151CA">
            <w:pPr>
              <w:widowControl/>
              <w:jc w:val="left"/>
              <w:rPr>
                <w:rFonts w:ascii="Times New Roman" w:hAnsi="Times New Roman" w:eastAsia="仿宋" w:cs="Times New Roman"/>
                <w:b/>
                <w:kern w:val="0"/>
                <w:szCs w:val="21"/>
              </w:rPr>
            </w:pPr>
          </w:p>
        </w:tc>
        <w:tc>
          <w:tcPr>
            <w:tcW w:w="2315" w:type="dxa"/>
            <w:vMerge w:val="continue"/>
            <w:vAlign w:val="center"/>
          </w:tcPr>
          <w:p w14:paraId="60125407">
            <w:pPr>
              <w:widowControl/>
              <w:jc w:val="left"/>
              <w:rPr>
                <w:rFonts w:ascii="Times New Roman" w:hAnsi="Times New Roman" w:eastAsia="仿宋" w:cs="Times New Roman"/>
                <w:b/>
                <w:kern w:val="0"/>
                <w:szCs w:val="21"/>
              </w:rPr>
            </w:pPr>
          </w:p>
        </w:tc>
      </w:tr>
      <w:tr w14:paraId="275D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4920ECF1">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ZH43112320001</w:t>
            </w:r>
          </w:p>
        </w:tc>
        <w:tc>
          <w:tcPr>
            <w:tcW w:w="851" w:type="dxa"/>
            <w:vAlign w:val="center"/>
          </w:tcPr>
          <w:p w14:paraId="0209CF98">
            <w:pPr>
              <w:widowControl/>
              <w:jc w:val="center"/>
              <w:rPr>
                <w:rFonts w:ascii="Times New Roman" w:hAnsi="Times New Roman" w:eastAsia="仿宋" w:cs="Times New Roman"/>
                <w:kern w:val="0"/>
                <w:szCs w:val="21"/>
              </w:rPr>
            </w:pPr>
            <w:r>
              <w:rPr>
                <w:rFonts w:ascii="Times New Roman" w:hAnsi="Times New Roman" w:eastAsia="仿宋" w:cs="Times New Roman"/>
                <w:szCs w:val="21"/>
              </w:rPr>
              <w:t>泷泊镇</w:t>
            </w:r>
          </w:p>
        </w:tc>
        <w:tc>
          <w:tcPr>
            <w:tcW w:w="425" w:type="dxa"/>
            <w:vAlign w:val="center"/>
          </w:tcPr>
          <w:p w14:paraId="6B7DC72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0" w:type="dxa"/>
            <w:vAlign w:val="center"/>
          </w:tcPr>
          <w:p w14:paraId="3A95DB83">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6" w:type="dxa"/>
            <w:vAlign w:val="center"/>
          </w:tcPr>
          <w:p w14:paraId="316CB698">
            <w:pPr>
              <w:widowControl/>
              <w:jc w:val="center"/>
              <w:rPr>
                <w:rFonts w:ascii="Times New Roman" w:hAnsi="Times New Roman" w:eastAsia="仿宋" w:cs="Times New Roman"/>
                <w:szCs w:val="21"/>
              </w:rPr>
            </w:pPr>
            <w:r>
              <w:rPr>
                <w:rFonts w:ascii="Times New Roman" w:hAnsi="Times New Roman" w:eastAsia="仿宋" w:cs="Times New Roman"/>
                <w:szCs w:val="21"/>
              </w:rPr>
              <w:t>双牌县</w:t>
            </w:r>
          </w:p>
        </w:tc>
        <w:tc>
          <w:tcPr>
            <w:tcW w:w="1417" w:type="dxa"/>
            <w:vAlign w:val="center"/>
          </w:tcPr>
          <w:p w14:paraId="4FCBED5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316" w:type="dxa"/>
            <w:tcBorders>
              <w:top w:val="single" w:color="auto" w:sz="4" w:space="0"/>
              <w:left w:val="nil"/>
              <w:bottom w:val="single" w:color="auto" w:sz="4" w:space="0"/>
              <w:right w:val="single" w:color="auto" w:sz="4" w:space="0"/>
            </w:tcBorders>
            <w:shd w:val="clear" w:color="auto" w:fill="auto"/>
            <w:vAlign w:val="center"/>
          </w:tcPr>
          <w:p w14:paraId="34BA3FEA">
            <w:pPr>
              <w:widowControl/>
              <w:jc w:val="center"/>
              <w:rPr>
                <w:rFonts w:ascii="Times New Roman" w:hAnsi="Times New Roman" w:eastAsia="仿宋" w:cs="Times New Roman"/>
                <w:szCs w:val="21"/>
              </w:rPr>
            </w:pPr>
            <w:r>
              <w:rPr>
                <w:rFonts w:ascii="Times New Roman" w:hAnsi="Times New Roman" w:eastAsia="仿宋" w:cs="Times New Roman"/>
                <w:szCs w:val="21"/>
              </w:rPr>
              <w:t>65.85</w:t>
            </w:r>
          </w:p>
        </w:tc>
        <w:tc>
          <w:tcPr>
            <w:tcW w:w="1094" w:type="dxa"/>
            <w:tcBorders>
              <w:top w:val="single" w:color="auto" w:sz="4" w:space="0"/>
              <w:left w:val="single" w:color="auto" w:sz="4" w:space="0"/>
              <w:bottom w:val="single" w:color="auto" w:sz="4" w:space="0"/>
              <w:right w:val="nil"/>
            </w:tcBorders>
            <w:shd w:val="clear" w:color="auto" w:fill="auto"/>
            <w:vAlign w:val="center"/>
          </w:tcPr>
          <w:p w14:paraId="5D638526">
            <w:pPr>
              <w:widowControl/>
              <w:jc w:val="center"/>
              <w:rPr>
                <w:rFonts w:ascii="Times New Roman" w:hAnsi="Times New Roman" w:eastAsia="仿宋" w:cs="Times New Roman"/>
                <w:szCs w:val="21"/>
              </w:rPr>
            </w:pPr>
            <w:r>
              <w:rPr>
                <w:rFonts w:ascii="Times New Roman" w:hAnsi="Times New Roman" w:eastAsia="仿宋" w:cs="Times New Roman"/>
                <w:szCs w:val="21"/>
              </w:rPr>
              <w:t>泷泊镇</w:t>
            </w:r>
          </w:p>
        </w:tc>
        <w:tc>
          <w:tcPr>
            <w:tcW w:w="1540" w:type="dxa"/>
            <w:vAlign w:val="center"/>
          </w:tcPr>
          <w:p w14:paraId="11379EF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城市化地区</w:t>
            </w:r>
          </w:p>
        </w:tc>
        <w:tc>
          <w:tcPr>
            <w:tcW w:w="3255" w:type="dxa"/>
            <w:gridSpan w:val="2"/>
            <w:vAlign w:val="center"/>
          </w:tcPr>
          <w:p w14:paraId="3522A45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农业、旅游业、养殖业、餐饮服务业、风力发电等。</w:t>
            </w:r>
          </w:p>
        </w:tc>
        <w:tc>
          <w:tcPr>
            <w:tcW w:w="2315" w:type="dxa"/>
            <w:vAlign w:val="center"/>
          </w:tcPr>
          <w:p w14:paraId="06AAA2EC">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3C07F2F9">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6E86084B">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288C8CAF">
            <w:pPr>
              <w:widowControl/>
              <w:rPr>
                <w:rFonts w:ascii="Times New Roman" w:hAnsi="Times New Roman" w:eastAsia="仿宋" w:cs="Times New Roman"/>
                <w:kern w:val="0"/>
                <w:szCs w:val="21"/>
              </w:rPr>
            </w:pPr>
            <w:r>
              <w:rPr>
                <w:rFonts w:ascii="Times New Roman" w:hAnsi="Times New Roman" w:eastAsia="仿宋" w:cs="Times New Roman"/>
                <w:kern w:val="0"/>
                <w:szCs w:val="21"/>
              </w:rPr>
              <w:t>永州市双牌县单江水库饮用水水源保护区、永州市双牌县潇水饮用水水源保护区、双牌日月湖国家湿地公园、湘江潇水双牌段光倒刺拟尖头鲌国家级水产种质资源保护区。</w:t>
            </w:r>
          </w:p>
        </w:tc>
      </w:tr>
      <w:tr w14:paraId="16EF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87AC43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0B44539A">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生物多样性保护功能重要区/森林公园/水土流失敏感区）；水环境优先保护区/水环境工业污染重点管控区/水环境一般管控区；大气环境优先保护区/大气环境高排放重点管控区/大气环境受体敏感重点管控区/大气环境布局敏感重点管控区/其他区域；农用地优先保护区/建设用地重点管控区/其他重点管控区/一般管控区</w:t>
            </w:r>
          </w:p>
        </w:tc>
      </w:tr>
      <w:tr w14:paraId="696C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89E7B50">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42" w:type="dxa"/>
            <w:gridSpan w:val="9"/>
            <w:vAlign w:val="center"/>
          </w:tcPr>
          <w:p w14:paraId="70690C4E">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417" w:type="dxa"/>
            <w:gridSpan w:val="2"/>
            <w:vAlign w:val="center"/>
          </w:tcPr>
          <w:p w14:paraId="41CF0043">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C02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26CA61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42" w:type="dxa"/>
            <w:gridSpan w:val="9"/>
            <w:vAlign w:val="center"/>
          </w:tcPr>
          <w:p w14:paraId="5ECC512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（1.1）产业准入应严格执行国家、省级关于主体功能区划的环境保护及产业准入负面清单要求。</w:t>
            </w:r>
          </w:p>
          <w:p w14:paraId="7ED8A0B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（1.2）畜禽养殖产业布局应符合《双牌县畜禽规模养殖“三区”划定工作方案》、《双牌县畜牧业发展“十四五”规划（2021-2025 年） 》。城市建成区为禁养区，严禁新建、改扩建规模养殖场及非规模养殖场。</w:t>
            </w:r>
          </w:p>
        </w:tc>
        <w:tc>
          <w:tcPr>
            <w:tcW w:w="4417" w:type="dxa"/>
            <w:gridSpan w:val="2"/>
            <w:vMerge w:val="restart"/>
            <w:vAlign w:val="center"/>
          </w:tcPr>
          <w:p w14:paraId="3A72B31B">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（1.2）双牌县人民政府办公室关于印发《双牌县畜禽规模养殖“三区”划定工作方案》的通知（双政办发〔2020〕2号）；</w:t>
            </w:r>
          </w:p>
          <w:p w14:paraId="4433B74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（1.2）《双牌县畜牧业发展“十四五”规划（2021-2025 年） 》；</w:t>
            </w:r>
          </w:p>
          <w:p w14:paraId="1454DD6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1B03FDF4">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（2.2）（4.1.1）双牌县人民政府《关于禁止露天焚烧的通告》（双政函〔20202〕49号）；</w:t>
            </w:r>
          </w:p>
          <w:p w14:paraId="1017542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5B57189F">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4F7923C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p w14:paraId="5496A47C">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r>
              <w:rPr>
                <w:rFonts w:ascii="Times New Roman" w:hAnsi="Times New Roman" w:eastAsia="仿宋" w:cs="Times New Roman"/>
                <w:szCs w:val="21"/>
              </w:rPr>
              <w:t>。</w:t>
            </w:r>
          </w:p>
        </w:tc>
      </w:tr>
      <w:tr w14:paraId="4B18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58F650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42" w:type="dxa"/>
            <w:gridSpan w:val="9"/>
            <w:vAlign w:val="center"/>
          </w:tcPr>
          <w:p w14:paraId="1062113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（2.1）做好养殖业的粪污利用工程，建设以处理后养殖废水贮存池为核心的养殖废水农田利用工程。</w:t>
            </w:r>
          </w:p>
          <w:p w14:paraId="0C10DD0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禁燃区域内全时段禁止燃放烟花爆竹。县委、县政府批准的重大活动，需要在禁燃区域燃放烟花爆竹的，由主办单位依法依程序向相关部门提出申请，经批准同意后，方可按批准内容组织燃放，同时应提前向社会公告。</w:t>
            </w:r>
          </w:p>
          <w:p w14:paraId="104D9D3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（2.3）持续推进生活垃圾无害化处置。建设垃圾中转站，垃圾处理站，餐厨垃圾治理设施，购置相关车辆和设备，配套附属工程，对双牌县城市生活垃圾进行治理，实现综合利用。</w:t>
            </w:r>
          </w:p>
        </w:tc>
        <w:tc>
          <w:tcPr>
            <w:tcW w:w="4417" w:type="dxa"/>
            <w:gridSpan w:val="2"/>
            <w:vMerge w:val="continue"/>
            <w:vAlign w:val="center"/>
          </w:tcPr>
          <w:p w14:paraId="5C0B1340">
            <w:pPr>
              <w:widowControl/>
              <w:jc w:val="left"/>
              <w:rPr>
                <w:rFonts w:ascii="Times New Roman" w:hAnsi="Times New Roman" w:eastAsia="仿宋" w:cs="Times New Roman"/>
                <w:szCs w:val="21"/>
              </w:rPr>
            </w:pPr>
          </w:p>
        </w:tc>
      </w:tr>
      <w:tr w14:paraId="39E7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AFC00F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42" w:type="dxa"/>
            <w:gridSpan w:val="9"/>
            <w:vAlign w:val="center"/>
          </w:tcPr>
          <w:p w14:paraId="1D2931E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（3.1）建立健全地下水污染突发事件应急预案和技术储备体系。制定《饮用水水源突发环境事件应急预案》。</w:t>
            </w:r>
          </w:p>
        </w:tc>
        <w:tc>
          <w:tcPr>
            <w:tcW w:w="4417" w:type="dxa"/>
            <w:gridSpan w:val="2"/>
            <w:vMerge w:val="continue"/>
            <w:vAlign w:val="center"/>
          </w:tcPr>
          <w:p w14:paraId="6964D90D">
            <w:pPr>
              <w:widowControl/>
              <w:jc w:val="left"/>
              <w:rPr>
                <w:rFonts w:ascii="Times New Roman" w:hAnsi="Times New Roman" w:eastAsia="仿宋" w:cs="Times New Roman"/>
                <w:szCs w:val="21"/>
              </w:rPr>
            </w:pPr>
          </w:p>
        </w:tc>
      </w:tr>
      <w:tr w14:paraId="65E3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CC5825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42" w:type="dxa"/>
            <w:gridSpan w:val="9"/>
            <w:vAlign w:val="center"/>
          </w:tcPr>
          <w:p w14:paraId="66733CF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5C345AC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（4.1.1）完成高污染燃料禁燃区优化调整，扩大高污染燃料禁燃区范围，细化高污染燃料管控措施。</w:t>
            </w:r>
          </w:p>
          <w:p w14:paraId="69562AFB">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（4.1.2）</w:t>
            </w:r>
            <w:r>
              <w:rPr>
                <w:rFonts w:ascii="Times New Roman" w:hAnsi="Times New Roman" w:eastAsia="仿宋" w:cs="Times New Roman"/>
                <w:kern w:val="0"/>
                <w:szCs w:val="21"/>
              </w:rPr>
              <w:t>着力优化能源结构，包括严格控制煤炭消费总量、加快燃煤锅炉综合整治、优先使用和推广可再生能源、积极推广利用天然气和推进燃油油品质量升级。</w:t>
            </w:r>
          </w:p>
          <w:p w14:paraId="574BB02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6E1AFB5B">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到2025年，双牌县指标应符合相应行政区域的管控要求，双牌县用水总量为8025万立方米以内，农业用水总量控制在6038万m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，万元地区生产总值用水量、万元工业增加值用水量分别比2020年降低8.00%、8.87%，农田灌溉水有效利用系数为0.557。</w:t>
            </w:r>
          </w:p>
          <w:p w14:paraId="2B070A20">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16E1AD0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7953.88公顷（其中泷泊镇2381.58公顷），永久基本农田保护面积不低于7035.46公顷（其中泷泊镇1974.22公顷），全县生态保护红线面积不低于33936.85公顷；全县划定城镇开发边界1199.92公顷，划定城镇发展区 1249.55公顷，乡村发展区81704.61公顷，矿产能源发展区54.84公顷。</w:t>
            </w:r>
          </w:p>
        </w:tc>
        <w:tc>
          <w:tcPr>
            <w:tcW w:w="4417" w:type="dxa"/>
            <w:gridSpan w:val="2"/>
            <w:vMerge w:val="continue"/>
            <w:vAlign w:val="center"/>
          </w:tcPr>
          <w:p w14:paraId="4619B2F3">
            <w:pPr>
              <w:widowControl/>
              <w:jc w:val="left"/>
              <w:rPr>
                <w:rFonts w:ascii="Times New Roman" w:hAnsi="Times New Roman" w:eastAsia="仿宋" w:cs="Times New Roman"/>
                <w:szCs w:val="21"/>
              </w:rPr>
            </w:pPr>
          </w:p>
        </w:tc>
      </w:tr>
    </w:tbl>
    <w:p w14:paraId="363CB0B9">
      <w:pPr>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838"/>
        <w:gridCol w:w="425"/>
        <w:gridCol w:w="426"/>
        <w:gridCol w:w="425"/>
        <w:gridCol w:w="749"/>
        <w:gridCol w:w="992"/>
        <w:gridCol w:w="1479"/>
        <w:gridCol w:w="1439"/>
        <w:gridCol w:w="1436"/>
        <w:gridCol w:w="1442"/>
        <w:gridCol w:w="2408"/>
      </w:tblGrid>
      <w:tr w14:paraId="1CD0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7AEB67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838" w:type="dxa"/>
            <w:vMerge w:val="restart"/>
            <w:vAlign w:val="center"/>
          </w:tcPr>
          <w:p w14:paraId="1CD4D1E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3"/>
            <w:vAlign w:val="center"/>
          </w:tcPr>
          <w:p w14:paraId="35030FC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49" w:type="dxa"/>
            <w:vMerge w:val="restart"/>
            <w:vAlign w:val="center"/>
          </w:tcPr>
          <w:p w14:paraId="774EBCA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1EBF69A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479" w:type="dxa"/>
            <w:vMerge w:val="restart"/>
            <w:vAlign w:val="center"/>
          </w:tcPr>
          <w:p w14:paraId="52C0F0A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439" w:type="dxa"/>
            <w:vMerge w:val="restart"/>
            <w:vAlign w:val="center"/>
          </w:tcPr>
          <w:p w14:paraId="39C8C0D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878" w:type="dxa"/>
            <w:gridSpan w:val="2"/>
            <w:vMerge w:val="restart"/>
            <w:vAlign w:val="center"/>
          </w:tcPr>
          <w:p w14:paraId="5A13AE6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408" w:type="dxa"/>
            <w:vMerge w:val="restart"/>
            <w:vAlign w:val="center"/>
          </w:tcPr>
          <w:p w14:paraId="1CA6160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1C7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6B22CBA7">
            <w:pPr>
              <w:widowControl/>
              <w:jc w:val="left"/>
              <w:rPr>
                <w:rFonts w:ascii="Times New Roman" w:hAnsi="Times New Roman" w:eastAsia="仿宋" w:cs="Times New Roman"/>
                <w:b/>
                <w:kern w:val="0"/>
                <w:szCs w:val="21"/>
              </w:rPr>
            </w:pPr>
          </w:p>
        </w:tc>
        <w:tc>
          <w:tcPr>
            <w:tcW w:w="1838" w:type="dxa"/>
            <w:vMerge w:val="continue"/>
            <w:vAlign w:val="center"/>
          </w:tcPr>
          <w:p w14:paraId="3482B245">
            <w:pPr>
              <w:widowControl/>
              <w:jc w:val="left"/>
              <w:rPr>
                <w:rFonts w:ascii="Times New Roman" w:hAnsi="Times New Roman" w:eastAsia="仿宋" w:cs="Times New Roman"/>
                <w:b/>
                <w:kern w:val="0"/>
                <w:szCs w:val="21"/>
              </w:rPr>
            </w:pPr>
          </w:p>
        </w:tc>
        <w:tc>
          <w:tcPr>
            <w:tcW w:w="425" w:type="dxa"/>
            <w:vAlign w:val="center"/>
          </w:tcPr>
          <w:p w14:paraId="12009E4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332387A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4673FD6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49" w:type="dxa"/>
            <w:vMerge w:val="continue"/>
            <w:vAlign w:val="center"/>
          </w:tcPr>
          <w:p w14:paraId="51965940">
            <w:pPr>
              <w:widowControl/>
              <w:jc w:val="left"/>
              <w:rPr>
                <w:rFonts w:ascii="Times New Roman" w:hAnsi="Times New Roman" w:eastAsia="仿宋" w:cs="Times New Roman"/>
                <w:b/>
                <w:kern w:val="0"/>
                <w:szCs w:val="21"/>
              </w:rPr>
            </w:pPr>
          </w:p>
        </w:tc>
        <w:tc>
          <w:tcPr>
            <w:tcW w:w="992" w:type="dxa"/>
            <w:vMerge w:val="continue"/>
            <w:tcBorders>
              <w:bottom w:val="single" w:color="auto" w:sz="4" w:space="0"/>
            </w:tcBorders>
            <w:vAlign w:val="center"/>
          </w:tcPr>
          <w:p w14:paraId="1D310038">
            <w:pPr>
              <w:widowControl/>
              <w:jc w:val="left"/>
              <w:rPr>
                <w:rFonts w:ascii="Times New Roman" w:hAnsi="Times New Roman" w:eastAsia="仿宋" w:cs="Times New Roman"/>
                <w:b/>
                <w:kern w:val="0"/>
                <w:szCs w:val="21"/>
              </w:rPr>
            </w:pPr>
          </w:p>
        </w:tc>
        <w:tc>
          <w:tcPr>
            <w:tcW w:w="1479" w:type="dxa"/>
            <w:vMerge w:val="continue"/>
            <w:tcBorders>
              <w:bottom w:val="single" w:color="auto" w:sz="4" w:space="0"/>
            </w:tcBorders>
            <w:vAlign w:val="center"/>
          </w:tcPr>
          <w:p w14:paraId="0EF77195">
            <w:pPr>
              <w:widowControl/>
              <w:jc w:val="left"/>
              <w:rPr>
                <w:rFonts w:ascii="Times New Roman" w:hAnsi="Times New Roman" w:eastAsia="仿宋" w:cs="Times New Roman"/>
                <w:b/>
                <w:kern w:val="0"/>
                <w:szCs w:val="21"/>
              </w:rPr>
            </w:pPr>
          </w:p>
        </w:tc>
        <w:tc>
          <w:tcPr>
            <w:tcW w:w="1439" w:type="dxa"/>
            <w:vMerge w:val="continue"/>
            <w:vAlign w:val="center"/>
          </w:tcPr>
          <w:p w14:paraId="139FA582">
            <w:pPr>
              <w:widowControl/>
              <w:jc w:val="left"/>
              <w:rPr>
                <w:rFonts w:ascii="Times New Roman" w:hAnsi="Times New Roman" w:eastAsia="仿宋" w:cs="Times New Roman"/>
                <w:b/>
                <w:kern w:val="0"/>
                <w:szCs w:val="21"/>
              </w:rPr>
            </w:pPr>
          </w:p>
        </w:tc>
        <w:tc>
          <w:tcPr>
            <w:tcW w:w="2878" w:type="dxa"/>
            <w:gridSpan w:val="2"/>
            <w:vMerge w:val="continue"/>
            <w:vAlign w:val="center"/>
          </w:tcPr>
          <w:p w14:paraId="7C037143">
            <w:pPr>
              <w:widowControl/>
              <w:jc w:val="left"/>
              <w:rPr>
                <w:rFonts w:ascii="Times New Roman" w:hAnsi="Times New Roman" w:eastAsia="仿宋" w:cs="Times New Roman"/>
                <w:b/>
                <w:kern w:val="0"/>
                <w:szCs w:val="21"/>
              </w:rPr>
            </w:pPr>
          </w:p>
        </w:tc>
        <w:tc>
          <w:tcPr>
            <w:tcW w:w="2408" w:type="dxa"/>
            <w:vMerge w:val="continue"/>
            <w:vAlign w:val="center"/>
          </w:tcPr>
          <w:p w14:paraId="50FCA9CB">
            <w:pPr>
              <w:widowControl/>
              <w:jc w:val="left"/>
              <w:rPr>
                <w:rFonts w:ascii="Times New Roman" w:hAnsi="Times New Roman" w:eastAsia="仿宋" w:cs="Times New Roman"/>
                <w:b/>
                <w:kern w:val="0"/>
                <w:szCs w:val="21"/>
              </w:rPr>
            </w:pPr>
          </w:p>
        </w:tc>
      </w:tr>
      <w:tr w14:paraId="7EB1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25BD4AF8">
            <w:pPr>
              <w:widowControl/>
              <w:jc w:val="center"/>
              <w:rPr>
                <w:rFonts w:ascii="Times New Roman" w:hAnsi="Times New Roman" w:eastAsia="仿宋" w:cs="Times New Roman"/>
                <w:kern w:val="0"/>
                <w:szCs w:val="21"/>
              </w:rPr>
            </w:pPr>
            <w:bookmarkStart w:id="32" w:name="_Hlk58574778"/>
            <w:r>
              <w:rPr>
                <w:rFonts w:ascii="Times New Roman" w:hAnsi="Times New Roman" w:eastAsia="仿宋" w:cs="Times New Roman"/>
                <w:szCs w:val="21"/>
              </w:rPr>
              <w:t>ZH43112330001</w:t>
            </w:r>
            <w:bookmarkEnd w:id="32"/>
          </w:p>
        </w:tc>
        <w:tc>
          <w:tcPr>
            <w:tcW w:w="1838" w:type="dxa"/>
            <w:vAlign w:val="center"/>
          </w:tcPr>
          <w:p w14:paraId="4FEA13D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泷泊镇/塘底乡/五里牌镇/五星岭乡</w:t>
            </w:r>
          </w:p>
        </w:tc>
        <w:tc>
          <w:tcPr>
            <w:tcW w:w="425" w:type="dxa"/>
            <w:vAlign w:val="center"/>
          </w:tcPr>
          <w:p w14:paraId="3D45034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782B6464">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05FD9DB5">
            <w:pPr>
              <w:widowControl/>
              <w:jc w:val="center"/>
              <w:rPr>
                <w:rFonts w:ascii="Times New Roman" w:hAnsi="Times New Roman" w:eastAsia="仿宋" w:cs="Times New Roman"/>
                <w:szCs w:val="21"/>
              </w:rPr>
            </w:pPr>
            <w:r>
              <w:rPr>
                <w:rFonts w:ascii="Times New Roman" w:hAnsi="Times New Roman" w:eastAsia="仿宋" w:cs="Times New Roman"/>
                <w:szCs w:val="21"/>
              </w:rPr>
              <w:t>双牌县</w:t>
            </w:r>
          </w:p>
        </w:tc>
        <w:tc>
          <w:tcPr>
            <w:tcW w:w="749" w:type="dxa"/>
            <w:vAlign w:val="center"/>
          </w:tcPr>
          <w:p w14:paraId="6CCCE84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92" w:type="dxa"/>
            <w:tcBorders>
              <w:top w:val="single" w:color="auto" w:sz="4" w:space="0"/>
              <w:left w:val="nil"/>
              <w:bottom w:val="single" w:color="auto" w:sz="4" w:space="0"/>
              <w:right w:val="single" w:color="auto" w:sz="4" w:space="0"/>
            </w:tcBorders>
            <w:shd w:val="clear" w:color="auto" w:fill="auto"/>
            <w:vAlign w:val="center"/>
          </w:tcPr>
          <w:p w14:paraId="717DC29A">
            <w:pPr>
              <w:widowControl/>
              <w:jc w:val="center"/>
              <w:rPr>
                <w:rFonts w:ascii="Times New Roman" w:hAnsi="Times New Roman" w:eastAsia="仿宋" w:cs="Times New Roman"/>
                <w:szCs w:val="21"/>
              </w:rPr>
            </w:pPr>
            <w:r>
              <w:rPr>
                <w:rFonts w:ascii="Times New Roman" w:hAnsi="Times New Roman" w:eastAsia="仿宋" w:cs="Times New Roman"/>
                <w:szCs w:val="21"/>
              </w:rPr>
              <w:t>566.61</w:t>
            </w:r>
          </w:p>
        </w:tc>
        <w:tc>
          <w:tcPr>
            <w:tcW w:w="1479" w:type="dxa"/>
            <w:tcBorders>
              <w:top w:val="single" w:color="auto" w:sz="4" w:space="0"/>
              <w:left w:val="single" w:color="auto" w:sz="4" w:space="0"/>
              <w:bottom w:val="single" w:color="auto" w:sz="4" w:space="0"/>
              <w:right w:val="nil"/>
            </w:tcBorders>
            <w:shd w:val="clear" w:color="auto" w:fill="auto"/>
            <w:vAlign w:val="center"/>
          </w:tcPr>
          <w:p w14:paraId="060107FA">
            <w:pPr>
              <w:widowControl/>
              <w:jc w:val="center"/>
              <w:rPr>
                <w:rFonts w:ascii="Times New Roman" w:hAnsi="Times New Roman" w:eastAsia="仿宋" w:cs="Times New Roman"/>
                <w:szCs w:val="21"/>
              </w:rPr>
            </w:pPr>
            <w:r>
              <w:rPr>
                <w:rFonts w:ascii="Times New Roman" w:hAnsi="Times New Roman" w:eastAsia="仿宋" w:cs="Times New Roman"/>
                <w:kern w:val="0"/>
                <w:szCs w:val="21"/>
              </w:rPr>
              <w:t>泷泊镇/塘底乡/五里牌镇/五星岭乡</w:t>
            </w:r>
          </w:p>
        </w:tc>
        <w:tc>
          <w:tcPr>
            <w:tcW w:w="1439" w:type="dxa"/>
            <w:vAlign w:val="center"/>
          </w:tcPr>
          <w:p w14:paraId="0D4FEC6F">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泷泊镇/五里牌镇：</w:t>
            </w:r>
            <w:r>
              <w:rPr>
                <w:rFonts w:ascii="Times New Roman" w:hAnsi="Times New Roman" w:eastAsia="仿宋" w:cs="Times New Roman"/>
                <w:kern w:val="0"/>
                <w:szCs w:val="21"/>
              </w:rPr>
              <w:t>城市化地区；</w:t>
            </w:r>
          </w:p>
          <w:p w14:paraId="749FA75E">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塘底乡/五星岭乡：</w:t>
            </w:r>
            <w:r>
              <w:rPr>
                <w:rFonts w:ascii="Times New Roman" w:hAnsi="Times New Roman" w:eastAsia="仿宋" w:cs="Times New Roman"/>
                <w:kern w:val="0"/>
                <w:szCs w:val="21"/>
              </w:rPr>
              <w:t>重点生态功能区</w:t>
            </w:r>
          </w:p>
        </w:tc>
        <w:tc>
          <w:tcPr>
            <w:tcW w:w="2878" w:type="dxa"/>
            <w:gridSpan w:val="2"/>
            <w:vAlign w:val="center"/>
          </w:tcPr>
          <w:p w14:paraId="7A749FE3">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泷泊镇、塘底乡：</w:t>
            </w:r>
            <w:r>
              <w:rPr>
                <w:rFonts w:ascii="Times New Roman" w:hAnsi="Times New Roman" w:eastAsia="仿宋" w:cs="Times New Roman"/>
                <w:kern w:val="0"/>
                <w:szCs w:val="21"/>
              </w:rPr>
              <w:t>农业、旅游业、养殖业、休闲康养、餐饮服务、风力发电、水力发电、农副产品深加工等。</w:t>
            </w:r>
          </w:p>
          <w:p w14:paraId="564DAF5D">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五里牌镇/五星岭乡：</w:t>
            </w:r>
            <w:r>
              <w:rPr>
                <w:rFonts w:ascii="Times New Roman" w:hAnsi="Times New Roman" w:eastAsia="仿宋" w:cs="Times New Roman"/>
                <w:kern w:val="0"/>
                <w:szCs w:val="21"/>
              </w:rPr>
              <w:t>农业、旅游业、养殖业、休闲康养、餐饮服务、风力发电、水力发电、农副产品深加工等。</w:t>
            </w:r>
          </w:p>
        </w:tc>
        <w:tc>
          <w:tcPr>
            <w:tcW w:w="2408" w:type="dxa"/>
            <w:vAlign w:val="center"/>
          </w:tcPr>
          <w:p w14:paraId="6BE4B7A2">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50B415C2">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0CCD30A6">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47BD2D9D">
            <w:pPr>
              <w:widowControl/>
              <w:jc w:val="left"/>
              <w:rPr>
                <w:rFonts w:ascii="Times New Roman" w:hAnsi="Times New Roman" w:eastAsia="仿宋" w:cs="Times New Roman"/>
                <w:kern w:val="0"/>
                <w:szCs w:val="21"/>
              </w:rPr>
            </w:pPr>
            <w:r>
              <w:rPr>
                <w:rFonts w:ascii="Times New Roman" w:hAnsi="Times New Roman" w:eastAsia="仿宋" w:cs="Times New Roman"/>
                <w:szCs w:val="21"/>
              </w:rPr>
              <w:t>永州市双牌县单江水库饮用水水源保护区、永州市双牌县潇水饮用水水源保护区、双牌日月湖国家湿地公园、湘江潇水双牌段光倒刺拟尖头鲌国家级水产种质资源保护区、</w:t>
            </w:r>
            <w:r>
              <w:rPr>
                <w:rFonts w:ascii="Times New Roman" w:hAnsi="Times New Roman" w:eastAsia="仿宋" w:cs="Times New Roman"/>
                <w:kern w:val="0"/>
                <w:szCs w:val="21"/>
              </w:rPr>
              <w:t>湖南双牌泷泊县级自然保护区。</w:t>
            </w:r>
          </w:p>
        </w:tc>
      </w:tr>
      <w:tr w14:paraId="538B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724B93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59" w:type="dxa"/>
            <w:gridSpan w:val="11"/>
            <w:vAlign w:val="center"/>
          </w:tcPr>
          <w:p w14:paraId="4C5CB3C6">
            <w:pPr>
              <w:widowControl/>
              <w:rPr>
                <w:rFonts w:ascii="Times New Roman" w:hAnsi="Times New Roman" w:eastAsia="仿宋" w:cs="Times New Roman"/>
                <w:szCs w:val="21"/>
              </w:rPr>
            </w:pPr>
            <w:r>
              <w:rPr>
                <w:rFonts w:ascii="Times New Roman" w:hAnsi="Times New Roman" w:eastAsia="仿宋" w:cs="Times New Roman"/>
                <w:b/>
                <w:bCs/>
                <w:szCs w:val="21"/>
              </w:rPr>
              <w:t>泷泊镇:</w:t>
            </w:r>
            <w:r>
              <w:rPr>
                <w:rFonts w:ascii="Times New Roman" w:hAnsi="Times New Roman" w:eastAsia="仿宋" w:cs="Times New Roman"/>
                <w:szCs w:val="21"/>
              </w:rPr>
              <w:t xml:space="preserve"> </w:t>
            </w:r>
          </w:p>
          <w:p w14:paraId="663F40D3">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三区三线生态红线/湿地公园/生物多样性保护功能重要区/森林公园/水土流失敏感区）；水环境优先保护区/水环境工业污染重点管控区/水环境一般管控区；大气环境优先保护区/大气环境高排放重点管控区/大气环境受体敏感重点管控区/大气环境布局敏感重点管控区/其他区域；农用地优先保护区/建设用地重点管控区/其他重点管控区/一般管控区</w:t>
            </w:r>
          </w:p>
          <w:p w14:paraId="76D41CC8">
            <w:pPr>
              <w:widowControl/>
              <w:rPr>
                <w:rFonts w:ascii="Times New Roman" w:hAnsi="Times New Roman" w:eastAsia="仿宋" w:cs="Times New Roman"/>
                <w:szCs w:val="21"/>
              </w:rPr>
            </w:pPr>
            <w:r>
              <w:rPr>
                <w:rFonts w:ascii="Times New Roman" w:hAnsi="Times New Roman" w:eastAsia="仿宋" w:cs="Times New Roman"/>
                <w:b/>
                <w:bCs/>
                <w:szCs w:val="21"/>
              </w:rPr>
              <w:t>塘底乡</w:t>
            </w:r>
            <w:r>
              <w:rPr>
                <w:rFonts w:ascii="Times New Roman" w:hAnsi="Times New Roman" w:eastAsia="仿宋" w:cs="Times New Roman"/>
                <w:szCs w:val="21"/>
              </w:rPr>
              <w:t>：</w:t>
            </w:r>
          </w:p>
          <w:p w14:paraId="214AB143">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水土保持功能重要区/生物多样性保护功能重要区/原生态红线）；水环境优先保护区/水环境一般管控区；大气环境优先保护区/大气环境弱扩散重点管控区/其他区域；农用地优先保护区/一般管控区</w:t>
            </w:r>
          </w:p>
          <w:p w14:paraId="69BC6924">
            <w:pPr>
              <w:widowControl/>
              <w:rPr>
                <w:rFonts w:ascii="Times New Roman" w:hAnsi="Times New Roman" w:eastAsia="仿宋" w:cs="Times New Roman"/>
                <w:szCs w:val="21"/>
              </w:rPr>
            </w:pPr>
            <w:r>
              <w:rPr>
                <w:rFonts w:ascii="Times New Roman" w:hAnsi="Times New Roman" w:eastAsia="仿宋" w:cs="Times New Roman"/>
                <w:b/>
                <w:bCs/>
                <w:szCs w:val="21"/>
              </w:rPr>
              <w:t>五里牌镇：</w:t>
            </w:r>
          </w:p>
          <w:p w14:paraId="7E2ED243">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水土流失敏感区/湿地公园/森林公园/生物多样性保护功能重要区）；水环境一般管控区；大气环境优先保护区/大气环境高排放重点管控区/大气环境受体敏感重点管控区/大气环境布局敏感重点管控区/其他区域；农用地优先保护区/建设用地重点管控区/其他重点管控区/一般管控区</w:t>
            </w:r>
          </w:p>
          <w:p w14:paraId="43354447">
            <w:pPr>
              <w:widowControl/>
              <w:rPr>
                <w:rFonts w:ascii="Times New Roman" w:hAnsi="Times New Roman" w:eastAsia="仿宋" w:cs="Times New Roman"/>
                <w:kern w:val="0"/>
                <w:szCs w:val="21"/>
              </w:rPr>
            </w:pPr>
            <w:r>
              <w:rPr>
                <w:rFonts w:ascii="Times New Roman" w:hAnsi="Times New Roman" w:eastAsia="仿宋" w:cs="Times New Roman"/>
                <w:b/>
                <w:bCs/>
                <w:szCs w:val="21"/>
              </w:rPr>
              <w:t>五星岭乡：</w:t>
            </w:r>
          </w:p>
          <w:p w14:paraId="40B33B52">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生物多样性保护功能重要区）；水环境优先保护区/水环境一般管控区；大气环境优先保护区/大气环境受体敏感重点管控区/其他区域；农用地优先保护区/建设用地重点管控区/其他重点管控区/一般管控区</w:t>
            </w:r>
          </w:p>
        </w:tc>
      </w:tr>
      <w:tr w14:paraId="173C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7AC9DD0">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209" w:type="dxa"/>
            <w:gridSpan w:val="9"/>
            <w:vAlign w:val="center"/>
          </w:tcPr>
          <w:p w14:paraId="6F77208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850" w:type="dxa"/>
            <w:gridSpan w:val="2"/>
            <w:vAlign w:val="center"/>
          </w:tcPr>
          <w:p w14:paraId="34D5D360">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61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CCAFB4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209" w:type="dxa"/>
            <w:gridSpan w:val="9"/>
            <w:vAlign w:val="center"/>
          </w:tcPr>
          <w:p w14:paraId="0E19DFD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（1.1）产业准入应严格执行国家、省级关于主体功能区划的环境保护及产业准入负面清单要求。</w:t>
            </w:r>
          </w:p>
          <w:p w14:paraId="0A13C4A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（1.2）畜禽养殖产业布局应符合《双牌县畜禽规模养殖“三区”划定工作方案》、《双牌县畜牧业发展“十四五”规划（2021-2025 年） 》。</w:t>
            </w:r>
          </w:p>
        </w:tc>
        <w:tc>
          <w:tcPr>
            <w:tcW w:w="3850" w:type="dxa"/>
            <w:gridSpan w:val="2"/>
            <w:vMerge w:val="restart"/>
            <w:vAlign w:val="center"/>
          </w:tcPr>
          <w:p w14:paraId="1D96E25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（1.2）双牌县人民政府办公室关于印发《双牌县畜禽规模养殖“三区”划定工作方案》的通知（双政办发〔2020〕2号）；</w:t>
            </w:r>
          </w:p>
          <w:p w14:paraId="46F0EA96">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（1.2）《双牌县畜牧业发展“十四五”规划（2021-2025 年） 》；</w:t>
            </w:r>
          </w:p>
          <w:p w14:paraId="012A33C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（2.1）《</w:t>
            </w:r>
            <w:bookmarkStart w:id="33" w:name="_Toc18331"/>
            <w:bookmarkStart w:id="34" w:name="_Toc19658"/>
            <w:bookmarkStart w:id="35" w:name="_Toc18144"/>
            <w:bookmarkStart w:id="36" w:name="_Toc1480"/>
            <w:r>
              <w:rPr>
                <w:rFonts w:ascii="Times New Roman" w:hAnsi="Times New Roman" w:eastAsia="仿宋" w:cs="Times New Roman"/>
                <w:bCs/>
                <w:szCs w:val="21"/>
              </w:rPr>
              <w:t>湖南省永州市</w:t>
            </w:r>
            <w:bookmarkEnd w:id="33"/>
            <w:bookmarkStart w:id="37" w:name="_Toc6555"/>
            <w:r>
              <w:rPr>
                <w:rFonts w:ascii="Times New Roman" w:hAnsi="Times New Roman" w:eastAsia="仿宋" w:cs="Times New Roman"/>
                <w:bCs/>
                <w:szCs w:val="21"/>
              </w:rPr>
              <w:t>双牌县“十四五”生态环境保护规划</w:t>
            </w:r>
            <w:bookmarkEnd w:id="34"/>
            <w:bookmarkEnd w:id="35"/>
            <w:bookmarkEnd w:id="36"/>
            <w:bookmarkEnd w:id="37"/>
            <w:bookmarkStart w:id="38" w:name="_Toc70232715"/>
            <w:bookmarkEnd w:id="38"/>
            <w:r>
              <w:rPr>
                <w:rFonts w:ascii="Times New Roman" w:hAnsi="Times New Roman" w:eastAsia="仿宋" w:cs="Times New Roman"/>
                <w:szCs w:val="21"/>
              </w:rPr>
              <w:t>》；</w:t>
            </w:r>
          </w:p>
          <w:p w14:paraId="160D70E1">
            <w:pPr>
              <w:tabs>
                <w:tab w:val="left" w:pos="1021"/>
              </w:tabs>
              <w:ind w:hanging="1"/>
              <w:rPr>
                <w:rFonts w:ascii="Times New Roman" w:hAnsi="Times New Roman" w:eastAsia="仿宋" w:cs="Times New Roman"/>
                <w:b/>
                <w:bCs/>
                <w:szCs w:val="21"/>
              </w:rPr>
            </w:pPr>
            <w:r>
              <w:rPr>
                <w:rFonts w:ascii="Times New Roman" w:hAnsi="Times New Roman" w:eastAsia="仿宋" w:cs="Times New Roman"/>
                <w:szCs w:val="21"/>
              </w:rPr>
              <w:t>（2.2）《</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3803580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（2.3）双牌县人民政府《关于禁止露天焚烧的通告》（双政函〔20202〕49号）。</w:t>
            </w:r>
          </w:p>
          <w:p w14:paraId="38B4D00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（2.4）《</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1F48FD0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w:t>
            </w:r>
            <w:r>
              <w:rPr>
                <w:rFonts w:ascii="Times New Roman" w:hAnsi="Times New Roman" w:eastAsia="仿宋" w:cs="Times New Roman"/>
                <w:bCs/>
                <w:szCs w:val="21"/>
              </w:rPr>
              <w:t>湖南省永州市双牌县“十四五”生态环境保护规划</w:t>
            </w:r>
            <w:r>
              <w:rPr>
                <w:rFonts w:ascii="Times New Roman" w:hAnsi="Times New Roman" w:eastAsia="仿宋" w:cs="Times New Roman"/>
                <w:szCs w:val="21"/>
              </w:rPr>
              <w:t>》；</w:t>
            </w:r>
          </w:p>
          <w:p w14:paraId="2F36526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p w14:paraId="37EA8CB1">
            <w:pPr>
              <w:tabs>
                <w:tab w:val="left" w:pos="1021"/>
              </w:tabs>
              <w:ind w:hanging="1"/>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20D5000E">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bCs/>
                <w:szCs w:val="21"/>
              </w:rPr>
              <w:t>双牌县国土空间总体规划（2021-2035 年）</w:t>
            </w:r>
            <w:r>
              <w:rPr>
                <w:rFonts w:ascii="Times New Roman" w:hAnsi="Times New Roman" w:eastAsia="仿宋" w:cs="Times New Roman"/>
                <w:szCs w:val="21"/>
              </w:rPr>
              <w:t>》。</w:t>
            </w:r>
          </w:p>
        </w:tc>
      </w:tr>
      <w:tr w14:paraId="0D56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FD5FAB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209" w:type="dxa"/>
            <w:gridSpan w:val="9"/>
            <w:vAlign w:val="center"/>
          </w:tcPr>
          <w:p w14:paraId="74124DD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（2.1）做好养殖业的粪污利用工程，建设以处理后养殖废水贮存池为核心的养殖废水农田利用工程。</w:t>
            </w:r>
            <w:bookmarkStart w:id="39" w:name="_Hlk58574799"/>
          </w:p>
          <w:p w14:paraId="1704B68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（2.2）完善生活污水处理设施及管网。“十四五”期间对老城区污水管网实施改造，开展雨污分流工程；加大地下管网综合改造，重点完成城区管网的雨污分流改造、污水管网检测和修复，以及配套设施改造等。</w:t>
            </w:r>
          </w:p>
          <w:bookmarkEnd w:id="39"/>
          <w:p w14:paraId="390DD7C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（2.3）加强对露天焚烧秸秆的管理。</w:t>
            </w:r>
          </w:p>
          <w:p w14:paraId="5A18C40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持续推进生活垃圾无害化处置。城区建立行之有效的生活垃圾分类收运处理运行机制和实施保障体系，形成覆盖城乡的垃圾收运系统。建设垃圾中转站，垃圾处理站，餐厨垃圾治理设施，购置相关车辆和设备，配套附属工程，对双牌县城市生活垃圾进行治理，实现综合利用。</w:t>
            </w:r>
          </w:p>
        </w:tc>
        <w:tc>
          <w:tcPr>
            <w:tcW w:w="3850" w:type="dxa"/>
            <w:gridSpan w:val="2"/>
            <w:vMerge w:val="continue"/>
            <w:vAlign w:val="center"/>
          </w:tcPr>
          <w:p w14:paraId="2F862180">
            <w:pPr>
              <w:widowControl/>
              <w:jc w:val="left"/>
              <w:rPr>
                <w:rFonts w:ascii="Times New Roman" w:hAnsi="Times New Roman" w:eastAsia="仿宋" w:cs="Times New Roman"/>
                <w:szCs w:val="21"/>
              </w:rPr>
            </w:pPr>
          </w:p>
        </w:tc>
      </w:tr>
      <w:tr w14:paraId="44C9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97D5B6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209" w:type="dxa"/>
            <w:gridSpan w:val="9"/>
            <w:vAlign w:val="center"/>
          </w:tcPr>
          <w:p w14:paraId="6CB66AE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（3.1）建立健全地下水污染突发事件应急预案和技术储备体系。制定《饮用水水源突发环境事件应急预案》。</w:t>
            </w:r>
          </w:p>
        </w:tc>
        <w:tc>
          <w:tcPr>
            <w:tcW w:w="3850" w:type="dxa"/>
            <w:gridSpan w:val="2"/>
            <w:vMerge w:val="continue"/>
            <w:vAlign w:val="center"/>
          </w:tcPr>
          <w:p w14:paraId="45CE3C6C">
            <w:pPr>
              <w:widowControl/>
              <w:jc w:val="left"/>
              <w:rPr>
                <w:rFonts w:ascii="Times New Roman" w:hAnsi="Times New Roman" w:eastAsia="仿宋" w:cs="Times New Roman"/>
                <w:szCs w:val="21"/>
              </w:rPr>
            </w:pPr>
          </w:p>
        </w:tc>
      </w:tr>
      <w:tr w14:paraId="018C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5CD7EC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209" w:type="dxa"/>
            <w:gridSpan w:val="9"/>
            <w:vAlign w:val="center"/>
          </w:tcPr>
          <w:p w14:paraId="3B96D353">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1FB6569">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着力优化能源结构，包括严格控制煤炭消费总量、加快燃煤锅炉综合整治、优先使用和推广可再生能源、积极推广利用天然气和推进燃油油品质量升级。</w:t>
            </w:r>
          </w:p>
          <w:p w14:paraId="1C66F0C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2D48F1CF">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到2025年，双牌县指标应符合相应行政区域的管控要求，双牌县用水总量为8025万立方米以内，农业用水总量控制在6038万m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，万元地区生产总值用水量、万元工业增加值用水量分别比2020年降低8.00%、8.87%，农田灌溉水有效利用系数为0.557。</w:t>
            </w:r>
          </w:p>
          <w:p w14:paraId="20D5A3F8">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3B58C6F4">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规划到2035 年，全县耕地保有量不低于7953.88公顷（其中泷泊镇、塘底乡、五里牌镇、五星岭乡2381.58、255.08、820.2、165.12公顷），永久基本农田保护面积不低于7035.46公顷（其中泷泊镇、塘底乡、五里牌镇、五星岭乡1974.22、226.65、721.94、145.96公顷），全县生态保护红线面积不低于33936.85公顷；全县划定城镇开发边界1199.92公顷，划定城镇发展区 1249.55公顷，乡村发展区81704.61公顷，矿产能源发展区54.84公顷。</w:t>
            </w:r>
          </w:p>
        </w:tc>
        <w:tc>
          <w:tcPr>
            <w:tcW w:w="3850" w:type="dxa"/>
            <w:gridSpan w:val="2"/>
            <w:vMerge w:val="continue"/>
            <w:vAlign w:val="center"/>
          </w:tcPr>
          <w:p w14:paraId="4D180972">
            <w:pPr>
              <w:widowControl/>
              <w:jc w:val="left"/>
              <w:rPr>
                <w:rFonts w:ascii="Times New Roman" w:hAnsi="Times New Roman" w:eastAsia="仿宋" w:cs="Times New Roman"/>
                <w:szCs w:val="21"/>
              </w:rPr>
            </w:pPr>
          </w:p>
        </w:tc>
      </w:tr>
    </w:tbl>
    <w:p w14:paraId="0F267186">
      <w:pPr>
        <w:rPr>
          <w:rFonts w:ascii="Times New Roman" w:hAnsi="Times New Roman" w:eastAsia="仿宋" w:cs="Times New Roman"/>
          <w:szCs w:val="21"/>
        </w:rPr>
      </w:pPr>
    </w:p>
    <w:p w14:paraId="02CCDF89">
      <w:pPr>
        <w:pStyle w:val="19"/>
        <w:spacing w:after="0"/>
        <w:rPr>
          <w:rFonts w:eastAsia="仿宋"/>
          <w:szCs w:val="21"/>
        </w:rPr>
      </w:pPr>
    </w:p>
    <w:p w14:paraId="2E0FD483">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5D211663">
      <w:pPr>
        <w:spacing w:line="348" w:lineRule="auto"/>
        <w:jc w:val="center"/>
        <w:outlineLvl w:val="0"/>
        <w:rPr>
          <w:rFonts w:ascii="Times New Roman" w:hAnsi="Times New Roman" w:eastAsia="仿宋" w:cs="Times New Roman"/>
          <w:b/>
          <w:szCs w:val="21"/>
        </w:rPr>
      </w:pPr>
      <w:bookmarkStart w:id="40" w:name="_Toc160709115"/>
      <w:bookmarkStart w:id="41" w:name="_Toc30936"/>
      <w:bookmarkStart w:id="42" w:name="_Toc20484773"/>
      <w:bookmarkStart w:id="43" w:name="_Toc58452425"/>
      <w:bookmarkStart w:id="44" w:name="_Toc14419468"/>
      <w:r>
        <w:rPr>
          <w:rFonts w:ascii="Times New Roman" w:hAnsi="Times New Roman" w:eastAsia="仿宋" w:cs="Times New Roman"/>
          <w:b/>
          <w:szCs w:val="21"/>
        </w:rPr>
        <w:t>6  道县</w:t>
      </w:r>
      <w:bookmarkEnd w:id="40"/>
      <w:bookmarkEnd w:id="41"/>
      <w:bookmarkEnd w:id="42"/>
      <w:bookmarkEnd w:id="43"/>
      <w:bookmarkEnd w:id="44"/>
    </w:p>
    <w:tbl>
      <w:tblPr>
        <w:tblStyle w:val="21"/>
        <w:tblW w:w="13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325"/>
        <w:gridCol w:w="656"/>
        <w:gridCol w:w="681"/>
        <w:gridCol w:w="736"/>
        <w:gridCol w:w="1101"/>
        <w:gridCol w:w="1098"/>
        <w:gridCol w:w="1391"/>
        <w:gridCol w:w="2149"/>
        <w:gridCol w:w="1293"/>
        <w:gridCol w:w="2341"/>
      </w:tblGrid>
      <w:tr w14:paraId="578A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dxa"/>
            <w:vMerge w:val="restart"/>
            <w:vAlign w:val="center"/>
          </w:tcPr>
          <w:p w14:paraId="6D961419">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环境管控单元编码</w:t>
            </w:r>
          </w:p>
        </w:tc>
        <w:tc>
          <w:tcPr>
            <w:tcW w:w="1325" w:type="dxa"/>
            <w:vMerge w:val="restart"/>
            <w:vAlign w:val="center"/>
          </w:tcPr>
          <w:p w14:paraId="447F9A85">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单元名称</w:t>
            </w:r>
          </w:p>
        </w:tc>
        <w:tc>
          <w:tcPr>
            <w:tcW w:w="2073" w:type="dxa"/>
            <w:gridSpan w:val="3"/>
            <w:vAlign w:val="center"/>
          </w:tcPr>
          <w:p w14:paraId="023F09C9">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行政区划</w:t>
            </w:r>
          </w:p>
        </w:tc>
        <w:tc>
          <w:tcPr>
            <w:tcW w:w="1101" w:type="dxa"/>
            <w:vMerge w:val="restart"/>
            <w:vAlign w:val="center"/>
          </w:tcPr>
          <w:p w14:paraId="3F84D72C">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单元分类</w:t>
            </w:r>
          </w:p>
        </w:tc>
        <w:tc>
          <w:tcPr>
            <w:tcW w:w="1098" w:type="dxa"/>
            <w:vMerge w:val="restart"/>
            <w:vAlign w:val="center"/>
          </w:tcPr>
          <w:p w14:paraId="6DAA1163">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单元面积（km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391" w:type="dxa"/>
            <w:vMerge w:val="restart"/>
            <w:vAlign w:val="center"/>
          </w:tcPr>
          <w:p w14:paraId="0032BEE5">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涉及乡镇</w:t>
            </w:r>
          </w:p>
        </w:tc>
        <w:tc>
          <w:tcPr>
            <w:tcW w:w="2149" w:type="dxa"/>
            <w:vMerge w:val="restart"/>
            <w:vAlign w:val="center"/>
          </w:tcPr>
          <w:p w14:paraId="5444401A">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主体功能定位</w:t>
            </w:r>
          </w:p>
        </w:tc>
        <w:tc>
          <w:tcPr>
            <w:tcW w:w="1293" w:type="dxa"/>
            <w:vMerge w:val="restart"/>
            <w:vAlign w:val="center"/>
          </w:tcPr>
          <w:p w14:paraId="5F538EA6">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经济产业布局</w:t>
            </w:r>
          </w:p>
        </w:tc>
        <w:tc>
          <w:tcPr>
            <w:tcW w:w="2341" w:type="dxa"/>
            <w:vMerge w:val="restart"/>
            <w:vAlign w:val="center"/>
          </w:tcPr>
          <w:p w14:paraId="2710539D">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主要环境问题</w:t>
            </w:r>
          </w:p>
        </w:tc>
      </w:tr>
      <w:tr w14:paraId="41FD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1166" w:type="dxa"/>
            <w:vMerge w:val="continue"/>
            <w:vAlign w:val="center"/>
          </w:tcPr>
          <w:p w14:paraId="706FA63B">
            <w:pPr>
              <w:jc w:val="center"/>
              <w:rPr>
                <w:rFonts w:ascii="Times New Roman" w:hAnsi="Times New Roman" w:eastAsia="仿宋" w:cs="Times New Roman"/>
                <w:kern w:val="0"/>
                <w:szCs w:val="21"/>
              </w:rPr>
            </w:pPr>
          </w:p>
        </w:tc>
        <w:tc>
          <w:tcPr>
            <w:tcW w:w="1325" w:type="dxa"/>
            <w:vMerge w:val="continue"/>
            <w:vAlign w:val="center"/>
          </w:tcPr>
          <w:p w14:paraId="197A449D">
            <w:pPr>
              <w:jc w:val="center"/>
              <w:rPr>
                <w:rFonts w:ascii="Times New Roman" w:hAnsi="Times New Roman" w:eastAsia="仿宋" w:cs="Times New Roman"/>
                <w:kern w:val="0"/>
                <w:szCs w:val="21"/>
              </w:rPr>
            </w:pPr>
          </w:p>
        </w:tc>
        <w:tc>
          <w:tcPr>
            <w:tcW w:w="656" w:type="dxa"/>
            <w:vAlign w:val="center"/>
          </w:tcPr>
          <w:p w14:paraId="188A5B4B">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省</w:t>
            </w:r>
          </w:p>
        </w:tc>
        <w:tc>
          <w:tcPr>
            <w:tcW w:w="681" w:type="dxa"/>
            <w:vAlign w:val="center"/>
          </w:tcPr>
          <w:p w14:paraId="4832B926">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市</w:t>
            </w:r>
          </w:p>
        </w:tc>
        <w:tc>
          <w:tcPr>
            <w:tcW w:w="736" w:type="dxa"/>
            <w:vAlign w:val="center"/>
          </w:tcPr>
          <w:p w14:paraId="0B92539C">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县</w:t>
            </w:r>
          </w:p>
        </w:tc>
        <w:tc>
          <w:tcPr>
            <w:tcW w:w="1101" w:type="dxa"/>
            <w:vMerge w:val="continue"/>
          </w:tcPr>
          <w:p w14:paraId="20C6F76F">
            <w:pPr>
              <w:rPr>
                <w:rFonts w:ascii="Times New Roman" w:hAnsi="Times New Roman" w:eastAsia="仿宋" w:cs="Times New Roman"/>
                <w:kern w:val="0"/>
                <w:szCs w:val="21"/>
              </w:rPr>
            </w:pPr>
          </w:p>
        </w:tc>
        <w:tc>
          <w:tcPr>
            <w:tcW w:w="1098" w:type="dxa"/>
            <w:vMerge w:val="continue"/>
          </w:tcPr>
          <w:p w14:paraId="6DD85197">
            <w:pPr>
              <w:rPr>
                <w:rFonts w:ascii="Times New Roman" w:hAnsi="Times New Roman" w:eastAsia="仿宋" w:cs="Times New Roman"/>
                <w:kern w:val="0"/>
                <w:szCs w:val="21"/>
              </w:rPr>
            </w:pPr>
          </w:p>
        </w:tc>
        <w:tc>
          <w:tcPr>
            <w:tcW w:w="1391" w:type="dxa"/>
            <w:vMerge w:val="continue"/>
          </w:tcPr>
          <w:p w14:paraId="5C1814BD">
            <w:pPr>
              <w:rPr>
                <w:rFonts w:ascii="Times New Roman" w:hAnsi="Times New Roman" w:eastAsia="仿宋" w:cs="Times New Roman"/>
                <w:kern w:val="0"/>
                <w:szCs w:val="21"/>
              </w:rPr>
            </w:pPr>
          </w:p>
        </w:tc>
        <w:tc>
          <w:tcPr>
            <w:tcW w:w="2149" w:type="dxa"/>
            <w:vMerge w:val="continue"/>
          </w:tcPr>
          <w:p w14:paraId="1013EBA2">
            <w:pPr>
              <w:rPr>
                <w:rFonts w:ascii="Times New Roman" w:hAnsi="Times New Roman" w:eastAsia="仿宋" w:cs="Times New Roman"/>
                <w:kern w:val="0"/>
                <w:szCs w:val="21"/>
              </w:rPr>
            </w:pPr>
          </w:p>
        </w:tc>
        <w:tc>
          <w:tcPr>
            <w:tcW w:w="1293" w:type="dxa"/>
            <w:vMerge w:val="continue"/>
          </w:tcPr>
          <w:p w14:paraId="4ECB06B7">
            <w:pPr>
              <w:rPr>
                <w:rFonts w:ascii="Times New Roman" w:hAnsi="Times New Roman" w:eastAsia="仿宋" w:cs="Times New Roman"/>
                <w:kern w:val="0"/>
                <w:szCs w:val="21"/>
              </w:rPr>
            </w:pPr>
          </w:p>
        </w:tc>
        <w:tc>
          <w:tcPr>
            <w:tcW w:w="2341" w:type="dxa"/>
            <w:vMerge w:val="continue"/>
          </w:tcPr>
          <w:p w14:paraId="45197D15">
            <w:pPr>
              <w:rPr>
                <w:rFonts w:ascii="Times New Roman" w:hAnsi="Times New Roman" w:eastAsia="仿宋" w:cs="Times New Roman"/>
                <w:kern w:val="0"/>
                <w:szCs w:val="21"/>
              </w:rPr>
            </w:pPr>
          </w:p>
        </w:tc>
      </w:tr>
      <w:tr w14:paraId="31EB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1166" w:type="dxa"/>
            <w:vAlign w:val="center"/>
          </w:tcPr>
          <w:p w14:paraId="2F26144E">
            <w:pPr>
              <w:rPr>
                <w:rFonts w:ascii="Times New Roman" w:hAnsi="Times New Roman" w:eastAsia="仿宋" w:cs="Times New Roman"/>
                <w:kern w:val="0"/>
                <w:szCs w:val="21"/>
              </w:rPr>
            </w:pPr>
            <w:r>
              <w:rPr>
                <w:rFonts w:ascii="Times New Roman" w:hAnsi="Times New Roman" w:eastAsia="仿宋" w:cs="Times New Roman"/>
                <w:kern w:val="0"/>
                <w:szCs w:val="21"/>
              </w:rPr>
              <w:t>ZH43112410001</w:t>
            </w:r>
          </w:p>
        </w:tc>
        <w:tc>
          <w:tcPr>
            <w:tcW w:w="1325" w:type="dxa"/>
            <w:vAlign w:val="center"/>
          </w:tcPr>
          <w:p w14:paraId="1C0801D3">
            <w:pPr>
              <w:rPr>
                <w:rFonts w:ascii="Times New Roman" w:hAnsi="Times New Roman" w:eastAsia="仿宋" w:cs="Times New Roman"/>
                <w:kern w:val="0"/>
                <w:szCs w:val="21"/>
              </w:rPr>
            </w:pPr>
            <w:r>
              <w:rPr>
                <w:rFonts w:ascii="Times New Roman" w:hAnsi="Times New Roman" w:eastAsia="仿宋" w:cs="Times New Roman"/>
                <w:kern w:val="0"/>
                <w:szCs w:val="21"/>
              </w:rPr>
              <w:t>柑子园镇</w:t>
            </w:r>
          </w:p>
        </w:tc>
        <w:tc>
          <w:tcPr>
            <w:tcW w:w="656" w:type="dxa"/>
            <w:vAlign w:val="center"/>
          </w:tcPr>
          <w:p w14:paraId="7A3E9FCF">
            <w:pP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81" w:type="dxa"/>
            <w:vAlign w:val="center"/>
          </w:tcPr>
          <w:p w14:paraId="6150CCC2">
            <w:pP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736" w:type="dxa"/>
            <w:vAlign w:val="center"/>
          </w:tcPr>
          <w:p w14:paraId="0A93C78D">
            <w:pPr>
              <w:rPr>
                <w:rFonts w:ascii="Times New Roman" w:hAnsi="Times New Roman" w:eastAsia="仿宋" w:cs="Times New Roman"/>
                <w:kern w:val="0"/>
                <w:szCs w:val="21"/>
              </w:rPr>
            </w:pPr>
            <w:r>
              <w:rPr>
                <w:rFonts w:ascii="Times New Roman" w:hAnsi="Times New Roman" w:eastAsia="仿宋" w:cs="Times New Roman"/>
                <w:kern w:val="0"/>
                <w:szCs w:val="21"/>
              </w:rPr>
              <w:t>道县</w:t>
            </w:r>
          </w:p>
        </w:tc>
        <w:tc>
          <w:tcPr>
            <w:tcW w:w="1101" w:type="dxa"/>
            <w:vAlign w:val="center"/>
          </w:tcPr>
          <w:p w14:paraId="25726C86">
            <w:pP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098" w:type="dxa"/>
            <w:vAlign w:val="center"/>
          </w:tcPr>
          <w:p w14:paraId="25E1881E">
            <w:pPr>
              <w:widowControl/>
              <w:rPr>
                <w:rFonts w:ascii="Times New Roman" w:hAnsi="Times New Roman" w:eastAsia="仿宋" w:cs="Times New Roman"/>
                <w:kern w:val="0"/>
                <w:szCs w:val="21"/>
              </w:rPr>
            </w:pPr>
            <w:r>
              <w:rPr>
                <w:rFonts w:ascii="Times New Roman" w:hAnsi="Times New Roman" w:eastAsia="仿宋" w:cs="Times New Roman"/>
                <w:kern w:val="0"/>
                <w:szCs w:val="21"/>
              </w:rPr>
              <w:t>79.98</w:t>
            </w:r>
          </w:p>
        </w:tc>
        <w:tc>
          <w:tcPr>
            <w:tcW w:w="1391" w:type="dxa"/>
            <w:vAlign w:val="center"/>
          </w:tcPr>
          <w:p w14:paraId="6942152D">
            <w:pPr>
              <w:rPr>
                <w:rFonts w:ascii="Times New Roman" w:hAnsi="Times New Roman" w:eastAsia="仿宋" w:cs="Times New Roman"/>
                <w:kern w:val="0"/>
                <w:szCs w:val="21"/>
              </w:rPr>
            </w:pPr>
            <w:r>
              <w:rPr>
                <w:rFonts w:ascii="Times New Roman" w:hAnsi="Times New Roman" w:eastAsia="仿宋" w:cs="Times New Roman"/>
                <w:kern w:val="0"/>
                <w:szCs w:val="21"/>
              </w:rPr>
              <w:t>柑子园镇</w:t>
            </w:r>
          </w:p>
        </w:tc>
        <w:tc>
          <w:tcPr>
            <w:tcW w:w="2149" w:type="dxa"/>
            <w:vAlign w:val="center"/>
          </w:tcPr>
          <w:p w14:paraId="559C58D0">
            <w:pPr>
              <w:rPr>
                <w:rFonts w:ascii="Times New Roman" w:hAnsi="Times New Roman" w:eastAsia="仿宋" w:cs="Times New Roman"/>
                <w:kern w:val="0"/>
                <w:szCs w:val="21"/>
              </w:rPr>
            </w:pPr>
            <w:r>
              <w:rPr>
                <w:rFonts w:ascii="Times New Roman" w:hAnsi="Times New Roman" w:eastAsia="仿宋" w:cs="Times New Roman"/>
                <w:kern w:val="0"/>
                <w:szCs w:val="21"/>
              </w:rPr>
              <w:t>农产品主产区</w:t>
            </w:r>
          </w:p>
        </w:tc>
        <w:tc>
          <w:tcPr>
            <w:tcW w:w="1293" w:type="dxa"/>
            <w:vAlign w:val="center"/>
          </w:tcPr>
          <w:p w14:paraId="2815DB9C">
            <w:pPr>
              <w:rPr>
                <w:rFonts w:ascii="Times New Roman" w:hAnsi="Times New Roman" w:eastAsia="仿宋" w:cs="Times New Roman"/>
                <w:kern w:val="0"/>
                <w:szCs w:val="21"/>
              </w:rPr>
            </w:pPr>
            <w:r>
              <w:rPr>
                <w:rFonts w:ascii="Times New Roman" w:hAnsi="Times New Roman" w:eastAsia="仿宋" w:cs="Times New Roman"/>
                <w:kern w:val="0"/>
                <w:szCs w:val="21"/>
              </w:rPr>
              <w:t>农业、旅游业、种植业。</w:t>
            </w:r>
          </w:p>
        </w:tc>
        <w:tc>
          <w:tcPr>
            <w:tcW w:w="2341" w:type="dxa"/>
            <w:vAlign w:val="center"/>
          </w:tcPr>
          <w:p w14:paraId="766C7581">
            <w:pPr>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48B70EAB">
            <w:pPr>
              <w:jc w:val="left"/>
              <w:rPr>
                <w:rFonts w:ascii="Times New Roman" w:hAnsi="Times New Roman" w:eastAsia="仿宋" w:cs="Times New Roman"/>
                <w:kern w:val="0"/>
                <w:szCs w:val="21"/>
              </w:rPr>
            </w:pPr>
            <w:r>
              <w:rPr>
                <w:rFonts w:ascii="Times New Roman" w:hAnsi="Times New Roman" w:eastAsia="仿宋" w:cs="Times New Roman"/>
                <w:szCs w:val="21"/>
              </w:rPr>
              <w:t>无明显环境问题</w:t>
            </w:r>
            <w:r>
              <w:rPr>
                <w:rFonts w:ascii="Times New Roman" w:hAnsi="Times New Roman" w:eastAsia="仿宋" w:cs="Times New Roman"/>
                <w:kern w:val="0"/>
                <w:szCs w:val="21"/>
              </w:rPr>
              <w:t>。</w:t>
            </w:r>
          </w:p>
        </w:tc>
      </w:tr>
      <w:tr w14:paraId="5B61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166" w:type="dxa"/>
          </w:tcPr>
          <w:p w14:paraId="440ECF43">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主要属性</w:t>
            </w:r>
          </w:p>
        </w:tc>
        <w:tc>
          <w:tcPr>
            <w:tcW w:w="12771" w:type="dxa"/>
            <w:gridSpan w:val="10"/>
          </w:tcPr>
          <w:p w14:paraId="412552C2">
            <w:pPr>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土流失敏感区/水源涵养重要区/三区三线生态红线/生物多样性保护功能重要区/原生态红线）；水环境一般管控区；大气环境弱扩散重点管控区/大气环境受体敏感重点管控区；农用地优先保护区/一般管控区</w:t>
            </w:r>
          </w:p>
        </w:tc>
      </w:tr>
      <w:tr w14:paraId="761E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166" w:type="dxa"/>
          </w:tcPr>
          <w:p w14:paraId="0C4A0029">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管控维度</w:t>
            </w:r>
          </w:p>
        </w:tc>
        <w:tc>
          <w:tcPr>
            <w:tcW w:w="9137" w:type="dxa"/>
            <w:gridSpan w:val="8"/>
          </w:tcPr>
          <w:p w14:paraId="206BB05F">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管控要求</w:t>
            </w:r>
          </w:p>
        </w:tc>
        <w:tc>
          <w:tcPr>
            <w:tcW w:w="3634" w:type="dxa"/>
            <w:gridSpan w:val="2"/>
          </w:tcPr>
          <w:p w14:paraId="2583C12F">
            <w:pPr>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编制依据</w:t>
            </w:r>
          </w:p>
        </w:tc>
      </w:tr>
      <w:tr w14:paraId="6D78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166" w:type="dxa"/>
            <w:vAlign w:val="center"/>
          </w:tcPr>
          <w:p w14:paraId="45804828">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空间布局约束</w:t>
            </w:r>
          </w:p>
        </w:tc>
        <w:tc>
          <w:tcPr>
            <w:tcW w:w="9137" w:type="dxa"/>
            <w:gridSpan w:val="8"/>
            <w:vAlign w:val="center"/>
          </w:tcPr>
          <w:p w14:paraId="7CC5D532">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（1.1）畜禽养殖产业布局应符合《道县畜禽养殖污染防治规划（2021~2025 年）》的要求。</w:t>
            </w:r>
          </w:p>
          <w:p w14:paraId="28E82442">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（1.2）生态保护红线内自然保护区、风景名胜区、饮用水水源保护区等区域依照相关法律法规执行。</w:t>
            </w:r>
          </w:p>
        </w:tc>
        <w:tc>
          <w:tcPr>
            <w:tcW w:w="3634" w:type="dxa"/>
            <w:gridSpan w:val="2"/>
            <w:vMerge w:val="restart"/>
          </w:tcPr>
          <w:p w14:paraId="193C9F11">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09CCCF65">
            <w:pPr>
              <w:rPr>
                <w:rFonts w:ascii="Times New Roman" w:hAnsi="Times New Roman" w:eastAsia="仿宋" w:cs="Times New Roman"/>
                <w:szCs w:val="21"/>
              </w:rPr>
            </w:pPr>
            <w:r>
              <w:rPr>
                <w:rFonts w:ascii="Times New Roman" w:hAnsi="Times New Roman" w:eastAsia="仿宋" w:cs="Times New Roman"/>
                <w:kern w:val="0"/>
                <w:szCs w:val="21"/>
              </w:rPr>
              <w:t>（1.2）《道县国土空间总体规划（2021-2035年）》；</w:t>
            </w:r>
          </w:p>
          <w:p w14:paraId="7E3A6516">
            <w:pPr>
              <w:rPr>
                <w:rFonts w:ascii="Times New Roman" w:hAnsi="Times New Roman" w:eastAsia="仿宋" w:cs="Times New Roman"/>
                <w:kern w:val="0"/>
                <w:szCs w:val="21"/>
              </w:rPr>
            </w:pPr>
            <w:r>
              <w:rPr>
                <w:rFonts w:ascii="Times New Roman" w:hAnsi="Times New Roman" w:eastAsia="仿宋" w:cs="Times New Roman"/>
                <w:kern w:val="0"/>
                <w:szCs w:val="21"/>
              </w:rPr>
              <w:t>（2.1）（2.2）《2023 年道县污染防治攻坚战工作方案》；</w:t>
            </w:r>
          </w:p>
          <w:p w14:paraId="2D193D3F">
            <w:pPr>
              <w:rPr>
                <w:rFonts w:ascii="Times New Roman" w:hAnsi="Times New Roman" w:eastAsia="仿宋" w:cs="Times New Roman"/>
                <w:kern w:val="0"/>
                <w:szCs w:val="21"/>
              </w:rPr>
            </w:pPr>
            <w:r>
              <w:rPr>
                <w:rFonts w:ascii="Times New Roman" w:hAnsi="Times New Roman" w:eastAsia="仿宋" w:cs="Times New Roman"/>
                <w:kern w:val="0"/>
                <w:szCs w:val="21"/>
              </w:rPr>
              <w:t>（2.3）《道县畜禽养殖污染防治规划（2021~2025 年）》；</w:t>
            </w:r>
          </w:p>
          <w:p w14:paraId="2D4BABD2">
            <w:pPr>
              <w:rPr>
                <w:rFonts w:ascii="Times New Roman" w:hAnsi="Times New Roman" w:eastAsia="仿宋" w:cs="Times New Roman"/>
                <w:szCs w:val="21"/>
                <w:lang w:eastAsia="zh-Hans"/>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77624947">
            <w:pPr>
              <w:rPr>
                <w:rFonts w:ascii="Times New Roman" w:hAnsi="Times New Roman" w:eastAsia="仿宋" w:cs="Times New Roman"/>
                <w:szCs w:val="21"/>
                <w:lang w:eastAsia="zh-Hans"/>
              </w:rPr>
            </w:pPr>
            <w:r>
              <w:rPr>
                <w:rFonts w:ascii="Times New Roman" w:hAnsi="Times New Roman" w:eastAsia="仿宋" w:cs="Times New Roman"/>
                <w:szCs w:val="21"/>
              </w:rPr>
              <w:t>（3.1）</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39A2B7D0">
            <w:pPr>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p w14:paraId="24B3775C">
            <w:pPr>
              <w:adjustRightInd w:val="0"/>
              <w:snapToGrid w:val="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221D22F3">
            <w:pPr>
              <w:rPr>
                <w:rFonts w:ascii="Times New Roman" w:hAnsi="Times New Roman" w:eastAsia="仿宋" w:cs="Times New Roman"/>
                <w:szCs w:val="21"/>
                <w:lang w:eastAsia="zh-Hans"/>
              </w:rPr>
            </w:pP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3EF5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1166" w:type="dxa"/>
            <w:vAlign w:val="center"/>
          </w:tcPr>
          <w:p w14:paraId="52A61E6D">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污染物排放管控</w:t>
            </w:r>
          </w:p>
        </w:tc>
        <w:tc>
          <w:tcPr>
            <w:tcW w:w="9137" w:type="dxa"/>
            <w:gridSpan w:val="8"/>
            <w:vAlign w:val="center"/>
          </w:tcPr>
          <w:p w14:paraId="246A5F51">
            <w:pPr>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（2.1）大力实施乡镇污水管网建设改造攻坚行动，加快补齐管网短板。</w:t>
            </w:r>
          </w:p>
          <w:p w14:paraId="662ED7FB">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（2.2）着力提升乡镇生活垃圾治理水平，建立动态管控机制，发现问题，及时交办、整改。有序推进厨余垃圾处理。</w:t>
            </w:r>
          </w:p>
          <w:p w14:paraId="400C60D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2.3）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p>
        </w:tc>
        <w:tc>
          <w:tcPr>
            <w:tcW w:w="3634" w:type="dxa"/>
            <w:gridSpan w:val="2"/>
            <w:vMerge w:val="continue"/>
          </w:tcPr>
          <w:p w14:paraId="162850A2">
            <w:pPr>
              <w:rPr>
                <w:rFonts w:ascii="Times New Roman" w:hAnsi="Times New Roman" w:eastAsia="仿宋" w:cs="Times New Roman"/>
                <w:kern w:val="0"/>
                <w:szCs w:val="21"/>
              </w:rPr>
            </w:pPr>
          </w:p>
        </w:tc>
      </w:tr>
      <w:tr w14:paraId="521B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166" w:type="dxa"/>
            <w:vAlign w:val="center"/>
          </w:tcPr>
          <w:p w14:paraId="5BEE8FE6">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环境风险防控</w:t>
            </w:r>
          </w:p>
        </w:tc>
        <w:tc>
          <w:tcPr>
            <w:tcW w:w="9137" w:type="dxa"/>
            <w:gridSpan w:val="8"/>
            <w:vAlign w:val="center"/>
          </w:tcPr>
          <w:p w14:paraId="11E8B4C3">
            <w:pPr>
              <w:ind w:firstLine="420" w:firstLineChars="200"/>
              <w:rPr>
                <w:rFonts w:ascii="Times New Roman" w:hAnsi="Times New Roman" w:eastAsia="仿宋" w:cs="Times New Roman"/>
                <w:snapToGrid w:val="0"/>
                <w:kern w:val="0"/>
                <w:szCs w:val="21"/>
              </w:rPr>
            </w:pPr>
            <w:r>
              <w:rPr>
                <w:rFonts w:ascii="Times New Roman" w:hAnsi="Times New Roman" w:eastAsia="仿宋" w:cs="Times New Roman"/>
                <w:kern w:val="0"/>
                <w:szCs w:val="21"/>
              </w:rPr>
              <w:t>（3.1）</w:t>
            </w:r>
            <w:r>
              <w:rPr>
                <w:rFonts w:ascii="Times New Roman" w:hAnsi="Times New Roman" w:eastAsia="仿宋" w:cs="Times New Roman"/>
                <w:bCs/>
                <w:szCs w:val="21"/>
              </w:rPr>
              <w:t>按</w:t>
            </w:r>
            <w:r>
              <w:rPr>
                <w:rFonts w:ascii="Times New Roman" w:hAnsi="Times New Roman" w:eastAsia="仿宋" w:cs="Times New Roman"/>
                <w:szCs w:val="21"/>
                <w:lang w:eastAsia="zh-Hans"/>
              </w:rPr>
              <w:t>照《</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》强化环境风险管控，完善环境风险防控体系。</w:t>
            </w:r>
          </w:p>
        </w:tc>
        <w:tc>
          <w:tcPr>
            <w:tcW w:w="3634" w:type="dxa"/>
            <w:gridSpan w:val="2"/>
            <w:vMerge w:val="continue"/>
          </w:tcPr>
          <w:p w14:paraId="6C11682C">
            <w:pPr>
              <w:rPr>
                <w:rFonts w:ascii="Times New Roman" w:hAnsi="Times New Roman" w:eastAsia="仿宋" w:cs="Times New Roman"/>
                <w:kern w:val="0"/>
                <w:szCs w:val="21"/>
              </w:rPr>
            </w:pPr>
          </w:p>
        </w:tc>
      </w:tr>
      <w:tr w14:paraId="2132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66" w:type="dxa"/>
            <w:vAlign w:val="center"/>
          </w:tcPr>
          <w:p w14:paraId="58CC0E40">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资源开发效率要求</w:t>
            </w:r>
          </w:p>
        </w:tc>
        <w:tc>
          <w:tcPr>
            <w:tcW w:w="9137" w:type="dxa"/>
            <w:gridSpan w:val="8"/>
            <w:vAlign w:val="center"/>
          </w:tcPr>
          <w:p w14:paraId="33185C0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0159B3FA">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优化能源结构，严格控制煤炭消费总量、优先使用可再生能源、积极推广利用天然气、推进燃油品质量升级。</w:t>
            </w:r>
          </w:p>
          <w:p w14:paraId="575B9D7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653A51E">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5DD52455">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00CAFF25">
            <w:pPr>
              <w:widowControl/>
              <w:ind w:firstLine="420" w:firstLineChars="200"/>
              <w:jc w:val="left"/>
              <w:rPr>
                <w:rFonts w:ascii="Times New Roman" w:hAnsi="Times New Roman" w:eastAsia="仿宋" w:cs="Times New Roman"/>
                <w:kern w:val="0"/>
                <w:szCs w:val="21"/>
              </w:rPr>
            </w:pPr>
            <w:r>
              <w:rPr>
                <w:rFonts w:ascii="Times New Roman" w:hAnsi="Times New Roman" w:eastAsia="仿宋" w:cs="Times New Roman"/>
                <w:kern w:val="0"/>
                <w:szCs w:val="21"/>
              </w:rPr>
              <w:t>规划到2035 年，全县耕地保有量不低于4.40万公顷（其中柑子园镇0.16万公顷），永久基本农田保护面积不低于4.06万公顷（其中柑子园镇0.15万公顷），全县生态保护红线面积不低于44930.26公顷；全县划定城镇开发边界4077.86公顷，划定城镇发展区 4386.37公顷，乡村发展区125445.17公顷，矿产能源发展区696.49公顷。</w:t>
            </w:r>
          </w:p>
        </w:tc>
        <w:tc>
          <w:tcPr>
            <w:tcW w:w="3634" w:type="dxa"/>
            <w:gridSpan w:val="2"/>
            <w:vMerge w:val="continue"/>
          </w:tcPr>
          <w:p w14:paraId="18EB6C36">
            <w:pPr>
              <w:rPr>
                <w:rFonts w:ascii="Times New Roman" w:hAnsi="Times New Roman" w:eastAsia="仿宋" w:cs="Times New Roman"/>
                <w:kern w:val="0"/>
                <w:szCs w:val="21"/>
              </w:rPr>
            </w:pPr>
          </w:p>
        </w:tc>
      </w:tr>
    </w:tbl>
    <w:p w14:paraId="48BDC377">
      <w:pPr>
        <w:rPr>
          <w:rFonts w:ascii="Times New Roman" w:hAnsi="Times New Roman" w:eastAsia="仿宋" w:cs="Times New Roman"/>
          <w:szCs w:val="21"/>
        </w:rPr>
      </w:pPr>
    </w:p>
    <w:p w14:paraId="09B02A3B">
      <w:pPr>
        <w:rPr>
          <w:rFonts w:ascii="Times New Roman" w:hAnsi="Times New Roman" w:eastAsia="仿宋" w:cs="Times New Roman"/>
          <w:szCs w:val="21"/>
        </w:rPr>
        <w:sectPr>
          <w:pgSz w:w="16838" w:h="11906" w:orient="landscape"/>
          <w:pgMar w:top="1797" w:right="1440" w:bottom="1797" w:left="1440" w:header="851" w:footer="992" w:gutter="0"/>
          <w:cols w:space="425" w:num="1"/>
          <w:docGrid w:type="lines" w:linePitch="312" w:charSpace="0"/>
        </w:sectPr>
      </w:pPr>
    </w:p>
    <w:tbl>
      <w:tblPr>
        <w:tblStyle w:val="20"/>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411"/>
        <w:gridCol w:w="427"/>
        <w:gridCol w:w="427"/>
        <w:gridCol w:w="428"/>
        <w:gridCol w:w="1027"/>
        <w:gridCol w:w="1066"/>
        <w:gridCol w:w="1180"/>
        <w:gridCol w:w="1494"/>
        <w:gridCol w:w="1350"/>
        <w:gridCol w:w="1764"/>
        <w:gridCol w:w="2257"/>
      </w:tblGrid>
      <w:tr w14:paraId="3B87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Merge w:val="restart"/>
            <w:shd w:val="clear" w:color="auto" w:fill="auto"/>
            <w:vAlign w:val="center"/>
          </w:tcPr>
          <w:p w14:paraId="29577444">
            <w:pPr>
              <w:jc w:val="center"/>
              <w:rPr>
                <w:rFonts w:ascii="Times New Roman" w:hAnsi="Times New Roman" w:eastAsia="仿宋" w:cs="Times New Roman"/>
                <w:b/>
                <w:bCs/>
                <w:szCs w:val="21"/>
              </w:rPr>
            </w:pPr>
            <w:r>
              <w:rPr>
                <w:rFonts w:ascii="Times New Roman" w:hAnsi="Times New Roman" w:eastAsia="仿宋" w:cs="Times New Roman"/>
                <w:b/>
                <w:bCs/>
                <w:szCs w:val="21"/>
              </w:rPr>
              <w:t>环境管控单元编码</w:t>
            </w:r>
          </w:p>
        </w:tc>
        <w:tc>
          <w:tcPr>
            <w:tcW w:w="1411" w:type="dxa"/>
            <w:vMerge w:val="restart"/>
            <w:shd w:val="clear" w:color="auto" w:fill="auto"/>
            <w:vAlign w:val="center"/>
          </w:tcPr>
          <w:p w14:paraId="68DF7959">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1282" w:type="dxa"/>
            <w:gridSpan w:val="3"/>
            <w:shd w:val="clear" w:color="auto" w:fill="auto"/>
            <w:vAlign w:val="center"/>
          </w:tcPr>
          <w:p w14:paraId="645BC47F">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1027" w:type="dxa"/>
            <w:vMerge w:val="restart"/>
            <w:shd w:val="clear" w:color="auto" w:fill="auto"/>
            <w:vAlign w:val="center"/>
          </w:tcPr>
          <w:p w14:paraId="0E8B8546">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1066" w:type="dxa"/>
            <w:vMerge w:val="restart"/>
            <w:shd w:val="clear" w:color="auto" w:fill="auto"/>
            <w:vAlign w:val="center"/>
          </w:tcPr>
          <w:p w14:paraId="6EE2D686">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180" w:type="dxa"/>
            <w:vMerge w:val="restart"/>
            <w:shd w:val="clear" w:color="auto" w:fill="auto"/>
            <w:vAlign w:val="center"/>
          </w:tcPr>
          <w:p w14:paraId="766A76D2">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494" w:type="dxa"/>
            <w:vMerge w:val="restart"/>
            <w:shd w:val="clear" w:color="auto" w:fill="auto"/>
            <w:vAlign w:val="center"/>
          </w:tcPr>
          <w:p w14:paraId="1526CD85">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3114" w:type="dxa"/>
            <w:gridSpan w:val="2"/>
            <w:vMerge w:val="restart"/>
            <w:shd w:val="clear" w:color="auto" w:fill="auto"/>
            <w:vAlign w:val="center"/>
          </w:tcPr>
          <w:p w14:paraId="77CA464C">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2257" w:type="dxa"/>
            <w:vMerge w:val="restart"/>
            <w:shd w:val="clear" w:color="auto" w:fill="auto"/>
            <w:vAlign w:val="center"/>
          </w:tcPr>
          <w:p w14:paraId="599C708B">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5C89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7" w:type="dxa"/>
            <w:vMerge w:val="continue"/>
            <w:shd w:val="clear" w:color="auto" w:fill="auto"/>
          </w:tcPr>
          <w:p w14:paraId="125E8397">
            <w:pPr>
              <w:rPr>
                <w:rFonts w:ascii="Times New Roman" w:hAnsi="Times New Roman" w:eastAsia="仿宋" w:cs="Times New Roman"/>
                <w:szCs w:val="21"/>
              </w:rPr>
            </w:pPr>
          </w:p>
        </w:tc>
        <w:tc>
          <w:tcPr>
            <w:tcW w:w="1411" w:type="dxa"/>
            <w:vMerge w:val="continue"/>
            <w:shd w:val="clear" w:color="auto" w:fill="auto"/>
          </w:tcPr>
          <w:p w14:paraId="73690379">
            <w:pPr>
              <w:rPr>
                <w:rFonts w:ascii="Times New Roman" w:hAnsi="Times New Roman" w:eastAsia="仿宋" w:cs="Times New Roman"/>
                <w:szCs w:val="21"/>
              </w:rPr>
            </w:pPr>
          </w:p>
        </w:tc>
        <w:tc>
          <w:tcPr>
            <w:tcW w:w="427" w:type="dxa"/>
            <w:shd w:val="clear" w:color="auto" w:fill="auto"/>
            <w:vAlign w:val="center"/>
          </w:tcPr>
          <w:p w14:paraId="50D39DDD">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427" w:type="dxa"/>
            <w:shd w:val="clear" w:color="auto" w:fill="auto"/>
            <w:vAlign w:val="center"/>
          </w:tcPr>
          <w:p w14:paraId="6C537DDF">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428" w:type="dxa"/>
            <w:shd w:val="clear" w:color="auto" w:fill="auto"/>
            <w:vAlign w:val="center"/>
          </w:tcPr>
          <w:p w14:paraId="719DCE50">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1027" w:type="dxa"/>
            <w:vMerge w:val="continue"/>
            <w:shd w:val="clear" w:color="auto" w:fill="auto"/>
          </w:tcPr>
          <w:p w14:paraId="7E921FD9">
            <w:pPr>
              <w:rPr>
                <w:rFonts w:ascii="Times New Roman" w:hAnsi="Times New Roman" w:eastAsia="仿宋" w:cs="Times New Roman"/>
                <w:szCs w:val="21"/>
              </w:rPr>
            </w:pPr>
          </w:p>
        </w:tc>
        <w:tc>
          <w:tcPr>
            <w:tcW w:w="1066" w:type="dxa"/>
            <w:vMerge w:val="continue"/>
            <w:shd w:val="clear" w:color="auto" w:fill="auto"/>
          </w:tcPr>
          <w:p w14:paraId="1AA65371">
            <w:pPr>
              <w:rPr>
                <w:rFonts w:ascii="Times New Roman" w:hAnsi="Times New Roman" w:eastAsia="仿宋" w:cs="Times New Roman"/>
                <w:szCs w:val="21"/>
              </w:rPr>
            </w:pPr>
          </w:p>
        </w:tc>
        <w:tc>
          <w:tcPr>
            <w:tcW w:w="1180" w:type="dxa"/>
            <w:vMerge w:val="continue"/>
            <w:shd w:val="clear" w:color="auto" w:fill="auto"/>
          </w:tcPr>
          <w:p w14:paraId="72C2F86E">
            <w:pPr>
              <w:rPr>
                <w:rFonts w:ascii="Times New Roman" w:hAnsi="Times New Roman" w:eastAsia="仿宋" w:cs="Times New Roman"/>
                <w:szCs w:val="21"/>
              </w:rPr>
            </w:pPr>
          </w:p>
        </w:tc>
        <w:tc>
          <w:tcPr>
            <w:tcW w:w="1494" w:type="dxa"/>
            <w:vMerge w:val="continue"/>
            <w:shd w:val="clear" w:color="auto" w:fill="auto"/>
          </w:tcPr>
          <w:p w14:paraId="3EB04089">
            <w:pPr>
              <w:rPr>
                <w:rFonts w:ascii="Times New Roman" w:hAnsi="Times New Roman" w:eastAsia="仿宋" w:cs="Times New Roman"/>
                <w:szCs w:val="21"/>
              </w:rPr>
            </w:pPr>
          </w:p>
        </w:tc>
        <w:tc>
          <w:tcPr>
            <w:tcW w:w="3114" w:type="dxa"/>
            <w:gridSpan w:val="2"/>
            <w:vMerge w:val="continue"/>
            <w:shd w:val="clear" w:color="auto" w:fill="auto"/>
          </w:tcPr>
          <w:p w14:paraId="4CAC783D">
            <w:pPr>
              <w:rPr>
                <w:rFonts w:ascii="Times New Roman" w:hAnsi="Times New Roman" w:eastAsia="仿宋" w:cs="Times New Roman"/>
                <w:szCs w:val="21"/>
              </w:rPr>
            </w:pPr>
          </w:p>
        </w:tc>
        <w:tc>
          <w:tcPr>
            <w:tcW w:w="2257" w:type="dxa"/>
            <w:vMerge w:val="continue"/>
            <w:shd w:val="clear" w:color="auto" w:fill="auto"/>
          </w:tcPr>
          <w:p w14:paraId="3D451D89">
            <w:pPr>
              <w:rPr>
                <w:rFonts w:ascii="Times New Roman" w:hAnsi="Times New Roman" w:eastAsia="仿宋" w:cs="Times New Roman"/>
                <w:szCs w:val="21"/>
              </w:rPr>
            </w:pPr>
          </w:p>
        </w:tc>
      </w:tr>
      <w:tr w14:paraId="1450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shd w:val="clear" w:color="auto" w:fill="auto"/>
            <w:vAlign w:val="center"/>
          </w:tcPr>
          <w:p w14:paraId="2FF7CFE8">
            <w:pPr>
              <w:rPr>
                <w:rFonts w:ascii="Times New Roman" w:hAnsi="Times New Roman" w:eastAsia="仿宋" w:cs="Times New Roman"/>
                <w:szCs w:val="21"/>
              </w:rPr>
            </w:pPr>
            <w:bookmarkStart w:id="45" w:name="_Hlk58574945"/>
            <w:r>
              <w:rPr>
                <w:rFonts w:ascii="Times New Roman" w:hAnsi="Times New Roman" w:eastAsia="仿宋" w:cs="Times New Roman"/>
                <w:szCs w:val="21"/>
              </w:rPr>
              <w:t>ZH43112410002</w:t>
            </w:r>
            <w:bookmarkEnd w:id="45"/>
          </w:p>
        </w:tc>
        <w:tc>
          <w:tcPr>
            <w:tcW w:w="1411" w:type="dxa"/>
            <w:shd w:val="clear" w:color="auto" w:fill="auto"/>
            <w:vAlign w:val="center"/>
          </w:tcPr>
          <w:p w14:paraId="2E380BA1">
            <w:pPr>
              <w:jc w:val="center"/>
              <w:rPr>
                <w:rFonts w:ascii="Times New Roman" w:hAnsi="Times New Roman" w:eastAsia="仿宋" w:cs="Times New Roman"/>
                <w:szCs w:val="21"/>
              </w:rPr>
            </w:pPr>
            <w:r>
              <w:rPr>
                <w:rFonts w:ascii="Times New Roman" w:hAnsi="Times New Roman" w:eastAsia="仿宋" w:cs="Times New Roman"/>
                <w:szCs w:val="21"/>
              </w:rPr>
              <w:t>横岭瑶族乡/洪塘营瑶族乡/四马桥镇</w:t>
            </w:r>
          </w:p>
        </w:tc>
        <w:tc>
          <w:tcPr>
            <w:tcW w:w="427" w:type="dxa"/>
            <w:shd w:val="clear" w:color="auto" w:fill="auto"/>
            <w:vAlign w:val="center"/>
          </w:tcPr>
          <w:p w14:paraId="58DB4A49">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7" w:type="dxa"/>
            <w:shd w:val="clear" w:color="auto" w:fill="auto"/>
            <w:vAlign w:val="center"/>
          </w:tcPr>
          <w:p w14:paraId="65999521">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8" w:type="dxa"/>
            <w:shd w:val="clear" w:color="auto" w:fill="auto"/>
            <w:vAlign w:val="center"/>
          </w:tcPr>
          <w:p w14:paraId="01BFC76B">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1027" w:type="dxa"/>
            <w:shd w:val="clear" w:color="auto" w:fill="auto"/>
            <w:vAlign w:val="center"/>
          </w:tcPr>
          <w:p w14:paraId="565BB4F2">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066" w:type="dxa"/>
            <w:shd w:val="clear" w:color="auto" w:fill="auto"/>
            <w:vAlign w:val="center"/>
          </w:tcPr>
          <w:p w14:paraId="554FE99F">
            <w:pPr>
              <w:widowControl/>
              <w:jc w:val="center"/>
              <w:rPr>
                <w:rFonts w:ascii="Times New Roman" w:hAnsi="Times New Roman" w:eastAsia="仿宋" w:cs="Times New Roman"/>
                <w:szCs w:val="21"/>
              </w:rPr>
            </w:pPr>
            <w:r>
              <w:rPr>
                <w:rFonts w:ascii="Times New Roman" w:hAnsi="Times New Roman" w:eastAsia="仿宋" w:cs="Times New Roman"/>
                <w:szCs w:val="21"/>
              </w:rPr>
              <w:t>465.21</w:t>
            </w:r>
          </w:p>
        </w:tc>
        <w:tc>
          <w:tcPr>
            <w:tcW w:w="1180" w:type="dxa"/>
            <w:shd w:val="clear" w:color="auto" w:fill="auto"/>
            <w:vAlign w:val="center"/>
          </w:tcPr>
          <w:p w14:paraId="2605D7AA">
            <w:pPr>
              <w:jc w:val="center"/>
              <w:rPr>
                <w:rFonts w:ascii="Times New Roman" w:hAnsi="Times New Roman" w:eastAsia="仿宋" w:cs="Times New Roman"/>
                <w:szCs w:val="21"/>
              </w:rPr>
            </w:pPr>
            <w:r>
              <w:rPr>
                <w:rFonts w:ascii="Times New Roman" w:hAnsi="Times New Roman" w:eastAsia="仿宋" w:cs="Times New Roman"/>
                <w:szCs w:val="21"/>
              </w:rPr>
              <w:t>横岭瑶族乡/洪塘营瑶族乡/四马桥镇</w:t>
            </w:r>
          </w:p>
        </w:tc>
        <w:tc>
          <w:tcPr>
            <w:tcW w:w="1494" w:type="dxa"/>
            <w:shd w:val="clear" w:color="auto" w:fill="auto"/>
            <w:vAlign w:val="center"/>
          </w:tcPr>
          <w:p w14:paraId="724CA4AF">
            <w:pPr>
              <w:jc w:val="center"/>
              <w:rPr>
                <w:rFonts w:ascii="Times New Roman" w:hAnsi="Times New Roman" w:eastAsia="仿宋" w:cs="Times New Roman"/>
                <w:strike/>
                <w:szCs w:val="21"/>
              </w:rPr>
            </w:pPr>
            <w:r>
              <w:rPr>
                <w:rFonts w:ascii="Times New Roman" w:hAnsi="Times New Roman" w:eastAsia="仿宋" w:cs="Times New Roman"/>
                <w:szCs w:val="21"/>
              </w:rPr>
              <w:t>横岭瑶族乡：</w:t>
            </w:r>
            <w:r>
              <w:rPr>
                <w:rFonts w:ascii="Times New Roman" w:hAnsi="Times New Roman" w:eastAsia="仿宋" w:cs="Times New Roman"/>
                <w:kern w:val="0"/>
                <w:szCs w:val="21"/>
              </w:rPr>
              <w:t>重点生态功能区</w:t>
            </w:r>
            <w:r>
              <w:rPr>
                <w:rFonts w:ascii="Times New Roman" w:hAnsi="Times New Roman" w:eastAsia="仿宋" w:cs="Times New Roman"/>
                <w:szCs w:val="21"/>
              </w:rPr>
              <w:t>；洪塘营瑶族乡：</w:t>
            </w:r>
            <w:r>
              <w:rPr>
                <w:rFonts w:ascii="Times New Roman" w:hAnsi="Times New Roman" w:eastAsia="仿宋" w:cs="Times New Roman"/>
                <w:kern w:val="0"/>
                <w:szCs w:val="21"/>
              </w:rPr>
              <w:t>重点生态功能区/能源资源富集区</w:t>
            </w:r>
            <w:r>
              <w:rPr>
                <w:rFonts w:ascii="Times New Roman" w:hAnsi="Times New Roman" w:eastAsia="仿宋" w:cs="Times New Roman"/>
                <w:szCs w:val="21"/>
              </w:rPr>
              <w:t>；四马桥镇：</w:t>
            </w:r>
            <w:r>
              <w:rPr>
                <w:rFonts w:ascii="Times New Roman" w:hAnsi="Times New Roman" w:eastAsia="仿宋" w:cs="Times New Roman"/>
                <w:kern w:val="0"/>
                <w:szCs w:val="21"/>
              </w:rPr>
              <w:t>农产品主产区</w:t>
            </w:r>
          </w:p>
        </w:tc>
        <w:tc>
          <w:tcPr>
            <w:tcW w:w="3114" w:type="dxa"/>
            <w:gridSpan w:val="2"/>
            <w:shd w:val="clear" w:color="auto" w:fill="auto"/>
          </w:tcPr>
          <w:p w14:paraId="2E6E4314">
            <w:pPr>
              <w:widowControl/>
              <w:jc w:val="left"/>
              <w:rPr>
                <w:rFonts w:ascii="Times New Roman" w:hAnsi="Times New Roman" w:eastAsia="仿宋" w:cs="Times New Roman"/>
                <w:szCs w:val="21"/>
              </w:rPr>
            </w:pPr>
            <w:r>
              <w:rPr>
                <w:rFonts w:ascii="Times New Roman" w:hAnsi="Times New Roman" w:eastAsia="仿宋" w:cs="Times New Roman"/>
                <w:b/>
                <w:bCs/>
                <w:szCs w:val="21"/>
              </w:rPr>
              <w:t>洪塘营瑶族乡：</w:t>
            </w:r>
            <w:r>
              <w:rPr>
                <w:rFonts w:ascii="Times New Roman" w:hAnsi="Times New Roman" w:eastAsia="仿宋" w:cs="Times New Roman"/>
                <w:szCs w:val="21"/>
              </w:rPr>
              <w:t>农业、林业、养殖业、旅游业、采矿业、小水电及</w:t>
            </w:r>
            <w:r>
              <w:rPr>
                <w:rFonts w:ascii="Times New Roman" w:hAnsi="Times New Roman" w:eastAsia="仿宋" w:cs="Times New Roman"/>
                <w:color w:val="000000"/>
                <w:kern w:val="0"/>
                <w:szCs w:val="21"/>
                <w:lang w:bidi="ar"/>
              </w:rPr>
              <w:t>太阳能发电</w:t>
            </w:r>
            <w:r>
              <w:rPr>
                <w:rFonts w:ascii="Times New Roman" w:hAnsi="Times New Roman" w:eastAsia="仿宋" w:cs="Times New Roman"/>
                <w:szCs w:val="21"/>
              </w:rPr>
              <w:t>，</w:t>
            </w:r>
            <w:r>
              <w:rPr>
                <w:rFonts w:ascii="Times New Roman" w:hAnsi="Times New Roman" w:eastAsia="仿宋" w:cs="Times New Roman"/>
                <w:color w:val="000000"/>
                <w:kern w:val="0"/>
                <w:szCs w:val="21"/>
                <w:lang w:bidi="ar"/>
              </w:rPr>
              <w:t>风力发电</w:t>
            </w:r>
            <w:r>
              <w:rPr>
                <w:rFonts w:ascii="Times New Roman" w:hAnsi="Times New Roman" w:eastAsia="仿宋" w:cs="Times New Roman"/>
                <w:szCs w:val="21"/>
              </w:rPr>
              <w:t>。</w:t>
            </w:r>
          </w:p>
          <w:p w14:paraId="242FB9E2">
            <w:pPr>
              <w:rPr>
                <w:rFonts w:ascii="Times New Roman" w:hAnsi="Times New Roman" w:eastAsia="仿宋" w:cs="Times New Roman"/>
                <w:szCs w:val="21"/>
              </w:rPr>
            </w:pPr>
            <w:r>
              <w:rPr>
                <w:rFonts w:ascii="Times New Roman" w:hAnsi="Times New Roman" w:eastAsia="仿宋" w:cs="Times New Roman"/>
                <w:b/>
                <w:bCs/>
                <w:szCs w:val="21"/>
              </w:rPr>
              <w:t>横岭瑶族乡：</w:t>
            </w:r>
            <w:r>
              <w:rPr>
                <w:rFonts w:ascii="Times New Roman" w:hAnsi="Times New Roman" w:eastAsia="仿宋" w:cs="Times New Roman"/>
                <w:szCs w:val="21"/>
              </w:rPr>
              <w:t>农业、养殖业、农副产品加工、</w:t>
            </w:r>
            <w:r>
              <w:rPr>
                <w:rFonts w:ascii="Times New Roman" w:hAnsi="Times New Roman" w:eastAsia="仿宋" w:cs="Times New Roman"/>
                <w:color w:val="000000"/>
                <w:kern w:val="0"/>
                <w:szCs w:val="21"/>
                <w:lang w:bidi="ar"/>
              </w:rPr>
              <w:t>风力发电</w:t>
            </w:r>
            <w:r>
              <w:rPr>
                <w:rFonts w:ascii="Times New Roman" w:hAnsi="Times New Roman" w:eastAsia="仿宋" w:cs="Times New Roman"/>
                <w:szCs w:val="21"/>
              </w:rPr>
              <w:t>等。</w:t>
            </w:r>
          </w:p>
          <w:p w14:paraId="095712B8">
            <w:pPr>
              <w:rPr>
                <w:rFonts w:ascii="Times New Roman" w:hAnsi="Times New Roman" w:eastAsia="仿宋" w:cs="Times New Roman"/>
                <w:szCs w:val="21"/>
              </w:rPr>
            </w:pPr>
            <w:r>
              <w:rPr>
                <w:rFonts w:ascii="Times New Roman" w:hAnsi="Times New Roman" w:eastAsia="仿宋" w:cs="Times New Roman"/>
                <w:b/>
                <w:bCs/>
                <w:szCs w:val="21"/>
              </w:rPr>
              <w:t>四马桥镇：</w:t>
            </w:r>
            <w:r>
              <w:rPr>
                <w:rFonts w:ascii="Times New Roman" w:hAnsi="Times New Roman" w:eastAsia="仿宋" w:cs="Times New Roman"/>
                <w:szCs w:val="21"/>
              </w:rPr>
              <w:t>农业、养殖业、</w:t>
            </w:r>
            <w:r>
              <w:rPr>
                <w:rFonts w:ascii="Times New Roman" w:hAnsi="Times New Roman" w:eastAsia="仿宋" w:cs="Times New Roman"/>
                <w:color w:val="000000"/>
                <w:kern w:val="0"/>
                <w:szCs w:val="21"/>
                <w:lang w:bidi="ar"/>
              </w:rPr>
              <w:t>矿产品的后续产业链加工</w:t>
            </w:r>
            <w:r>
              <w:rPr>
                <w:rFonts w:ascii="Times New Roman" w:hAnsi="Times New Roman" w:eastAsia="仿宋" w:cs="Times New Roman"/>
                <w:szCs w:val="21"/>
              </w:rPr>
              <w:t>、风力发电。·</w:t>
            </w:r>
          </w:p>
        </w:tc>
        <w:tc>
          <w:tcPr>
            <w:tcW w:w="2257" w:type="dxa"/>
            <w:shd w:val="clear" w:color="auto" w:fill="auto"/>
          </w:tcPr>
          <w:p w14:paraId="63CC4433">
            <w:pPr>
              <w:rPr>
                <w:rFonts w:ascii="Times New Roman" w:hAnsi="Times New Roman" w:eastAsia="仿宋" w:cs="Times New Roman"/>
                <w:b/>
                <w:bCs/>
                <w:szCs w:val="21"/>
              </w:rPr>
            </w:pPr>
            <w:r>
              <w:rPr>
                <w:rFonts w:ascii="Times New Roman" w:hAnsi="Times New Roman" w:eastAsia="仿宋" w:cs="Times New Roman"/>
                <w:b/>
                <w:bCs/>
                <w:szCs w:val="21"/>
              </w:rPr>
              <w:t>环境问题：</w:t>
            </w:r>
          </w:p>
          <w:p w14:paraId="7EBD3DAB">
            <w:pPr>
              <w:rPr>
                <w:rFonts w:ascii="Times New Roman" w:hAnsi="Times New Roman" w:eastAsia="仿宋" w:cs="Times New Roman"/>
                <w:szCs w:val="21"/>
              </w:rPr>
            </w:pPr>
            <w:r>
              <w:rPr>
                <w:rFonts w:ascii="Times New Roman" w:hAnsi="Times New Roman" w:eastAsia="仿宋" w:cs="Times New Roman"/>
                <w:szCs w:val="21"/>
              </w:rPr>
              <w:t>无明显环境问题。</w:t>
            </w:r>
          </w:p>
          <w:p w14:paraId="69968C78">
            <w:pPr>
              <w:jc w:val="left"/>
              <w:rPr>
                <w:rFonts w:ascii="Times New Roman" w:hAnsi="Times New Roman" w:eastAsia="仿宋" w:cs="Times New Roman"/>
                <w:b/>
                <w:bCs/>
                <w:kern w:val="0"/>
                <w:szCs w:val="21"/>
              </w:rPr>
            </w:pPr>
            <w:r>
              <w:rPr>
                <w:rFonts w:ascii="Times New Roman" w:hAnsi="Times New Roman" w:eastAsia="仿宋" w:cs="Times New Roman"/>
                <w:b/>
                <w:bCs/>
                <w:kern w:val="0"/>
                <w:szCs w:val="21"/>
              </w:rPr>
              <w:t>环保目标：</w:t>
            </w:r>
          </w:p>
          <w:p w14:paraId="7BE19EBD">
            <w:pPr>
              <w:rPr>
                <w:rFonts w:ascii="Times New Roman" w:hAnsi="Times New Roman" w:eastAsia="仿宋" w:cs="Times New Roman"/>
                <w:szCs w:val="21"/>
              </w:rPr>
            </w:pPr>
            <w:r>
              <w:rPr>
                <w:rFonts w:ascii="Times New Roman" w:hAnsi="Times New Roman" w:eastAsia="仿宋" w:cs="Times New Roman"/>
                <w:kern w:val="0"/>
                <w:szCs w:val="21"/>
              </w:rPr>
              <w:t>湖南潇水源省级湿地公园、湖南道县潇水县级湿地公园。</w:t>
            </w:r>
          </w:p>
        </w:tc>
      </w:tr>
      <w:tr w14:paraId="1E5C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17" w:type="dxa"/>
            <w:shd w:val="clear" w:color="auto" w:fill="auto"/>
            <w:vAlign w:val="center"/>
          </w:tcPr>
          <w:p w14:paraId="3BA0FB8A">
            <w:pPr>
              <w:rPr>
                <w:rFonts w:ascii="Times New Roman" w:hAnsi="Times New Roman" w:eastAsia="仿宋" w:cs="Times New Roman"/>
                <w:b/>
                <w:bCs/>
                <w:szCs w:val="21"/>
              </w:rPr>
            </w:pPr>
            <w:r>
              <w:rPr>
                <w:rFonts w:ascii="Times New Roman" w:hAnsi="Times New Roman" w:eastAsia="仿宋" w:cs="Times New Roman"/>
                <w:b/>
                <w:bCs/>
                <w:szCs w:val="21"/>
              </w:rPr>
              <w:t>主要属性</w:t>
            </w:r>
          </w:p>
        </w:tc>
        <w:tc>
          <w:tcPr>
            <w:tcW w:w="12831" w:type="dxa"/>
            <w:gridSpan w:val="11"/>
            <w:shd w:val="clear" w:color="auto" w:fill="auto"/>
          </w:tcPr>
          <w:p w14:paraId="2AF34929">
            <w:pPr>
              <w:rPr>
                <w:rFonts w:ascii="Times New Roman" w:hAnsi="Times New Roman" w:eastAsia="仿宋" w:cs="Times New Roman"/>
                <w:kern w:val="0"/>
                <w:szCs w:val="21"/>
              </w:rPr>
            </w:pPr>
            <w:r>
              <w:rPr>
                <w:rFonts w:ascii="Times New Roman" w:hAnsi="Times New Roman" w:eastAsia="仿宋" w:cs="Times New Roman"/>
                <w:b/>
                <w:bCs/>
                <w:szCs w:val="21"/>
              </w:rPr>
              <w:t>洪塘营瑶族乡：</w:t>
            </w:r>
          </w:p>
          <w:p w14:paraId="78BA3E67">
            <w:pPr>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水土保持功能重要区/水土流失敏感区/水源涵养重要区/三区三线生态红线/湿地公园/原生态红线/石漠化敏感区）；水环境一般管控区/水环境其他重点管控区/水环境优先保护区；大气环境优先保护区/大气环境受体敏感重点管控区；农用地优先保护区/一般管控区/其他重点管控区/建设用地重点管控区</w:t>
            </w:r>
            <w:r>
              <w:rPr>
                <w:rFonts w:ascii="Times New Roman" w:hAnsi="Times New Roman" w:eastAsia="仿宋" w:cs="Times New Roman"/>
                <w:szCs w:val="21"/>
              </w:rPr>
              <w:t xml:space="preserve"> </w:t>
            </w:r>
          </w:p>
          <w:p w14:paraId="53D94B05">
            <w:pPr>
              <w:widowControl/>
              <w:rPr>
                <w:rFonts w:ascii="Times New Roman" w:hAnsi="Times New Roman" w:eastAsia="仿宋" w:cs="Times New Roman"/>
                <w:kern w:val="0"/>
                <w:szCs w:val="21"/>
              </w:rPr>
            </w:pPr>
            <w:r>
              <w:rPr>
                <w:rFonts w:ascii="Times New Roman" w:hAnsi="Times New Roman" w:eastAsia="仿宋" w:cs="Times New Roman"/>
                <w:b/>
                <w:bCs/>
                <w:szCs w:val="21"/>
              </w:rPr>
              <w:t>横岭瑶族乡：</w:t>
            </w:r>
          </w:p>
          <w:p w14:paraId="0B893A17">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水土保持功能重要区/水土流失敏感区/水源涵养重要区/三区三线生态红线/原生态红线）；水环境一般管控区/水环境其他重点管控区；农用地优先保护区/一般管控区/其他重点管控区</w:t>
            </w:r>
            <w:r>
              <w:rPr>
                <w:rFonts w:ascii="Times New Roman" w:hAnsi="Times New Roman" w:eastAsia="仿宋" w:cs="Times New Roman"/>
                <w:szCs w:val="21"/>
              </w:rPr>
              <w:t xml:space="preserve"> </w:t>
            </w:r>
          </w:p>
          <w:p w14:paraId="4EAC341F">
            <w:pPr>
              <w:rPr>
                <w:rFonts w:ascii="Times New Roman" w:hAnsi="Times New Roman" w:eastAsia="仿宋" w:cs="Times New Roman"/>
                <w:kern w:val="0"/>
                <w:szCs w:val="21"/>
              </w:rPr>
            </w:pPr>
            <w:r>
              <w:rPr>
                <w:rFonts w:ascii="Times New Roman" w:hAnsi="Times New Roman" w:eastAsia="仿宋" w:cs="Times New Roman"/>
                <w:b/>
                <w:bCs/>
                <w:szCs w:val="21"/>
              </w:rPr>
              <w:t>四马桥镇：</w:t>
            </w:r>
          </w:p>
          <w:p w14:paraId="39A3F6F1">
            <w:pPr>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石漠化敏感区/水土保持功能重要区/水土流失敏感区/水源涵养重要区/三区三线生态红线/湿地公园/原生态红线）；水环境一般管控区/水环境优先保护区；大气环境优先保护区/大气环境受体敏感重点管控区；农用地优先保护区/一般管控区/其他重点管控区/建设用地重点管控区</w:t>
            </w:r>
            <w:r>
              <w:rPr>
                <w:rFonts w:ascii="Times New Roman" w:hAnsi="Times New Roman" w:eastAsia="仿宋" w:cs="Times New Roman"/>
                <w:szCs w:val="21"/>
              </w:rPr>
              <w:t xml:space="preserve"> </w:t>
            </w:r>
          </w:p>
        </w:tc>
      </w:tr>
      <w:tr w14:paraId="5676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7" w:type="dxa"/>
            <w:shd w:val="clear" w:color="auto" w:fill="auto"/>
          </w:tcPr>
          <w:p w14:paraId="52F27842">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8810" w:type="dxa"/>
            <w:gridSpan w:val="9"/>
            <w:shd w:val="clear" w:color="auto" w:fill="auto"/>
          </w:tcPr>
          <w:p w14:paraId="48B63606">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4021" w:type="dxa"/>
            <w:gridSpan w:val="2"/>
            <w:shd w:val="clear" w:color="auto" w:fill="auto"/>
          </w:tcPr>
          <w:p w14:paraId="50DFF51E">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14:paraId="3BAB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117" w:type="dxa"/>
            <w:shd w:val="clear" w:color="auto" w:fill="auto"/>
            <w:vAlign w:val="center"/>
          </w:tcPr>
          <w:p w14:paraId="6F53AE13">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810" w:type="dxa"/>
            <w:gridSpan w:val="9"/>
            <w:shd w:val="clear" w:color="auto" w:fill="auto"/>
            <w:vAlign w:val="center"/>
          </w:tcPr>
          <w:p w14:paraId="66EC5810">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（1.1）畜禽养殖产业布局应符合《道县畜禽养殖污染防治规划（2021~2025 年）》的要求。</w:t>
            </w:r>
          </w:p>
          <w:p w14:paraId="6B6EE282">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（1.2）生态保护红线内自然保护区、风景名胜区、饮用水水源保护区等区域依照相关法律法规执行。</w:t>
            </w:r>
          </w:p>
        </w:tc>
        <w:tc>
          <w:tcPr>
            <w:tcW w:w="4021" w:type="dxa"/>
            <w:gridSpan w:val="2"/>
            <w:vMerge w:val="restart"/>
            <w:shd w:val="clear" w:color="auto" w:fill="auto"/>
          </w:tcPr>
          <w:p w14:paraId="73A92318">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5ECCA972">
            <w:pPr>
              <w:rPr>
                <w:rFonts w:ascii="Times New Roman" w:hAnsi="Times New Roman" w:eastAsia="仿宋" w:cs="Times New Roman"/>
                <w:szCs w:val="21"/>
              </w:rPr>
            </w:pPr>
            <w:r>
              <w:rPr>
                <w:rFonts w:ascii="Times New Roman" w:hAnsi="Times New Roman" w:eastAsia="仿宋" w:cs="Times New Roman"/>
                <w:kern w:val="0"/>
                <w:szCs w:val="21"/>
              </w:rPr>
              <w:t>（1.2）《道县国土空间总体规划（2021-2035年）》；</w:t>
            </w:r>
          </w:p>
          <w:p w14:paraId="1DE7FF37">
            <w:pPr>
              <w:tabs>
                <w:tab w:val="left" w:pos="1021"/>
              </w:tabs>
              <w:rPr>
                <w:rFonts w:ascii="Times New Roman" w:hAnsi="Times New Roman" w:eastAsia="仿宋" w:cs="Times New Roman"/>
                <w:szCs w:val="21"/>
              </w:rPr>
            </w:pPr>
            <w:r>
              <w:rPr>
                <w:rFonts w:ascii="Times New Roman" w:hAnsi="Times New Roman" w:eastAsia="仿宋" w:cs="Times New Roman"/>
                <w:szCs w:val="21"/>
              </w:rPr>
              <w:t>（2.1）（2.2）（3.1）《2023 年道县污染防治攻坚战工作方案》；</w:t>
            </w:r>
          </w:p>
          <w:p w14:paraId="7CCA353E">
            <w:pPr>
              <w:rPr>
                <w:rFonts w:ascii="Times New Roman" w:hAnsi="Times New Roman" w:eastAsia="仿宋" w:cs="Times New Roman"/>
                <w:kern w:val="0"/>
                <w:szCs w:val="21"/>
              </w:rPr>
            </w:pPr>
            <w:r>
              <w:rPr>
                <w:rFonts w:ascii="Times New Roman" w:hAnsi="Times New Roman" w:eastAsia="仿宋" w:cs="Times New Roman"/>
                <w:kern w:val="0"/>
                <w:szCs w:val="21"/>
              </w:rPr>
              <w:t>（2.3）《道县畜禽养殖污染防治规划（2021~2025 年）》；</w:t>
            </w:r>
          </w:p>
          <w:p w14:paraId="627624BD">
            <w:pPr>
              <w:rPr>
                <w:rFonts w:ascii="Times New Roman" w:hAnsi="Times New Roman" w:eastAsia="仿宋" w:cs="Times New Roman"/>
                <w:szCs w:val="21"/>
              </w:rPr>
            </w:pPr>
            <w:r>
              <w:rPr>
                <w:rFonts w:ascii="Times New Roman" w:hAnsi="Times New Roman" w:eastAsia="仿宋" w:cs="Times New Roman"/>
                <w:szCs w:val="21"/>
              </w:rPr>
              <w:t>（3.1）《道县国民经济和社会发展第十四个五年规划和二〇三五年远景目标纲要》；</w:t>
            </w:r>
          </w:p>
          <w:p w14:paraId="5E863A20">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7DC10D24">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55E305B5">
            <w:pPr>
              <w:rPr>
                <w:rFonts w:ascii="Times New Roman" w:hAnsi="Times New Roman" w:eastAsia="仿宋" w:cs="Times New Roman"/>
                <w:szCs w:val="21"/>
              </w:rPr>
            </w:pPr>
            <w:r>
              <w:rPr>
                <w:rFonts w:ascii="Times New Roman" w:hAnsi="Times New Roman" w:eastAsia="仿宋" w:cs="Times New Roman"/>
                <w:szCs w:val="21"/>
              </w:rPr>
              <w:t>（4.1）《道县国民经济和社会发展第十四个五年规划和二〇三五年远景目标纲要》；</w:t>
            </w:r>
          </w:p>
          <w:p w14:paraId="56B1BC0E">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5817310F">
            <w:pPr>
              <w:adjustRightInd w:val="0"/>
              <w:snapToGrid w:val="0"/>
              <w:rPr>
                <w:rFonts w:ascii="Times New Roman" w:hAnsi="Times New Roman" w:eastAsia="仿宋" w:cs="Times New Roman"/>
                <w:szCs w:val="21"/>
              </w:rPr>
            </w:pPr>
            <w:r>
              <w:rPr>
                <w:rFonts w:ascii="Times New Roman" w:hAnsi="Times New Roman" w:eastAsia="仿宋" w:cs="Times New Roman"/>
                <w:szCs w:val="21"/>
              </w:rPr>
              <w:t>（4.2.2）《永州市小水电清理整改工作方案》（永水发〔2019〕6号）；</w:t>
            </w:r>
          </w:p>
          <w:p w14:paraId="232F5AF6">
            <w:pPr>
              <w:rPr>
                <w:rFonts w:ascii="Times New Roman" w:hAnsi="Times New Roman" w:eastAsia="仿宋" w:cs="Times New Roman"/>
                <w:kern w:val="0"/>
                <w:szCs w:val="21"/>
              </w:rPr>
            </w:pP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359D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shd w:val="clear" w:color="auto" w:fill="auto"/>
            <w:vAlign w:val="center"/>
          </w:tcPr>
          <w:p w14:paraId="4C957A20">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810" w:type="dxa"/>
            <w:gridSpan w:val="9"/>
            <w:shd w:val="clear" w:color="auto" w:fill="auto"/>
            <w:vAlign w:val="center"/>
          </w:tcPr>
          <w:p w14:paraId="71013E9D">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p>
          <w:p w14:paraId="36BA49B2">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（2.2）着力提升乡镇生活垃圾治理水平，建立动态管控机制，发现问题，及时交办、整改。有序推进厨余垃圾处理。</w:t>
            </w:r>
          </w:p>
          <w:p w14:paraId="17C6E111">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kern w:val="0"/>
                <w:szCs w:val="21"/>
              </w:rPr>
              <w:t>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p>
        </w:tc>
        <w:tc>
          <w:tcPr>
            <w:tcW w:w="4021" w:type="dxa"/>
            <w:gridSpan w:val="2"/>
            <w:vMerge w:val="continue"/>
            <w:shd w:val="clear" w:color="auto" w:fill="auto"/>
          </w:tcPr>
          <w:p w14:paraId="3ED07DD1">
            <w:pPr>
              <w:rPr>
                <w:rFonts w:ascii="Times New Roman" w:hAnsi="Times New Roman" w:eastAsia="仿宋" w:cs="Times New Roman"/>
                <w:szCs w:val="21"/>
              </w:rPr>
            </w:pPr>
          </w:p>
        </w:tc>
      </w:tr>
      <w:tr w14:paraId="54DD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17" w:type="dxa"/>
            <w:shd w:val="clear" w:color="auto" w:fill="auto"/>
            <w:vAlign w:val="center"/>
          </w:tcPr>
          <w:p w14:paraId="7F15C6A0">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810" w:type="dxa"/>
            <w:gridSpan w:val="9"/>
            <w:shd w:val="clear" w:color="auto" w:fill="auto"/>
            <w:vAlign w:val="center"/>
          </w:tcPr>
          <w:p w14:paraId="2D103A62">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szCs w:val="21"/>
              </w:rPr>
              <w:t>（3.1）矿山开采区应进行必要的防渗处理，防治地下水污染。</w:t>
            </w:r>
            <w:r>
              <w:rPr>
                <w:rFonts w:ascii="Times New Roman" w:hAnsi="Times New Roman" w:eastAsia="仿宋" w:cs="Times New Roman"/>
                <w:kern w:val="0"/>
                <w:szCs w:val="21"/>
              </w:rPr>
              <w:t>全面推动绿色矿山建设，加快矿区生态修复治理。</w:t>
            </w:r>
          </w:p>
          <w:p w14:paraId="601E750A">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（3.2）按照《永州市“十四五”生态环境保护规划》、《道县“十四五”生态环境保护规划》强化环境风险管控，完善环境风险防控体系。</w:t>
            </w:r>
          </w:p>
        </w:tc>
        <w:tc>
          <w:tcPr>
            <w:tcW w:w="4021" w:type="dxa"/>
            <w:gridSpan w:val="2"/>
            <w:vMerge w:val="continue"/>
            <w:shd w:val="clear" w:color="auto" w:fill="auto"/>
          </w:tcPr>
          <w:p w14:paraId="5E6FEFB7">
            <w:pPr>
              <w:rPr>
                <w:rFonts w:ascii="Times New Roman" w:hAnsi="Times New Roman" w:eastAsia="仿宋" w:cs="Times New Roman"/>
                <w:szCs w:val="21"/>
              </w:rPr>
            </w:pPr>
          </w:p>
        </w:tc>
      </w:tr>
      <w:tr w14:paraId="66B1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17" w:type="dxa"/>
            <w:shd w:val="clear" w:color="auto" w:fill="auto"/>
            <w:vAlign w:val="center"/>
          </w:tcPr>
          <w:p w14:paraId="69E427B8">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810" w:type="dxa"/>
            <w:gridSpan w:val="9"/>
            <w:shd w:val="clear" w:color="auto" w:fill="auto"/>
            <w:vAlign w:val="center"/>
          </w:tcPr>
          <w:p w14:paraId="12822D1A">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bookmarkStart w:id="46" w:name="_Hlk58574954"/>
            <w:r>
              <w:rPr>
                <w:rFonts w:ascii="Times New Roman" w:hAnsi="Times New Roman" w:eastAsia="仿宋" w:cs="Times New Roman"/>
                <w:szCs w:val="21"/>
              </w:rPr>
              <w:t>（4.1）能源：</w:t>
            </w:r>
          </w:p>
          <w:p w14:paraId="4B567ABB">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积极发展风电、光伏、生物质等可再生能源，继续加大对风电的开发力度。积极推进洪塘营抽水蓄能水电站建设，加快四马桥、洪塘营、横岭等风电场项目建设，推进垃圾焚烧发电、光伏发电站、屋顶光伏发电、地源热泵等新能源项目。</w:t>
            </w:r>
          </w:p>
          <w:p w14:paraId="1B4D6818">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（4.2）水资源：</w:t>
            </w:r>
          </w:p>
          <w:bookmarkEnd w:id="46"/>
          <w:p w14:paraId="229D63C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22AF7806">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（4.2.2）有关部门应按要求组织完成小水电整治。完善小水电建设手续，规范建设秩序，有效保护和修复河流生态系统。</w:t>
            </w:r>
          </w:p>
          <w:p w14:paraId="422751C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szCs w:val="21"/>
              </w:rPr>
            </w:pPr>
            <w:r>
              <w:rPr>
                <w:rFonts w:ascii="Times New Roman" w:hAnsi="Times New Roman" w:eastAsia="仿宋" w:cs="Times New Roman"/>
                <w:szCs w:val="21"/>
              </w:rPr>
              <w:t>（4.3）土地资源：</w:t>
            </w:r>
          </w:p>
          <w:p w14:paraId="1733E978">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横岭瑶族乡、洪塘营瑶族乡、四马桥镇分别为492.76、819.44、1861.89公顷），永久基本农田保护面积不低于4.06万公顷（其中横岭瑶族乡、洪塘营瑶族乡、四马桥镇分别为467.62、715、57、1779.36公顷），全县生态保护红线面积不低于44930.26公顷；全县划定城镇开发边界4077.86公顷，划定城镇发展区 4386.37公顷，乡村发展区125445.17公顷，矿产能源发展区696.49公顷。</w:t>
            </w:r>
          </w:p>
        </w:tc>
        <w:tc>
          <w:tcPr>
            <w:tcW w:w="4021" w:type="dxa"/>
            <w:gridSpan w:val="2"/>
            <w:vMerge w:val="continue"/>
            <w:shd w:val="clear" w:color="auto" w:fill="auto"/>
          </w:tcPr>
          <w:p w14:paraId="3CF2A35F">
            <w:pPr>
              <w:rPr>
                <w:rFonts w:ascii="Times New Roman" w:hAnsi="Times New Roman" w:eastAsia="仿宋" w:cs="Times New Roman"/>
                <w:szCs w:val="21"/>
              </w:rPr>
            </w:pPr>
          </w:p>
        </w:tc>
      </w:tr>
    </w:tbl>
    <w:p w14:paraId="788F1770">
      <w:pPr>
        <w:jc w:val="left"/>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tbl>
      <w:tblPr>
        <w:tblStyle w:val="20"/>
        <w:tblW w:w="13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555"/>
        <w:gridCol w:w="602"/>
        <w:gridCol w:w="521"/>
        <w:gridCol w:w="591"/>
        <w:gridCol w:w="1190"/>
        <w:gridCol w:w="1271"/>
        <w:gridCol w:w="1349"/>
        <w:gridCol w:w="1271"/>
        <w:gridCol w:w="114"/>
        <w:gridCol w:w="2367"/>
        <w:gridCol w:w="1890"/>
      </w:tblGrid>
      <w:tr w14:paraId="4596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restart"/>
            <w:shd w:val="clear" w:color="auto" w:fill="auto"/>
            <w:vAlign w:val="center"/>
          </w:tcPr>
          <w:p w14:paraId="2629E975">
            <w:pPr>
              <w:jc w:val="center"/>
              <w:rPr>
                <w:rFonts w:ascii="Times New Roman" w:hAnsi="Times New Roman" w:eastAsia="仿宋" w:cs="Times New Roman"/>
                <w:b/>
                <w:bCs/>
                <w:szCs w:val="21"/>
              </w:rPr>
            </w:pPr>
            <w:r>
              <w:rPr>
                <w:rFonts w:ascii="Times New Roman" w:hAnsi="Times New Roman" w:eastAsia="仿宋" w:cs="Times New Roman"/>
                <w:b/>
                <w:bCs/>
                <w:szCs w:val="21"/>
              </w:rPr>
              <w:t>环境管控单元编码</w:t>
            </w:r>
          </w:p>
        </w:tc>
        <w:tc>
          <w:tcPr>
            <w:tcW w:w="1555" w:type="dxa"/>
            <w:vMerge w:val="restart"/>
            <w:shd w:val="clear" w:color="auto" w:fill="auto"/>
            <w:vAlign w:val="center"/>
          </w:tcPr>
          <w:p w14:paraId="7D51FDBF">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1714" w:type="dxa"/>
            <w:gridSpan w:val="3"/>
            <w:shd w:val="clear" w:color="auto" w:fill="auto"/>
            <w:vAlign w:val="center"/>
          </w:tcPr>
          <w:p w14:paraId="6D3F3426">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1190" w:type="dxa"/>
            <w:vMerge w:val="restart"/>
            <w:shd w:val="clear" w:color="auto" w:fill="auto"/>
            <w:vAlign w:val="center"/>
          </w:tcPr>
          <w:p w14:paraId="1373943F">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1271" w:type="dxa"/>
            <w:vMerge w:val="restart"/>
            <w:shd w:val="clear" w:color="auto" w:fill="auto"/>
            <w:vAlign w:val="center"/>
          </w:tcPr>
          <w:p w14:paraId="3C7295BB">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349" w:type="dxa"/>
            <w:vMerge w:val="restart"/>
            <w:shd w:val="clear" w:color="auto" w:fill="auto"/>
            <w:vAlign w:val="center"/>
          </w:tcPr>
          <w:p w14:paraId="273241AF">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271" w:type="dxa"/>
            <w:vMerge w:val="restart"/>
            <w:shd w:val="clear" w:color="auto" w:fill="auto"/>
            <w:vAlign w:val="center"/>
          </w:tcPr>
          <w:p w14:paraId="5796B1B0">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2481" w:type="dxa"/>
            <w:gridSpan w:val="2"/>
            <w:vMerge w:val="restart"/>
            <w:shd w:val="clear" w:color="auto" w:fill="auto"/>
            <w:vAlign w:val="center"/>
          </w:tcPr>
          <w:p w14:paraId="4648FB78">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1890" w:type="dxa"/>
            <w:vMerge w:val="restart"/>
            <w:shd w:val="clear" w:color="auto" w:fill="auto"/>
            <w:vAlign w:val="center"/>
          </w:tcPr>
          <w:p w14:paraId="7EBE6868">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377C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216" w:type="dxa"/>
            <w:vMerge w:val="continue"/>
            <w:shd w:val="clear" w:color="auto" w:fill="auto"/>
            <w:vAlign w:val="center"/>
          </w:tcPr>
          <w:p w14:paraId="6D9BFF37">
            <w:pPr>
              <w:jc w:val="center"/>
              <w:rPr>
                <w:rFonts w:ascii="Times New Roman" w:hAnsi="Times New Roman" w:eastAsia="仿宋" w:cs="Times New Roman"/>
                <w:szCs w:val="21"/>
              </w:rPr>
            </w:pPr>
          </w:p>
        </w:tc>
        <w:tc>
          <w:tcPr>
            <w:tcW w:w="1555" w:type="dxa"/>
            <w:vMerge w:val="continue"/>
            <w:shd w:val="clear" w:color="auto" w:fill="auto"/>
          </w:tcPr>
          <w:p w14:paraId="3C5626B4">
            <w:pPr>
              <w:rPr>
                <w:rFonts w:ascii="Times New Roman" w:hAnsi="Times New Roman" w:eastAsia="仿宋" w:cs="Times New Roman"/>
                <w:szCs w:val="21"/>
              </w:rPr>
            </w:pPr>
          </w:p>
        </w:tc>
        <w:tc>
          <w:tcPr>
            <w:tcW w:w="602" w:type="dxa"/>
            <w:shd w:val="clear" w:color="auto" w:fill="auto"/>
            <w:vAlign w:val="center"/>
          </w:tcPr>
          <w:p w14:paraId="7AC1F6DA">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521" w:type="dxa"/>
            <w:shd w:val="clear" w:color="auto" w:fill="auto"/>
            <w:vAlign w:val="center"/>
          </w:tcPr>
          <w:p w14:paraId="5CF2A734">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591" w:type="dxa"/>
            <w:shd w:val="clear" w:color="auto" w:fill="auto"/>
            <w:vAlign w:val="center"/>
          </w:tcPr>
          <w:p w14:paraId="400CFE1B">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1190" w:type="dxa"/>
            <w:vMerge w:val="continue"/>
            <w:shd w:val="clear" w:color="auto" w:fill="auto"/>
          </w:tcPr>
          <w:p w14:paraId="2831B966">
            <w:pPr>
              <w:rPr>
                <w:rFonts w:ascii="Times New Roman" w:hAnsi="Times New Roman" w:eastAsia="仿宋" w:cs="Times New Roman"/>
                <w:szCs w:val="21"/>
              </w:rPr>
            </w:pPr>
          </w:p>
        </w:tc>
        <w:tc>
          <w:tcPr>
            <w:tcW w:w="1271" w:type="dxa"/>
            <w:vMerge w:val="continue"/>
            <w:shd w:val="clear" w:color="auto" w:fill="auto"/>
          </w:tcPr>
          <w:p w14:paraId="43905850">
            <w:pPr>
              <w:rPr>
                <w:rFonts w:ascii="Times New Roman" w:hAnsi="Times New Roman" w:eastAsia="仿宋" w:cs="Times New Roman"/>
                <w:szCs w:val="21"/>
              </w:rPr>
            </w:pPr>
          </w:p>
        </w:tc>
        <w:tc>
          <w:tcPr>
            <w:tcW w:w="1349" w:type="dxa"/>
            <w:vMerge w:val="continue"/>
            <w:shd w:val="clear" w:color="auto" w:fill="auto"/>
          </w:tcPr>
          <w:p w14:paraId="0BCBE73A">
            <w:pPr>
              <w:rPr>
                <w:rFonts w:ascii="Times New Roman" w:hAnsi="Times New Roman" w:eastAsia="仿宋" w:cs="Times New Roman"/>
                <w:szCs w:val="21"/>
              </w:rPr>
            </w:pPr>
          </w:p>
        </w:tc>
        <w:tc>
          <w:tcPr>
            <w:tcW w:w="1271" w:type="dxa"/>
            <w:vMerge w:val="continue"/>
            <w:shd w:val="clear" w:color="auto" w:fill="auto"/>
          </w:tcPr>
          <w:p w14:paraId="7293A4AE">
            <w:pPr>
              <w:rPr>
                <w:rFonts w:ascii="Times New Roman" w:hAnsi="Times New Roman" w:eastAsia="仿宋" w:cs="Times New Roman"/>
                <w:szCs w:val="21"/>
              </w:rPr>
            </w:pPr>
          </w:p>
        </w:tc>
        <w:tc>
          <w:tcPr>
            <w:tcW w:w="2481" w:type="dxa"/>
            <w:gridSpan w:val="2"/>
            <w:vMerge w:val="continue"/>
            <w:shd w:val="clear" w:color="auto" w:fill="auto"/>
          </w:tcPr>
          <w:p w14:paraId="280ABABD">
            <w:pPr>
              <w:rPr>
                <w:rFonts w:ascii="Times New Roman" w:hAnsi="Times New Roman" w:eastAsia="仿宋" w:cs="Times New Roman"/>
                <w:szCs w:val="21"/>
              </w:rPr>
            </w:pPr>
          </w:p>
        </w:tc>
        <w:tc>
          <w:tcPr>
            <w:tcW w:w="1890" w:type="dxa"/>
            <w:vMerge w:val="continue"/>
            <w:shd w:val="clear" w:color="auto" w:fill="auto"/>
          </w:tcPr>
          <w:p w14:paraId="57A6A5C6">
            <w:pPr>
              <w:rPr>
                <w:rFonts w:ascii="Times New Roman" w:hAnsi="Times New Roman" w:eastAsia="仿宋" w:cs="Times New Roman"/>
                <w:szCs w:val="21"/>
              </w:rPr>
            </w:pPr>
          </w:p>
        </w:tc>
      </w:tr>
      <w:tr w14:paraId="5EAB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14:paraId="7A2F3983">
            <w:pPr>
              <w:jc w:val="center"/>
              <w:rPr>
                <w:rFonts w:ascii="Times New Roman" w:hAnsi="Times New Roman" w:eastAsia="仿宋" w:cs="Times New Roman"/>
                <w:szCs w:val="21"/>
              </w:rPr>
            </w:pPr>
            <w:r>
              <w:rPr>
                <w:rFonts w:ascii="Times New Roman" w:hAnsi="Times New Roman" w:eastAsia="仿宋" w:cs="Times New Roman"/>
                <w:szCs w:val="21"/>
              </w:rPr>
              <w:t>ZH43112410003</w:t>
            </w:r>
          </w:p>
        </w:tc>
        <w:tc>
          <w:tcPr>
            <w:tcW w:w="1555" w:type="dxa"/>
            <w:shd w:val="clear" w:color="auto" w:fill="auto"/>
            <w:vAlign w:val="center"/>
          </w:tcPr>
          <w:p w14:paraId="3CE7578C">
            <w:pPr>
              <w:jc w:val="center"/>
              <w:rPr>
                <w:rFonts w:ascii="Times New Roman" w:hAnsi="Times New Roman" w:eastAsia="仿宋" w:cs="Times New Roman"/>
                <w:szCs w:val="21"/>
              </w:rPr>
            </w:pPr>
            <w:r>
              <w:rPr>
                <w:rFonts w:ascii="Times New Roman" w:hAnsi="Times New Roman" w:eastAsia="仿宋" w:cs="Times New Roman"/>
                <w:szCs w:val="21"/>
              </w:rPr>
              <w:t>乐福堂镇/桥头镇</w:t>
            </w:r>
          </w:p>
        </w:tc>
        <w:tc>
          <w:tcPr>
            <w:tcW w:w="602" w:type="dxa"/>
            <w:shd w:val="clear" w:color="auto" w:fill="auto"/>
            <w:vAlign w:val="center"/>
          </w:tcPr>
          <w:p w14:paraId="36983B75">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521" w:type="dxa"/>
            <w:shd w:val="clear" w:color="auto" w:fill="auto"/>
            <w:vAlign w:val="center"/>
          </w:tcPr>
          <w:p w14:paraId="690D8F36">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591" w:type="dxa"/>
            <w:shd w:val="clear" w:color="auto" w:fill="auto"/>
            <w:vAlign w:val="center"/>
          </w:tcPr>
          <w:p w14:paraId="3CE6E280">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1190" w:type="dxa"/>
            <w:shd w:val="clear" w:color="auto" w:fill="auto"/>
            <w:vAlign w:val="center"/>
          </w:tcPr>
          <w:p w14:paraId="29EFF758">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271" w:type="dxa"/>
            <w:shd w:val="clear" w:color="auto" w:fill="auto"/>
            <w:vAlign w:val="center"/>
          </w:tcPr>
          <w:p w14:paraId="28EF1175">
            <w:pPr>
              <w:widowControl/>
              <w:jc w:val="center"/>
              <w:rPr>
                <w:rFonts w:ascii="Times New Roman" w:hAnsi="Times New Roman" w:eastAsia="仿宋" w:cs="Times New Roman"/>
                <w:szCs w:val="21"/>
              </w:rPr>
            </w:pPr>
            <w:r>
              <w:rPr>
                <w:rFonts w:ascii="Times New Roman" w:hAnsi="Times New Roman" w:eastAsia="仿宋" w:cs="Times New Roman"/>
                <w:szCs w:val="21"/>
              </w:rPr>
              <w:t>317.98</w:t>
            </w:r>
          </w:p>
        </w:tc>
        <w:tc>
          <w:tcPr>
            <w:tcW w:w="1349" w:type="dxa"/>
            <w:shd w:val="clear" w:color="auto" w:fill="auto"/>
            <w:vAlign w:val="center"/>
          </w:tcPr>
          <w:p w14:paraId="74EA837B">
            <w:pPr>
              <w:jc w:val="center"/>
              <w:rPr>
                <w:rFonts w:ascii="Times New Roman" w:hAnsi="Times New Roman" w:eastAsia="仿宋" w:cs="Times New Roman"/>
                <w:szCs w:val="21"/>
              </w:rPr>
            </w:pPr>
            <w:r>
              <w:rPr>
                <w:rFonts w:ascii="Times New Roman" w:hAnsi="Times New Roman" w:eastAsia="仿宋" w:cs="Times New Roman"/>
                <w:szCs w:val="21"/>
              </w:rPr>
              <w:t>乐福堂镇/桥头镇</w:t>
            </w:r>
          </w:p>
        </w:tc>
        <w:tc>
          <w:tcPr>
            <w:tcW w:w="1271" w:type="dxa"/>
            <w:shd w:val="clear" w:color="auto" w:fill="auto"/>
            <w:vAlign w:val="center"/>
          </w:tcPr>
          <w:p w14:paraId="6084471F">
            <w:pPr>
              <w:jc w:val="center"/>
              <w:rPr>
                <w:rFonts w:ascii="Times New Roman" w:hAnsi="Times New Roman" w:eastAsia="仿宋" w:cs="Times New Roman"/>
                <w:szCs w:val="21"/>
              </w:rPr>
            </w:pPr>
            <w:r>
              <w:rPr>
                <w:rFonts w:ascii="Times New Roman" w:hAnsi="Times New Roman" w:eastAsia="仿宋" w:cs="Times New Roman"/>
                <w:kern w:val="0"/>
                <w:szCs w:val="21"/>
              </w:rPr>
              <w:t>重点生态功能区</w:t>
            </w:r>
          </w:p>
        </w:tc>
        <w:tc>
          <w:tcPr>
            <w:tcW w:w="2481" w:type="dxa"/>
            <w:gridSpan w:val="2"/>
            <w:shd w:val="clear" w:color="auto" w:fill="auto"/>
            <w:vAlign w:val="center"/>
          </w:tcPr>
          <w:p w14:paraId="5F13A5FD">
            <w:pPr>
              <w:rPr>
                <w:rFonts w:ascii="Times New Roman" w:hAnsi="Times New Roman" w:eastAsia="仿宋" w:cs="Times New Roman"/>
                <w:szCs w:val="21"/>
              </w:rPr>
            </w:pPr>
            <w:r>
              <w:rPr>
                <w:rFonts w:ascii="Times New Roman" w:hAnsi="Times New Roman" w:eastAsia="仿宋" w:cs="Times New Roman"/>
                <w:b/>
                <w:bCs/>
                <w:szCs w:val="21"/>
              </w:rPr>
              <w:t>乐福堂镇：</w:t>
            </w:r>
            <w:r>
              <w:rPr>
                <w:rFonts w:ascii="Times New Roman" w:hAnsi="Times New Roman" w:eastAsia="仿宋" w:cs="Times New Roman"/>
                <w:szCs w:val="21"/>
              </w:rPr>
              <w:t>农业、养殖业、</w:t>
            </w:r>
            <w:r>
              <w:rPr>
                <w:rFonts w:ascii="Times New Roman" w:hAnsi="Times New Roman" w:eastAsia="仿宋" w:cs="Times New Roman"/>
                <w:color w:val="000000"/>
                <w:kern w:val="0"/>
                <w:szCs w:val="21"/>
                <w:lang w:bidi="ar"/>
              </w:rPr>
              <w:t>风力发电</w:t>
            </w:r>
            <w:r>
              <w:rPr>
                <w:rFonts w:ascii="Times New Roman" w:hAnsi="Times New Roman" w:eastAsia="仿宋" w:cs="Times New Roman"/>
                <w:szCs w:val="21"/>
              </w:rPr>
              <w:t>。</w:t>
            </w:r>
          </w:p>
          <w:p w14:paraId="0D0333B3">
            <w:pPr>
              <w:widowControl/>
              <w:jc w:val="left"/>
              <w:rPr>
                <w:rFonts w:ascii="Times New Roman" w:hAnsi="Times New Roman" w:eastAsia="仿宋" w:cs="Times New Roman"/>
                <w:szCs w:val="21"/>
              </w:rPr>
            </w:pPr>
            <w:r>
              <w:rPr>
                <w:rFonts w:ascii="Times New Roman" w:hAnsi="Times New Roman" w:eastAsia="仿宋" w:cs="Times New Roman"/>
                <w:b/>
                <w:bCs/>
                <w:szCs w:val="21"/>
              </w:rPr>
              <w:t>桥头镇：</w:t>
            </w:r>
            <w:r>
              <w:rPr>
                <w:rFonts w:ascii="Times New Roman" w:hAnsi="Times New Roman" w:eastAsia="仿宋" w:cs="Times New Roman"/>
                <w:szCs w:val="21"/>
              </w:rPr>
              <w:t>农业、林业、旅游业，</w:t>
            </w:r>
            <w:r>
              <w:rPr>
                <w:rFonts w:ascii="Times New Roman" w:hAnsi="Times New Roman" w:eastAsia="仿宋" w:cs="Times New Roman"/>
                <w:color w:val="000000"/>
                <w:kern w:val="0"/>
                <w:szCs w:val="21"/>
                <w:lang w:bidi="ar"/>
              </w:rPr>
              <w:t>粘土砖瓦及建筑砌块制造、风力发电</w:t>
            </w:r>
            <w:r>
              <w:rPr>
                <w:rFonts w:ascii="Times New Roman" w:hAnsi="Times New Roman" w:eastAsia="仿宋" w:cs="Times New Roman"/>
                <w:szCs w:val="21"/>
              </w:rPr>
              <w:t>。</w:t>
            </w:r>
          </w:p>
        </w:tc>
        <w:tc>
          <w:tcPr>
            <w:tcW w:w="1890" w:type="dxa"/>
            <w:shd w:val="clear" w:color="auto" w:fill="auto"/>
            <w:vAlign w:val="center"/>
          </w:tcPr>
          <w:p w14:paraId="63C5B30A">
            <w:pPr>
              <w:rPr>
                <w:rFonts w:ascii="Times New Roman" w:hAnsi="Times New Roman" w:eastAsia="仿宋" w:cs="Times New Roman"/>
                <w:szCs w:val="21"/>
              </w:rPr>
            </w:pPr>
            <w:r>
              <w:rPr>
                <w:rFonts w:ascii="Times New Roman" w:hAnsi="Times New Roman" w:eastAsia="仿宋" w:cs="Times New Roman"/>
                <w:b/>
                <w:szCs w:val="21"/>
              </w:rPr>
              <w:t>环境问题</w:t>
            </w:r>
            <w:r>
              <w:rPr>
                <w:rFonts w:ascii="Times New Roman" w:hAnsi="Times New Roman" w:eastAsia="仿宋" w:cs="Times New Roman"/>
                <w:szCs w:val="21"/>
              </w:rPr>
              <w:t>：</w:t>
            </w:r>
          </w:p>
          <w:p w14:paraId="3932E893">
            <w:pPr>
              <w:rPr>
                <w:rFonts w:ascii="Times New Roman" w:hAnsi="Times New Roman" w:eastAsia="仿宋" w:cs="Times New Roman"/>
                <w:szCs w:val="21"/>
              </w:rPr>
            </w:pPr>
            <w:r>
              <w:rPr>
                <w:rFonts w:ascii="Times New Roman" w:hAnsi="Times New Roman" w:eastAsia="仿宋" w:cs="Times New Roman"/>
                <w:szCs w:val="21"/>
              </w:rPr>
              <w:t>无明显环境问题。</w:t>
            </w:r>
          </w:p>
          <w:p w14:paraId="3B03E2C5">
            <w:pPr>
              <w:rPr>
                <w:rFonts w:ascii="Times New Roman" w:hAnsi="Times New Roman" w:eastAsia="仿宋" w:cs="Times New Roman"/>
                <w:b/>
                <w:szCs w:val="21"/>
              </w:rPr>
            </w:pPr>
            <w:r>
              <w:rPr>
                <w:rFonts w:ascii="Times New Roman" w:hAnsi="Times New Roman" w:eastAsia="仿宋" w:cs="Times New Roman"/>
                <w:b/>
                <w:szCs w:val="21"/>
              </w:rPr>
              <w:t>环保目标：</w:t>
            </w:r>
          </w:p>
          <w:p w14:paraId="24753C15">
            <w:pPr>
              <w:rPr>
                <w:rFonts w:ascii="Times New Roman" w:hAnsi="Times New Roman" w:eastAsia="仿宋" w:cs="Times New Roman"/>
                <w:szCs w:val="21"/>
              </w:rPr>
            </w:pPr>
            <w:r>
              <w:rPr>
                <w:rFonts w:ascii="Times New Roman" w:hAnsi="Times New Roman" w:eastAsia="仿宋" w:cs="Times New Roman"/>
                <w:kern w:val="0"/>
                <w:szCs w:val="21"/>
              </w:rPr>
              <w:t>湖南到江源县级自然保护区。</w:t>
            </w:r>
          </w:p>
        </w:tc>
      </w:tr>
      <w:tr w14:paraId="5215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16" w:type="dxa"/>
            <w:shd w:val="clear" w:color="auto" w:fill="auto"/>
            <w:vAlign w:val="center"/>
          </w:tcPr>
          <w:p w14:paraId="3BBE9DA8">
            <w:pPr>
              <w:jc w:val="center"/>
              <w:rPr>
                <w:rFonts w:ascii="Times New Roman" w:hAnsi="Times New Roman" w:eastAsia="仿宋" w:cs="Times New Roman"/>
                <w:b/>
                <w:bCs/>
                <w:szCs w:val="21"/>
              </w:rPr>
            </w:pPr>
            <w:r>
              <w:rPr>
                <w:rFonts w:ascii="Times New Roman" w:hAnsi="Times New Roman" w:eastAsia="仿宋" w:cs="Times New Roman"/>
                <w:b/>
                <w:bCs/>
                <w:szCs w:val="21"/>
              </w:rPr>
              <w:t>主要属性</w:t>
            </w:r>
          </w:p>
        </w:tc>
        <w:tc>
          <w:tcPr>
            <w:tcW w:w="12721" w:type="dxa"/>
            <w:gridSpan w:val="11"/>
            <w:shd w:val="clear" w:color="auto" w:fill="auto"/>
          </w:tcPr>
          <w:p w14:paraId="52107AB4">
            <w:pPr>
              <w:rPr>
                <w:rFonts w:ascii="Times New Roman" w:hAnsi="Times New Roman" w:eastAsia="仿宋" w:cs="Times New Roman"/>
                <w:kern w:val="0"/>
                <w:szCs w:val="21"/>
              </w:rPr>
            </w:pPr>
            <w:r>
              <w:rPr>
                <w:rFonts w:ascii="Times New Roman" w:hAnsi="Times New Roman" w:eastAsia="仿宋" w:cs="Times New Roman"/>
                <w:b/>
                <w:bCs/>
                <w:szCs w:val="21"/>
              </w:rPr>
              <w:t>乐福堂</w:t>
            </w:r>
            <w:r>
              <w:rPr>
                <w:rFonts w:ascii="Times New Roman" w:hAnsi="Times New Roman" w:eastAsia="仿宋" w:cs="Times New Roman"/>
                <w:b/>
                <w:szCs w:val="21"/>
              </w:rPr>
              <w:t>镇</w:t>
            </w:r>
            <w:r>
              <w:rPr>
                <w:rFonts w:ascii="Times New Roman" w:hAnsi="Times New Roman" w:eastAsia="仿宋" w:cs="Times New Roman"/>
                <w:b/>
                <w:bCs/>
                <w:szCs w:val="21"/>
              </w:rPr>
              <w:t>：</w:t>
            </w:r>
          </w:p>
          <w:p w14:paraId="7A760D1C">
            <w:pPr>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水土保持功能重要区/水土流失敏感区/水源涵养重要区/森林公园/三区三线生态红线/原生态红线）；水环境一般管控区；大气环境优先保护区/大气环境受体敏感重点管控区；农用地优先保护区/一般管控区</w:t>
            </w:r>
            <w:r>
              <w:rPr>
                <w:rFonts w:ascii="Times New Roman" w:hAnsi="Times New Roman" w:eastAsia="仿宋" w:cs="Times New Roman"/>
                <w:szCs w:val="21"/>
              </w:rPr>
              <w:t xml:space="preserve"> </w:t>
            </w:r>
          </w:p>
          <w:p w14:paraId="33037B8D">
            <w:pPr>
              <w:rPr>
                <w:rFonts w:ascii="Times New Roman" w:hAnsi="Times New Roman" w:eastAsia="仿宋" w:cs="Times New Roman"/>
                <w:kern w:val="0"/>
                <w:szCs w:val="21"/>
              </w:rPr>
            </w:pPr>
            <w:r>
              <w:rPr>
                <w:rFonts w:ascii="Times New Roman" w:hAnsi="Times New Roman" w:eastAsia="仿宋" w:cs="Times New Roman"/>
                <w:b/>
                <w:bCs/>
                <w:szCs w:val="21"/>
              </w:rPr>
              <w:t>桥头镇：</w:t>
            </w:r>
          </w:p>
          <w:p w14:paraId="7B22FC47">
            <w:pPr>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石漠化敏感区/水土流失敏感区/水源涵养重要区/森林公园/三区三线生态红线/原生态红线）；水环境一般管控区；大气环境优先保护区/大气环境受体敏感重点管控区；农用地优先保护区/一般管控区/其他重点管控区</w:t>
            </w:r>
            <w:r>
              <w:rPr>
                <w:rFonts w:ascii="Times New Roman" w:hAnsi="Times New Roman" w:eastAsia="仿宋" w:cs="Times New Roman"/>
                <w:szCs w:val="21"/>
              </w:rPr>
              <w:t xml:space="preserve"> </w:t>
            </w:r>
          </w:p>
        </w:tc>
      </w:tr>
      <w:tr w14:paraId="442D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16" w:type="dxa"/>
            <w:shd w:val="clear" w:color="auto" w:fill="auto"/>
            <w:vAlign w:val="center"/>
          </w:tcPr>
          <w:p w14:paraId="6FB5DBF0">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8464" w:type="dxa"/>
            <w:gridSpan w:val="9"/>
            <w:shd w:val="clear" w:color="auto" w:fill="auto"/>
          </w:tcPr>
          <w:p w14:paraId="5D12A417">
            <w:pPr>
              <w:jc w:val="center"/>
              <w:rPr>
                <w:rFonts w:ascii="Times New Roman" w:hAnsi="Times New Roman" w:eastAsia="仿宋" w:cs="Times New Roman"/>
                <w:szCs w:val="21"/>
              </w:rPr>
            </w:pPr>
            <w:r>
              <w:rPr>
                <w:rFonts w:ascii="Times New Roman" w:hAnsi="Times New Roman" w:eastAsia="仿宋" w:cs="Times New Roman"/>
                <w:szCs w:val="21"/>
              </w:rPr>
              <w:t>管控要求</w:t>
            </w:r>
          </w:p>
        </w:tc>
        <w:tc>
          <w:tcPr>
            <w:tcW w:w="4257" w:type="dxa"/>
            <w:gridSpan w:val="2"/>
            <w:shd w:val="clear" w:color="auto" w:fill="auto"/>
          </w:tcPr>
          <w:p w14:paraId="2BA585D1">
            <w:pPr>
              <w:jc w:val="center"/>
              <w:rPr>
                <w:rFonts w:ascii="Times New Roman" w:hAnsi="Times New Roman" w:eastAsia="仿宋" w:cs="Times New Roman"/>
                <w:szCs w:val="21"/>
              </w:rPr>
            </w:pPr>
            <w:r>
              <w:rPr>
                <w:rFonts w:ascii="Times New Roman" w:hAnsi="Times New Roman" w:eastAsia="仿宋" w:cs="Times New Roman"/>
                <w:szCs w:val="21"/>
              </w:rPr>
              <w:t>编制依据</w:t>
            </w:r>
          </w:p>
        </w:tc>
      </w:tr>
      <w:tr w14:paraId="1976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216" w:type="dxa"/>
            <w:shd w:val="clear" w:color="auto" w:fill="auto"/>
            <w:vAlign w:val="center"/>
          </w:tcPr>
          <w:p w14:paraId="024F87B8">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464" w:type="dxa"/>
            <w:gridSpan w:val="9"/>
            <w:shd w:val="clear" w:color="auto" w:fill="auto"/>
            <w:vAlign w:val="center"/>
          </w:tcPr>
          <w:p w14:paraId="4A2D976A">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（1.1）畜禽养殖产业布局应符合《道县畜禽养殖污染防治规划（2021~2025 年）》的要求。</w:t>
            </w:r>
          </w:p>
          <w:p w14:paraId="294653A6">
            <w:pPr>
              <w:tabs>
                <w:tab w:val="left" w:pos="1021"/>
              </w:tabs>
              <w:ind w:firstLine="420" w:firstLineChars="200"/>
              <w:rPr>
                <w:rFonts w:ascii="Times New Roman" w:hAnsi="Times New Roman" w:eastAsia="仿宋" w:cs="Times New Roman"/>
                <w:szCs w:val="21"/>
                <w:shd w:val="clear" w:color="auto" w:fill="FFFFFF"/>
              </w:rPr>
            </w:pPr>
            <w:r>
              <w:rPr>
                <w:rFonts w:ascii="Times New Roman" w:hAnsi="Times New Roman" w:eastAsia="仿宋" w:cs="Times New Roman"/>
                <w:kern w:val="0"/>
                <w:szCs w:val="21"/>
              </w:rPr>
              <w:t>（1.2）生态保护红线内自然保护区、风景名胜区、饮用水水源保护区等区域依照相关法律法规执行。</w:t>
            </w:r>
          </w:p>
        </w:tc>
        <w:tc>
          <w:tcPr>
            <w:tcW w:w="4257" w:type="dxa"/>
            <w:gridSpan w:val="2"/>
            <w:vMerge w:val="restart"/>
            <w:shd w:val="clear" w:color="auto" w:fill="auto"/>
          </w:tcPr>
          <w:p w14:paraId="39AF4BC0">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5AE7AE74">
            <w:pPr>
              <w:rPr>
                <w:rFonts w:ascii="Times New Roman" w:hAnsi="Times New Roman" w:eastAsia="仿宋" w:cs="Times New Roman"/>
                <w:szCs w:val="21"/>
              </w:rPr>
            </w:pPr>
            <w:r>
              <w:rPr>
                <w:rFonts w:ascii="Times New Roman" w:hAnsi="Times New Roman" w:eastAsia="仿宋" w:cs="Times New Roman"/>
                <w:kern w:val="0"/>
                <w:szCs w:val="21"/>
              </w:rPr>
              <w:t>（1.2）《道县国土空间总体规划（2021-2035年）》；</w:t>
            </w:r>
          </w:p>
          <w:p w14:paraId="0731128B">
            <w:pPr>
              <w:rPr>
                <w:rFonts w:ascii="Times New Roman" w:hAnsi="Times New Roman" w:eastAsia="仿宋" w:cs="Times New Roman"/>
                <w:szCs w:val="21"/>
              </w:rPr>
            </w:pPr>
            <w:r>
              <w:rPr>
                <w:rFonts w:ascii="Times New Roman" w:hAnsi="Times New Roman" w:eastAsia="仿宋" w:cs="Times New Roman"/>
                <w:szCs w:val="21"/>
              </w:rPr>
              <w:t>（2.1）（2.2）（3.1）《2023 年道县污染防治攻坚战工作方案》；</w:t>
            </w:r>
          </w:p>
          <w:p w14:paraId="7B8C32B0">
            <w:pPr>
              <w:rPr>
                <w:rFonts w:ascii="Times New Roman" w:hAnsi="Times New Roman" w:eastAsia="仿宋" w:cs="Times New Roman"/>
                <w:kern w:val="0"/>
                <w:szCs w:val="21"/>
              </w:rPr>
            </w:pPr>
            <w:r>
              <w:rPr>
                <w:rFonts w:ascii="Times New Roman" w:hAnsi="Times New Roman" w:eastAsia="仿宋" w:cs="Times New Roman"/>
                <w:kern w:val="0"/>
                <w:szCs w:val="21"/>
              </w:rPr>
              <w:t>（2.3）《道县畜禽养殖污染防治规划（2021~2025 年）》；</w:t>
            </w:r>
          </w:p>
          <w:p w14:paraId="57604594">
            <w:pPr>
              <w:rPr>
                <w:rFonts w:ascii="Times New Roman" w:hAnsi="Times New Roman" w:eastAsia="仿宋" w:cs="Times New Roman"/>
                <w:szCs w:val="21"/>
              </w:rPr>
            </w:pPr>
            <w:r>
              <w:rPr>
                <w:rFonts w:ascii="Times New Roman" w:hAnsi="Times New Roman" w:eastAsia="仿宋" w:cs="Times New Roman"/>
                <w:szCs w:val="21"/>
              </w:rPr>
              <w:t>（3.1）《道县国民经济和社会发展第十四个五年规划和二〇三五年远景目标纲要》；</w:t>
            </w:r>
          </w:p>
          <w:p w14:paraId="2062CA70">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5354CAEF">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70D9B38D">
            <w:pPr>
              <w:rPr>
                <w:rFonts w:ascii="Times New Roman" w:hAnsi="Times New Roman" w:eastAsia="仿宋" w:cs="Times New Roman"/>
                <w:szCs w:val="21"/>
              </w:rPr>
            </w:pPr>
            <w:r>
              <w:rPr>
                <w:rFonts w:ascii="Times New Roman" w:hAnsi="Times New Roman" w:eastAsia="仿宋" w:cs="Times New Roman"/>
                <w:szCs w:val="21"/>
              </w:rPr>
              <w:t>（4.1）《道县国民经济和社会发展第十四个五年规划和二〇三五年远景目标纲要》；</w:t>
            </w:r>
          </w:p>
          <w:p w14:paraId="712A30CB">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0AEA1F54">
            <w:pPr>
              <w:adjustRightInd w:val="0"/>
              <w:snapToGrid w:val="0"/>
              <w:rPr>
                <w:rFonts w:ascii="Times New Roman" w:hAnsi="Times New Roman" w:eastAsia="仿宋" w:cs="Times New Roman"/>
                <w:szCs w:val="21"/>
              </w:rPr>
            </w:pPr>
            <w:r>
              <w:rPr>
                <w:rFonts w:ascii="Times New Roman" w:hAnsi="Times New Roman" w:eastAsia="仿宋" w:cs="Times New Roman"/>
                <w:szCs w:val="21"/>
              </w:rPr>
              <w:t>（4.2.2）《永州市小水电清理整改工作方案》（永水发〔2019〕6号）；</w:t>
            </w:r>
          </w:p>
          <w:p w14:paraId="11FEA0B1">
            <w:pPr>
              <w:rPr>
                <w:rFonts w:ascii="Times New Roman" w:hAnsi="Times New Roman" w:eastAsia="仿宋" w:cs="Times New Roman"/>
                <w:kern w:val="0"/>
                <w:szCs w:val="21"/>
              </w:rPr>
            </w:pP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4279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14:paraId="428E99BC">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464" w:type="dxa"/>
            <w:gridSpan w:val="9"/>
            <w:shd w:val="clear" w:color="auto" w:fill="auto"/>
            <w:vAlign w:val="center"/>
          </w:tcPr>
          <w:p w14:paraId="06B43BB5">
            <w:pPr>
              <w:ind w:firstLine="420" w:firstLineChars="200"/>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p>
          <w:p w14:paraId="6BC094D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（2.2）着力提升乡镇生活垃圾治理水平，建立动态管控机制，发现问题，及时交办、整改。有序推进厨余垃圾处理。</w:t>
            </w:r>
          </w:p>
          <w:p w14:paraId="461970C4">
            <w:pPr>
              <w:ind w:firstLine="420" w:firstLineChars="200"/>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kern w:val="0"/>
                <w:szCs w:val="21"/>
              </w:rPr>
              <w:t>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p>
        </w:tc>
        <w:tc>
          <w:tcPr>
            <w:tcW w:w="4257" w:type="dxa"/>
            <w:gridSpan w:val="2"/>
            <w:vMerge w:val="continue"/>
            <w:shd w:val="clear" w:color="auto" w:fill="auto"/>
          </w:tcPr>
          <w:p w14:paraId="425C7659">
            <w:pPr>
              <w:rPr>
                <w:rFonts w:ascii="Times New Roman" w:hAnsi="Times New Roman" w:eastAsia="仿宋" w:cs="Times New Roman"/>
                <w:szCs w:val="21"/>
              </w:rPr>
            </w:pPr>
          </w:p>
        </w:tc>
      </w:tr>
      <w:tr w14:paraId="5B3F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16" w:type="dxa"/>
            <w:shd w:val="clear" w:color="auto" w:fill="auto"/>
            <w:vAlign w:val="center"/>
          </w:tcPr>
          <w:p w14:paraId="4A1D591B">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464" w:type="dxa"/>
            <w:gridSpan w:val="9"/>
            <w:shd w:val="clear" w:color="auto" w:fill="auto"/>
            <w:vAlign w:val="center"/>
          </w:tcPr>
          <w:p w14:paraId="2FFE7147">
            <w:pPr>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（3.1）矿山开采区应进行必要的防渗处理，防治地下水污染。</w:t>
            </w:r>
            <w:r>
              <w:rPr>
                <w:rFonts w:ascii="Times New Roman" w:hAnsi="Times New Roman" w:eastAsia="仿宋" w:cs="Times New Roman"/>
                <w:kern w:val="0"/>
                <w:szCs w:val="21"/>
              </w:rPr>
              <w:t>全面推动绿色矿山建设，加快矿区生态修复治理。</w:t>
            </w:r>
          </w:p>
          <w:p w14:paraId="5BA71CC6">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（3.2）按照《永州市“十四五”生态环境保护规划》、《道县“十四五”生态环境保护规划》强化环境风险管控，完善环境风险防控体系。</w:t>
            </w:r>
          </w:p>
        </w:tc>
        <w:tc>
          <w:tcPr>
            <w:tcW w:w="4257" w:type="dxa"/>
            <w:gridSpan w:val="2"/>
            <w:vMerge w:val="continue"/>
            <w:shd w:val="clear" w:color="auto" w:fill="auto"/>
          </w:tcPr>
          <w:p w14:paraId="5660967C">
            <w:pPr>
              <w:rPr>
                <w:rFonts w:ascii="Times New Roman" w:hAnsi="Times New Roman" w:eastAsia="仿宋" w:cs="Times New Roman"/>
                <w:szCs w:val="21"/>
              </w:rPr>
            </w:pPr>
          </w:p>
        </w:tc>
      </w:tr>
      <w:tr w14:paraId="66E2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16" w:type="dxa"/>
            <w:shd w:val="clear" w:color="auto" w:fill="auto"/>
            <w:vAlign w:val="center"/>
          </w:tcPr>
          <w:p w14:paraId="46911A1A">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464" w:type="dxa"/>
            <w:gridSpan w:val="9"/>
            <w:shd w:val="clear" w:color="auto" w:fill="auto"/>
            <w:vAlign w:val="center"/>
          </w:tcPr>
          <w:p w14:paraId="3142ED8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5272E82D">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积极发展风电、光伏、生物质等可再生能源，继续加大对风电的开发力度。加快</w:t>
            </w:r>
            <w:r>
              <w:rPr>
                <w:rFonts w:ascii="Times New Roman" w:hAnsi="Times New Roman" w:eastAsia="仿宋" w:cs="Times New Roman"/>
                <w:szCs w:val="21"/>
              </w:rPr>
              <w:t>乐福堂、桥头</w:t>
            </w:r>
            <w:r>
              <w:rPr>
                <w:rFonts w:ascii="Times New Roman" w:hAnsi="Times New Roman" w:eastAsia="仿宋" w:cs="Times New Roman"/>
                <w:kern w:val="0"/>
                <w:szCs w:val="21"/>
              </w:rPr>
              <w:t>等风电场项目建设，推进垃圾焚烧发电、光伏发电站、屋顶光伏发电、地源热泵等新能源项目。</w:t>
            </w:r>
          </w:p>
          <w:p w14:paraId="544EC1F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509CE674">
            <w:pPr>
              <w:tabs>
                <w:tab w:val="left" w:pos="1021"/>
              </w:tabs>
              <w:ind w:firstLine="420" w:firstLineChars="200"/>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00698EF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（4.2.2）有关部门应按要求组织完成小水电整治。完善小水电建设手续，规范建设秩序，有效保护和修复河流生态系统。</w:t>
            </w:r>
          </w:p>
          <w:p w14:paraId="12C4709A">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7A65B057">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w:t>
            </w:r>
            <w:r>
              <w:rPr>
                <w:rFonts w:ascii="Times New Roman" w:hAnsi="Times New Roman" w:eastAsia="仿宋" w:cs="Times New Roman"/>
                <w:szCs w:val="21"/>
              </w:rPr>
              <w:t>乐福堂镇、桥头镇</w:t>
            </w:r>
            <w:r>
              <w:rPr>
                <w:rFonts w:ascii="Times New Roman" w:hAnsi="Times New Roman" w:eastAsia="仿宋" w:cs="Times New Roman"/>
                <w:kern w:val="0"/>
                <w:szCs w:val="21"/>
              </w:rPr>
              <w:t>分别为1252.93、2221.84公顷），永久基本农田保护面积不低于4.06万公顷（其中</w:t>
            </w:r>
            <w:r>
              <w:rPr>
                <w:rFonts w:ascii="Times New Roman" w:hAnsi="Times New Roman" w:eastAsia="仿宋" w:cs="Times New Roman"/>
                <w:szCs w:val="21"/>
              </w:rPr>
              <w:t>乐福堂镇、桥头镇</w:t>
            </w:r>
            <w:r>
              <w:rPr>
                <w:rFonts w:ascii="Times New Roman" w:hAnsi="Times New Roman" w:eastAsia="仿宋" w:cs="Times New Roman"/>
                <w:kern w:val="0"/>
                <w:szCs w:val="21"/>
              </w:rPr>
              <w:t>分别为1181.73、2110.17公顷），全县生态保护红线面积不低于44930.26公顷；全县划定城镇开发边界4077.86公顷，划定城镇发展区 4386.37公顷，乡村发展区125445.17公顷，矿产能源发展区696.49公顷。</w:t>
            </w:r>
          </w:p>
        </w:tc>
        <w:tc>
          <w:tcPr>
            <w:tcW w:w="4257" w:type="dxa"/>
            <w:gridSpan w:val="2"/>
            <w:vMerge w:val="continue"/>
            <w:shd w:val="clear" w:color="auto" w:fill="auto"/>
          </w:tcPr>
          <w:p w14:paraId="39D0F83F">
            <w:pPr>
              <w:rPr>
                <w:rFonts w:ascii="Times New Roman" w:hAnsi="Times New Roman" w:eastAsia="仿宋" w:cs="Times New Roman"/>
                <w:szCs w:val="21"/>
              </w:rPr>
            </w:pPr>
          </w:p>
        </w:tc>
      </w:tr>
    </w:tbl>
    <w:p w14:paraId="759C2847">
      <w:pPr>
        <w:widowControl/>
        <w:jc w:val="left"/>
        <w:rPr>
          <w:rFonts w:ascii="Times New Roman" w:hAnsi="Times New Roman" w:eastAsia="仿宋" w:cs="Times New Roman"/>
          <w:b/>
          <w:szCs w:val="21"/>
        </w:rPr>
      </w:pPr>
    </w:p>
    <w:p w14:paraId="1B881A3D">
      <w:pPr>
        <w:widowControl/>
        <w:jc w:val="left"/>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p>
    <w:tbl>
      <w:tblPr>
        <w:tblStyle w:val="20"/>
        <w:tblW w:w="13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012"/>
        <w:gridCol w:w="850"/>
        <w:gridCol w:w="725"/>
        <w:gridCol w:w="797"/>
        <w:gridCol w:w="895"/>
        <w:gridCol w:w="1190"/>
        <w:gridCol w:w="1109"/>
        <w:gridCol w:w="1600"/>
        <w:gridCol w:w="69"/>
        <w:gridCol w:w="2144"/>
        <w:gridCol w:w="2322"/>
      </w:tblGrid>
      <w:tr w14:paraId="79D1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vMerge w:val="restart"/>
            <w:shd w:val="clear" w:color="auto" w:fill="auto"/>
            <w:vAlign w:val="center"/>
          </w:tcPr>
          <w:p w14:paraId="26C30BAE">
            <w:pPr>
              <w:jc w:val="center"/>
              <w:rPr>
                <w:rFonts w:ascii="Times New Roman" w:hAnsi="Times New Roman" w:eastAsia="仿宋" w:cs="Times New Roman"/>
                <w:b/>
                <w:bCs/>
                <w:szCs w:val="21"/>
              </w:rPr>
            </w:pPr>
            <w:r>
              <w:rPr>
                <w:rFonts w:ascii="Times New Roman" w:hAnsi="Times New Roman" w:eastAsia="仿宋" w:cs="Times New Roman"/>
                <w:b/>
                <w:bCs/>
                <w:szCs w:val="21"/>
              </w:rPr>
              <w:t>环境管控单元编码</w:t>
            </w:r>
          </w:p>
        </w:tc>
        <w:tc>
          <w:tcPr>
            <w:tcW w:w="1012" w:type="dxa"/>
            <w:vMerge w:val="restart"/>
            <w:shd w:val="clear" w:color="auto" w:fill="auto"/>
            <w:vAlign w:val="center"/>
          </w:tcPr>
          <w:p w14:paraId="22A4BFC3">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2372" w:type="dxa"/>
            <w:gridSpan w:val="3"/>
            <w:shd w:val="clear" w:color="auto" w:fill="auto"/>
            <w:vAlign w:val="center"/>
          </w:tcPr>
          <w:p w14:paraId="35D46FA1">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895" w:type="dxa"/>
            <w:vMerge w:val="restart"/>
            <w:shd w:val="clear" w:color="auto" w:fill="auto"/>
            <w:vAlign w:val="center"/>
          </w:tcPr>
          <w:p w14:paraId="7787E5CF">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1190" w:type="dxa"/>
            <w:vMerge w:val="restart"/>
            <w:shd w:val="clear" w:color="auto" w:fill="auto"/>
            <w:vAlign w:val="center"/>
          </w:tcPr>
          <w:p w14:paraId="54F42E63">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109" w:type="dxa"/>
            <w:vMerge w:val="restart"/>
            <w:shd w:val="clear" w:color="auto" w:fill="auto"/>
            <w:vAlign w:val="center"/>
          </w:tcPr>
          <w:p w14:paraId="4581C129">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600" w:type="dxa"/>
            <w:vMerge w:val="restart"/>
            <w:shd w:val="clear" w:color="auto" w:fill="auto"/>
            <w:vAlign w:val="center"/>
          </w:tcPr>
          <w:p w14:paraId="380ABF01">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2213" w:type="dxa"/>
            <w:gridSpan w:val="2"/>
            <w:vMerge w:val="restart"/>
            <w:shd w:val="clear" w:color="auto" w:fill="auto"/>
            <w:vAlign w:val="center"/>
          </w:tcPr>
          <w:p w14:paraId="7D08A936">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2322" w:type="dxa"/>
            <w:vMerge w:val="restart"/>
            <w:shd w:val="clear" w:color="auto" w:fill="auto"/>
            <w:vAlign w:val="center"/>
          </w:tcPr>
          <w:p w14:paraId="3CDDD06B">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2264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224" w:type="dxa"/>
            <w:vMerge w:val="continue"/>
            <w:shd w:val="clear" w:color="auto" w:fill="auto"/>
            <w:vAlign w:val="center"/>
          </w:tcPr>
          <w:p w14:paraId="16D64E86">
            <w:pPr>
              <w:jc w:val="center"/>
              <w:rPr>
                <w:rFonts w:ascii="Times New Roman" w:hAnsi="Times New Roman" w:eastAsia="仿宋" w:cs="Times New Roman"/>
                <w:szCs w:val="21"/>
              </w:rPr>
            </w:pPr>
          </w:p>
        </w:tc>
        <w:tc>
          <w:tcPr>
            <w:tcW w:w="1012" w:type="dxa"/>
            <w:vMerge w:val="continue"/>
            <w:shd w:val="clear" w:color="auto" w:fill="auto"/>
            <w:vAlign w:val="center"/>
          </w:tcPr>
          <w:p w14:paraId="54790DFD">
            <w:pPr>
              <w:jc w:val="center"/>
              <w:rPr>
                <w:rFonts w:ascii="Times New Roman" w:hAnsi="Times New Roman" w:eastAsia="仿宋" w:cs="Times New Roman"/>
                <w:szCs w:val="21"/>
              </w:rPr>
            </w:pPr>
          </w:p>
        </w:tc>
        <w:tc>
          <w:tcPr>
            <w:tcW w:w="850" w:type="dxa"/>
            <w:shd w:val="clear" w:color="auto" w:fill="auto"/>
            <w:vAlign w:val="center"/>
          </w:tcPr>
          <w:p w14:paraId="788608CA">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725" w:type="dxa"/>
            <w:shd w:val="clear" w:color="auto" w:fill="auto"/>
            <w:vAlign w:val="center"/>
          </w:tcPr>
          <w:p w14:paraId="74345764">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797" w:type="dxa"/>
            <w:shd w:val="clear" w:color="auto" w:fill="auto"/>
            <w:vAlign w:val="center"/>
          </w:tcPr>
          <w:p w14:paraId="5A0B407B">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895" w:type="dxa"/>
            <w:vMerge w:val="continue"/>
            <w:shd w:val="clear" w:color="auto" w:fill="auto"/>
            <w:vAlign w:val="center"/>
          </w:tcPr>
          <w:p w14:paraId="284595A9">
            <w:pPr>
              <w:jc w:val="center"/>
              <w:rPr>
                <w:rFonts w:ascii="Times New Roman" w:hAnsi="Times New Roman" w:eastAsia="仿宋" w:cs="Times New Roman"/>
                <w:szCs w:val="21"/>
              </w:rPr>
            </w:pPr>
          </w:p>
        </w:tc>
        <w:tc>
          <w:tcPr>
            <w:tcW w:w="1190" w:type="dxa"/>
            <w:vMerge w:val="continue"/>
            <w:shd w:val="clear" w:color="auto" w:fill="auto"/>
            <w:vAlign w:val="center"/>
          </w:tcPr>
          <w:p w14:paraId="329FC4D9">
            <w:pPr>
              <w:jc w:val="center"/>
              <w:rPr>
                <w:rFonts w:ascii="Times New Roman" w:hAnsi="Times New Roman" w:eastAsia="仿宋" w:cs="Times New Roman"/>
                <w:szCs w:val="21"/>
              </w:rPr>
            </w:pPr>
          </w:p>
        </w:tc>
        <w:tc>
          <w:tcPr>
            <w:tcW w:w="1109" w:type="dxa"/>
            <w:vMerge w:val="continue"/>
            <w:shd w:val="clear" w:color="auto" w:fill="auto"/>
            <w:vAlign w:val="center"/>
          </w:tcPr>
          <w:p w14:paraId="7AFEEA63">
            <w:pPr>
              <w:jc w:val="center"/>
              <w:rPr>
                <w:rFonts w:ascii="Times New Roman" w:hAnsi="Times New Roman" w:eastAsia="仿宋" w:cs="Times New Roman"/>
                <w:szCs w:val="21"/>
              </w:rPr>
            </w:pPr>
          </w:p>
        </w:tc>
        <w:tc>
          <w:tcPr>
            <w:tcW w:w="1600" w:type="dxa"/>
            <w:vMerge w:val="continue"/>
            <w:shd w:val="clear" w:color="auto" w:fill="auto"/>
            <w:vAlign w:val="center"/>
          </w:tcPr>
          <w:p w14:paraId="0D9BB362">
            <w:pPr>
              <w:jc w:val="center"/>
              <w:rPr>
                <w:rFonts w:ascii="Times New Roman" w:hAnsi="Times New Roman" w:eastAsia="仿宋" w:cs="Times New Roman"/>
                <w:szCs w:val="21"/>
              </w:rPr>
            </w:pPr>
          </w:p>
        </w:tc>
        <w:tc>
          <w:tcPr>
            <w:tcW w:w="2213" w:type="dxa"/>
            <w:gridSpan w:val="2"/>
            <w:vMerge w:val="continue"/>
            <w:shd w:val="clear" w:color="auto" w:fill="auto"/>
            <w:vAlign w:val="center"/>
          </w:tcPr>
          <w:p w14:paraId="0D44413C">
            <w:pPr>
              <w:jc w:val="center"/>
              <w:rPr>
                <w:rFonts w:ascii="Times New Roman" w:hAnsi="Times New Roman" w:eastAsia="仿宋" w:cs="Times New Roman"/>
                <w:szCs w:val="21"/>
              </w:rPr>
            </w:pPr>
          </w:p>
        </w:tc>
        <w:tc>
          <w:tcPr>
            <w:tcW w:w="2322" w:type="dxa"/>
            <w:vMerge w:val="continue"/>
            <w:shd w:val="clear" w:color="auto" w:fill="auto"/>
            <w:vAlign w:val="center"/>
          </w:tcPr>
          <w:p w14:paraId="7BA4F2A6">
            <w:pPr>
              <w:jc w:val="center"/>
              <w:rPr>
                <w:rFonts w:ascii="Times New Roman" w:hAnsi="Times New Roman" w:eastAsia="仿宋" w:cs="Times New Roman"/>
                <w:szCs w:val="21"/>
              </w:rPr>
            </w:pPr>
          </w:p>
        </w:tc>
      </w:tr>
      <w:tr w14:paraId="6B15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shd w:val="clear" w:color="auto" w:fill="auto"/>
            <w:vAlign w:val="center"/>
          </w:tcPr>
          <w:p w14:paraId="09E40DBA">
            <w:pPr>
              <w:jc w:val="center"/>
              <w:rPr>
                <w:rFonts w:ascii="Times New Roman" w:hAnsi="Times New Roman" w:eastAsia="仿宋" w:cs="Times New Roman"/>
                <w:szCs w:val="21"/>
              </w:rPr>
            </w:pPr>
            <w:r>
              <w:rPr>
                <w:rFonts w:ascii="Times New Roman" w:hAnsi="Times New Roman" w:eastAsia="仿宋" w:cs="Times New Roman"/>
                <w:szCs w:val="21"/>
              </w:rPr>
              <w:t>ZH43112410004</w:t>
            </w:r>
          </w:p>
        </w:tc>
        <w:tc>
          <w:tcPr>
            <w:tcW w:w="1012" w:type="dxa"/>
            <w:shd w:val="clear" w:color="auto" w:fill="auto"/>
            <w:vAlign w:val="center"/>
          </w:tcPr>
          <w:p w14:paraId="1EA3D7DD">
            <w:pPr>
              <w:jc w:val="center"/>
              <w:rPr>
                <w:rFonts w:ascii="Times New Roman" w:hAnsi="Times New Roman" w:eastAsia="仿宋" w:cs="Times New Roman"/>
                <w:szCs w:val="21"/>
              </w:rPr>
            </w:pPr>
            <w:r>
              <w:rPr>
                <w:rFonts w:ascii="Times New Roman" w:hAnsi="Times New Roman" w:eastAsia="仿宋" w:cs="Times New Roman"/>
                <w:szCs w:val="21"/>
              </w:rPr>
              <w:t>清塘镇</w:t>
            </w:r>
          </w:p>
        </w:tc>
        <w:tc>
          <w:tcPr>
            <w:tcW w:w="850" w:type="dxa"/>
            <w:shd w:val="clear" w:color="auto" w:fill="auto"/>
            <w:vAlign w:val="center"/>
          </w:tcPr>
          <w:p w14:paraId="48D0B1F2">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725" w:type="dxa"/>
            <w:shd w:val="clear" w:color="auto" w:fill="auto"/>
            <w:vAlign w:val="center"/>
          </w:tcPr>
          <w:p w14:paraId="0FA74631">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797" w:type="dxa"/>
            <w:shd w:val="clear" w:color="auto" w:fill="auto"/>
            <w:vAlign w:val="center"/>
          </w:tcPr>
          <w:p w14:paraId="2C746949">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895" w:type="dxa"/>
            <w:shd w:val="clear" w:color="auto" w:fill="auto"/>
            <w:vAlign w:val="center"/>
          </w:tcPr>
          <w:p w14:paraId="48978A29">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90" w:type="dxa"/>
            <w:shd w:val="clear" w:color="auto" w:fill="auto"/>
            <w:vAlign w:val="center"/>
          </w:tcPr>
          <w:p w14:paraId="767ED730">
            <w:pPr>
              <w:widowControl/>
              <w:jc w:val="center"/>
              <w:rPr>
                <w:rFonts w:ascii="Times New Roman" w:hAnsi="Times New Roman" w:eastAsia="仿宋" w:cs="Times New Roman"/>
                <w:szCs w:val="21"/>
              </w:rPr>
            </w:pPr>
            <w:r>
              <w:rPr>
                <w:rFonts w:ascii="Times New Roman" w:hAnsi="Times New Roman" w:eastAsia="仿宋" w:cs="Times New Roman"/>
                <w:szCs w:val="21"/>
              </w:rPr>
              <w:t>281.49</w:t>
            </w:r>
          </w:p>
        </w:tc>
        <w:tc>
          <w:tcPr>
            <w:tcW w:w="1109" w:type="dxa"/>
            <w:shd w:val="clear" w:color="auto" w:fill="auto"/>
            <w:vAlign w:val="center"/>
          </w:tcPr>
          <w:p w14:paraId="33F12F5B">
            <w:pPr>
              <w:jc w:val="center"/>
              <w:rPr>
                <w:rFonts w:ascii="Times New Roman" w:hAnsi="Times New Roman" w:eastAsia="仿宋" w:cs="Times New Roman"/>
                <w:szCs w:val="21"/>
              </w:rPr>
            </w:pPr>
            <w:r>
              <w:rPr>
                <w:rFonts w:ascii="Times New Roman" w:hAnsi="Times New Roman" w:eastAsia="仿宋" w:cs="Times New Roman"/>
                <w:szCs w:val="21"/>
              </w:rPr>
              <w:t>清塘镇</w:t>
            </w:r>
          </w:p>
        </w:tc>
        <w:tc>
          <w:tcPr>
            <w:tcW w:w="1600" w:type="dxa"/>
            <w:shd w:val="clear" w:color="auto" w:fill="auto"/>
            <w:vAlign w:val="center"/>
          </w:tcPr>
          <w:p w14:paraId="22C46B7B">
            <w:pPr>
              <w:jc w:val="center"/>
              <w:rPr>
                <w:rFonts w:ascii="Times New Roman" w:hAnsi="Times New Roman" w:eastAsia="仿宋" w:cs="Times New Roman"/>
                <w:kern w:val="0"/>
                <w:szCs w:val="21"/>
              </w:rPr>
            </w:pPr>
          </w:p>
          <w:p w14:paraId="4229CB89">
            <w:pPr>
              <w:jc w:val="center"/>
              <w:rPr>
                <w:rFonts w:ascii="Times New Roman" w:hAnsi="Times New Roman" w:eastAsia="仿宋" w:cs="Times New Roman"/>
                <w:szCs w:val="21"/>
              </w:rPr>
            </w:pPr>
            <w:r>
              <w:rPr>
                <w:rFonts w:ascii="Times New Roman" w:hAnsi="Times New Roman" w:eastAsia="仿宋" w:cs="Times New Roman"/>
                <w:kern w:val="0"/>
                <w:szCs w:val="21"/>
              </w:rPr>
              <w:t>重点生态功能区/历史文化资源富集区</w:t>
            </w:r>
          </w:p>
        </w:tc>
        <w:tc>
          <w:tcPr>
            <w:tcW w:w="2213" w:type="dxa"/>
            <w:gridSpan w:val="2"/>
            <w:shd w:val="clear" w:color="auto" w:fill="auto"/>
            <w:vAlign w:val="center"/>
          </w:tcPr>
          <w:p w14:paraId="1B3BAC8A">
            <w:pPr>
              <w:jc w:val="center"/>
              <w:rPr>
                <w:rFonts w:ascii="Times New Roman" w:hAnsi="Times New Roman" w:eastAsia="仿宋" w:cs="Times New Roman"/>
                <w:szCs w:val="21"/>
              </w:rPr>
            </w:pPr>
            <w:r>
              <w:rPr>
                <w:rFonts w:ascii="Times New Roman" w:hAnsi="Times New Roman" w:eastAsia="仿宋" w:cs="Times New Roman"/>
                <w:szCs w:val="21"/>
              </w:rPr>
              <w:t>农业、旅游业、康养业、养殖业等。</w:t>
            </w:r>
          </w:p>
        </w:tc>
        <w:tc>
          <w:tcPr>
            <w:tcW w:w="2322" w:type="dxa"/>
            <w:shd w:val="clear" w:color="auto" w:fill="auto"/>
            <w:vAlign w:val="center"/>
          </w:tcPr>
          <w:p w14:paraId="32216371">
            <w:pPr>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4D00B8F1">
            <w:pPr>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37D566A5">
            <w:pPr>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7198902E">
            <w:pPr>
              <w:jc w:val="left"/>
              <w:rPr>
                <w:rFonts w:ascii="Times New Roman" w:hAnsi="Times New Roman" w:eastAsia="仿宋" w:cs="Times New Roman"/>
                <w:szCs w:val="21"/>
              </w:rPr>
            </w:pPr>
            <w:r>
              <w:rPr>
                <w:rFonts w:ascii="Times New Roman" w:hAnsi="Times New Roman" w:eastAsia="仿宋" w:cs="Times New Roman"/>
                <w:kern w:val="0"/>
                <w:szCs w:val="21"/>
              </w:rPr>
              <w:t>湖南都庞岭国家级自然保护区。</w:t>
            </w:r>
          </w:p>
        </w:tc>
      </w:tr>
      <w:tr w14:paraId="21E5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24" w:type="dxa"/>
            <w:shd w:val="clear" w:color="auto" w:fill="auto"/>
            <w:vAlign w:val="center"/>
          </w:tcPr>
          <w:p w14:paraId="504096B0">
            <w:pPr>
              <w:jc w:val="center"/>
              <w:rPr>
                <w:rFonts w:ascii="Times New Roman" w:hAnsi="Times New Roman" w:eastAsia="仿宋" w:cs="Times New Roman"/>
                <w:b/>
                <w:bCs/>
                <w:szCs w:val="21"/>
              </w:rPr>
            </w:pPr>
            <w:r>
              <w:rPr>
                <w:rFonts w:ascii="Times New Roman" w:hAnsi="Times New Roman" w:eastAsia="仿宋" w:cs="Times New Roman"/>
                <w:b/>
                <w:bCs/>
                <w:szCs w:val="21"/>
              </w:rPr>
              <w:t>主要属性</w:t>
            </w:r>
          </w:p>
        </w:tc>
        <w:tc>
          <w:tcPr>
            <w:tcW w:w="12713" w:type="dxa"/>
            <w:gridSpan w:val="11"/>
            <w:shd w:val="clear" w:color="auto" w:fill="auto"/>
          </w:tcPr>
          <w:p w14:paraId="63B4E4A3">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风景名胜区/森林公园/生物多样性保护功能重要区/水土保持功能重要区/水土流失敏感区/水源涵养重要区/自然保护区/三区三线生态红线/原生态红线/石漠化敏感区）；水环境一般管控区；大气环境弱扩散重点管控区/大气环境优先保护区/大气环境受体敏感重点管控区；农用地优先保护区/一般管控区</w:t>
            </w:r>
            <w:r>
              <w:rPr>
                <w:rFonts w:ascii="Times New Roman" w:hAnsi="Times New Roman" w:eastAsia="仿宋" w:cs="Times New Roman"/>
                <w:szCs w:val="21"/>
              </w:rPr>
              <w:t xml:space="preserve"> </w:t>
            </w:r>
          </w:p>
        </w:tc>
      </w:tr>
      <w:tr w14:paraId="28CF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24" w:type="dxa"/>
            <w:shd w:val="clear" w:color="auto" w:fill="auto"/>
            <w:vAlign w:val="center"/>
          </w:tcPr>
          <w:p w14:paraId="6C425253">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8247" w:type="dxa"/>
            <w:gridSpan w:val="9"/>
            <w:shd w:val="clear" w:color="auto" w:fill="auto"/>
            <w:vAlign w:val="center"/>
          </w:tcPr>
          <w:p w14:paraId="728C135A">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4466" w:type="dxa"/>
            <w:gridSpan w:val="2"/>
            <w:shd w:val="clear" w:color="auto" w:fill="auto"/>
            <w:vAlign w:val="center"/>
          </w:tcPr>
          <w:p w14:paraId="65E25420">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14:paraId="6D06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1224" w:type="dxa"/>
            <w:shd w:val="clear" w:color="auto" w:fill="auto"/>
            <w:vAlign w:val="center"/>
          </w:tcPr>
          <w:p w14:paraId="2E39112E">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247" w:type="dxa"/>
            <w:gridSpan w:val="9"/>
            <w:shd w:val="clear" w:color="auto" w:fill="auto"/>
            <w:vAlign w:val="center"/>
          </w:tcPr>
          <w:p w14:paraId="19B3D199">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（1.1）畜禽养殖产业布局应符合《道县畜禽养殖污染防治规划（2021~2025 年）》的要求。</w:t>
            </w:r>
          </w:p>
          <w:p w14:paraId="113C46C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（1.2）生态保护红线内自然保护区、风景名胜区、饮用水水源保护区等区域依照相关法律法规执行。</w:t>
            </w:r>
          </w:p>
        </w:tc>
        <w:tc>
          <w:tcPr>
            <w:tcW w:w="4466" w:type="dxa"/>
            <w:gridSpan w:val="2"/>
            <w:vMerge w:val="restart"/>
            <w:shd w:val="clear" w:color="auto" w:fill="auto"/>
          </w:tcPr>
          <w:p w14:paraId="37AF8E99">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61273D7C">
            <w:pPr>
              <w:rPr>
                <w:rFonts w:ascii="Times New Roman" w:hAnsi="Times New Roman" w:eastAsia="仿宋" w:cs="Times New Roman"/>
                <w:szCs w:val="21"/>
              </w:rPr>
            </w:pPr>
            <w:r>
              <w:rPr>
                <w:rFonts w:ascii="Times New Roman" w:hAnsi="Times New Roman" w:eastAsia="仿宋" w:cs="Times New Roman"/>
                <w:kern w:val="0"/>
                <w:szCs w:val="21"/>
              </w:rPr>
              <w:t>（1.2）《道县国土空间总体规划（2021-2035年）》；</w:t>
            </w:r>
          </w:p>
          <w:p w14:paraId="391E1423">
            <w:pPr>
              <w:rPr>
                <w:rFonts w:ascii="Times New Roman" w:hAnsi="Times New Roman" w:eastAsia="仿宋" w:cs="Times New Roman"/>
                <w:szCs w:val="21"/>
              </w:rPr>
            </w:pPr>
            <w:r>
              <w:rPr>
                <w:rFonts w:ascii="Times New Roman" w:hAnsi="Times New Roman" w:eastAsia="仿宋" w:cs="Times New Roman"/>
                <w:szCs w:val="21"/>
              </w:rPr>
              <w:t>（2.1）（2.2）（3.1）《2023 年道县污染防治攻坚战工作方案》；</w:t>
            </w:r>
          </w:p>
          <w:p w14:paraId="1DF45A87">
            <w:pPr>
              <w:rPr>
                <w:rFonts w:ascii="Times New Roman" w:hAnsi="Times New Roman" w:eastAsia="仿宋" w:cs="Times New Roman"/>
                <w:kern w:val="0"/>
                <w:szCs w:val="21"/>
              </w:rPr>
            </w:pPr>
            <w:r>
              <w:rPr>
                <w:rFonts w:ascii="Times New Roman" w:hAnsi="Times New Roman" w:eastAsia="仿宋" w:cs="Times New Roman"/>
                <w:kern w:val="0"/>
                <w:szCs w:val="21"/>
              </w:rPr>
              <w:t>（2.3）《道县畜禽养殖污染防治规划（2021~2025 年）》；</w:t>
            </w:r>
          </w:p>
          <w:p w14:paraId="19E9BF00">
            <w:pPr>
              <w:rPr>
                <w:rFonts w:ascii="Times New Roman" w:hAnsi="Times New Roman" w:eastAsia="仿宋" w:cs="Times New Roman"/>
                <w:szCs w:val="21"/>
              </w:rPr>
            </w:pPr>
            <w:r>
              <w:rPr>
                <w:rFonts w:ascii="Times New Roman" w:hAnsi="Times New Roman" w:eastAsia="仿宋" w:cs="Times New Roman"/>
                <w:szCs w:val="21"/>
              </w:rPr>
              <w:t>（3.1）《道县国民经济和社会发展第十四个五年规划和二〇三五年远景目标纲要》；</w:t>
            </w:r>
          </w:p>
          <w:p w14:paraId="7F897198">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44ADB088">
            <w:pPr>
              <w:rPr>
                <w:rFonts w:ascii="Times New Roman" w:hAnsi="Times New Roman" w:eastAsia="仿宋" w:cs="Times New Roman"/>
                <w:szCs w:val="21"/>
                <w:lang w:eastAsia="zh-Hans"/>
              </w:rPr>
            </w:pPr>
            <w:r>
              <w:rPr>
                <w:rFonts w:ascii="Times New Roman" w:hAnsi="Times New Roman" w:eastAsia="仿宋" w:cs="Times New Roman"/>
                <w:szCs w:val="21"/>
              </w:rPr>
              <w:t>（3.2）</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04D49FB3">
            <w:pPr>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p w14:paraId="0106FB0D">
            <w:pPr>
              <w:adjustRightInd w:val="0"/>
              <w:snapToGrid w:val="0"/>
              <w:rPr>
                <w:rFonts w:ascii="Times New Roman" w:hAnsi="Times New Roman" w:eastAsia="仿宋" w:cs="Times New Roman"/>
                <w:strike/>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4710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6" w:hRule="atLeast"/>
        </w:trPr>
        <w:tc>
          <w:tcPr>
            <w:tcW w:w="1224" w:type="dxa"/>
            <w:shd w:val="clear" w:color="auto" w:fill="auto"/>
            <w:vAlign w:val="center"/>
          </w:tcPr>
          <w:p w14:paraId="65354B5D">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247" w:type="dxa"/>
            <w:gridSpan w:val="9"/>
            <w:shd w:val="clear" w:color="auto" w:fill="auto"/>
            <w:vAlign w:val="center"/>
          </w:tcPr>
          <w:p w14:paraId="60193F38">
            <w:pPr>
              <w:ind w:firstLine="420" w:firstLineChars="200"/>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p>
          <w:p w14:paraId="219812A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（2.2）着力提升乡镇生活垃圾治理水平，建立动态管控机制，发现问题，及时交办、整改。有序推进厨余垃圾处理。</w:t>
            </w:r>
          </w:p>
          <w:p w14:paraId="3D6EF124">
            <w:pPr>
              <w:ind w:firstLine="420" w:firstLineChars="200"/>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kern w:val="0"/>
                <w:szCs w:val="21"/>
              </w:rPr>
              <w:t>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p>
        </w:tc>
        <w:tc>
          <w:tcPr>
            <w:tcW w:w="4466" w:type="dxa"/>
            <w:gridSpan w:val="2"/>
            <w:vMerge w:val="continue"/>
            <w:shd w:val="clear" w:color="auto" w:fill="auto"/>
          </w:tcPr>
          <w:p w14:paraId="39D97316">
            <w:pPr>
              <w:rPr>
                <w:rFonts w:ascii="Times New Roman" w:hAnsi="Times New Roman" w:eastAsia="仿宋" w:cs="Times New Roman"/>
                <w:szCs w:val="21"/>
              </w:rPr>
            </w:pPr>
          </w:p>
        </w:tc>
      </w:tr>
      <w:tr w14:paraId="01E7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224" w:type="dxa"/>
            <w:shd w:val="clear" w:color="auto" w:fill="auto"/>
            <w:vAlign w:val="center"/>
          </w:tcPr>
          <w:p w14:paraId="6FACC4AF">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247" w:type="dxa"/>
            <w:gridSpan w:val="9"/>
            <w:shd w:val="clear" w:color="auto" w:fill="auto"/>
            <w:vAlign w:val="center"/>
          </w:tcPr>
          <w:p w14:paraId="2DB66FD5">
            <w:pPr>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（3.1）矿山开采区应进行必要的防渗处理。</w:t>
            </w:r>
            <w:r>
              <w:rPr>
                <w:rFonts w:ascii="Times New Roman" w:hAnsi="Times New Roman" w:eastAsia="仿宋" w:cs="Times New Roman"/>
                <w:kern w:val="0"/>
                <w:szCs w:val="21"/>
              </w:rPr>
              <w:t>全面推动绿色矿山建设，加快矿区生态修复治理。</w:t>
            </w:r>
          </w:p>
          <w:p w14:paraId="274BE2ED">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（3.2）按照《永州市“十四五”生态环境保护规划》《道县“十四五”生态环境保护规划》强化环境风险管控，完善环境风险防控体系。</w:t>
            </w:r>
          </w:p>
        </w:tc>
        <w:tc>
          <w:tcPr>
            <w:tcW w:w="4466" w:type="dxa"/>
            <w:gridSpan w:val="2"/>
            <w:vMerge w:val="continue"/>
            <w:shd w:val="clear" w:color="auto" w:fill="auto"/>
          </w:tcPr>
          <w:p w14:paraId="6C5C3434">
            <w:pPr>
              <w:rPr>
                <w:rFonts w:ascii="Times New Roman" w:hAnsi="Times New Roman" w:eastAsia="仿宋" w:cs="Times New Roman"/>
                <w:szCs w:val="21"/>
              </w:rPr>
            </w:pPr>
          </w:p>
        </w:tc>
      </w:tr>
      <w:tr w14:paraId="0439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24" w:type="dxa"/>
            <w:shd w:val="clear" w:color="auto" w:fill="auto"/>
            <w:vAlign w:val="center"/>
          </w:tcPr>
          <w:p w14:paraId="0667FE05">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247" w:type="dxa"/>
            <w:gridSpan w:val="9"/>
            <w:shd w:val="clear" w:color="auto" w:fill="auto"/>
            <w:vAlign w:val="center"/>
          </w:tcPr>
          <w:p w14:paraId="649BCA7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4B8DE387">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优化能源结构，严格控制煤炭消费总量、优先使用可再生能源、积极推广利用天然气、推进燃油品质量升级。</w:t>
            </w:r>
          </w:p>
          <w:p w14:paraId="058E517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B4F4BD1">
            <w:pPr>
              <w:tabs>
                <w:tab w:val="left" w:pos="1021"/>
              </w:tabs>
              <w:ind w:firstLine="420" w:firstLineChars="200"/>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7F015FF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（4.2.2）有关部门应按要求组织完成小水电整治。完善小水电建设手续，规范建设秩序，有效保护和修复河流生态系统。</w:t>
            </w:r>
          </w:p>
          <w:p w14:paraId="6E60EB29">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6E1481B9">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w:t>
            </w:r>
            <w:r>
              <w:rPr>
                <w:rFonts w:ascii="Times New Roman" w:hAnsi="Times New Roman" w:eastAsia="仿宋" w:cs="Times New Roman"/>
                <w:szCs w:val="21"/>
              </w:rPr>
              <w:t>清塘镇</w:t>
            </w:r>
            <w:r>
              <w:rPr>
                <w:rFonts w:ascii="Times New Roman" w:hAnsi="Times New Roman" w:eastAsia="仿宋" w:cs="Times New Roman"/>
                <w:kern w:val="0"/>
                <w:szCs w:val="21"/>
              </w:rPr>
              <w:t>为3704.99公顷），永久基本农田保护面积不低于4.06万公顷（其中</w:t>
            </w:r>
            <w:r>
              <w:rPr>
                <w:rFonts w:ascii="Times New Roman" w:hAnsi="Times New Roman" w:eastAsia="仿宋" w:cs="Times New Roman"/>
                <w:szCs w:val="21"/>
              </w:rPr>
              <w:t>清塘镇</w:t>
            </w:r>
            <w:r>
              <w:rPr>
                <w:rFonts w:ascii="Times New Roman" w:hAnsi="Times New Roman" w:eastAsia="仿宋" w:cs="Times New Roman"/>
                <w:kern w:val="0"/>
                <w:szCs w:val="21"/>
              </w:rPr>
              <w:t>为3527.98公顷），全县生态保护红线面积不低于44930.26公顷；全县划定城镇开发边界4077.86公顷，划定城镇发展区 4386.37公顷，乡村发展区125445.17公顷，矿产能源发展区696.49公顷。</w:t>
            </w:r>
          </w:p>
        </w:tc>
        <w:tc>
          <w:tcPr>
            <w:tcW w:w="4466" w:type="dxa"/>
            <w:gridSpan w:val="2"/>
            <w:vMerge w:val="continue"/>
            <w:shd w:val="clear" w:color="auto" w:fill="auto"/>
          </w:tcPr>
          <w:p w14:paraId="123EA520">
            <w:pPr>
              <w:rPr>
                <w:rFonts w:ascii="Times New Roman" w:hAnsi="Times New Roman" w:eastAsia="仿宋" w:cs="Times New Roman"/>
                <w:szCs w:val="21"/>
              </w:rPr>
            </w:pPr>
          </w:p>
        </w:tc>
      </w:tr>
    </w:tbl>
    <w:p w14:paraId="499DFD6E">
      <w:pPr>
        <w:widowControl/>
        <w:jc w:val="left"/>
        <w:rPr>
          <w:rFonts w:ascii="Times New Roman" w:hAnsi="Times New Roman" w:eastAsia="仿宋" w:cs="Times New Roman"/>
          <w:b/>
          <w:szCs w:val="21"/>
        </w:rPr>
      </w:pPr>
    </w:p>
    <w:p w14:paraId="49E61FC4">
      <w:pPr>
        <w:widowControl/>
        <w:jc w:val="left"/>
        <w:rPr>
          <w:rFonts w:ascii="Times New Roman" w:hAnsi="Times New Roman" w:eastAsia="仿宋" w:cs="Times New Roman"/>
          <w:b/>
          <w:szCs w:val="21"/>
        </w:rPr>
      </w:pPr>
    </w:p>
    <w:p w14:paraId="17C8EB80">
      <w:pPr>
        <w:widowControl/>
        <w:jc w:val="left"/>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仿宋" w:cs="Times New Roman"/>
          <w:b/>
          <w:szCs w:val="21"/>
        </w:rPr>
        <w:br w:type="page"/>
      </w:r>
    </w:p>
    <w:tbl>
      <w:tblPr>
        <w:tblStyle w:val="20"/>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76"/>
        <w:gridCol w:w="425"/>
        <w:gridCol w:w="608"/>
        <w:gridCol w:w="668"/>
        <w:gridCol w:w="992"/>
        <w:gridCol w:w="992"/>
        <w:gridCol w:w="1418"/>
        <w:gridCol w:w="1701"/>
        <w:gridCol w:w="2126"/>
        <w:gridCol w:w="370"/>
        <w:gridCol w:w="2607"/>
      </w:tblGrid>
      <w:tr w14:paraId="332F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shd w:val="clear" w:color="auto" w:fill="auto"/>
            <w:vAlign w:val="center"/>
          </w:tcPr>
          <w:p w14:paraId="5E5F0492">
            <w:pPr>
              <w:jc w:val="center"/>
              <w:rPr>
                <w:rFonts w:ascii="Times New Roman" w:hAnsi="Times New Roman" w:eastAsia="仿宋" w:cs="Times New Roman"/>
                <w:b/>
                <w:bCs/>
                <w:szCs w:val="21"/>
              </w:rPr>
            </w:pPr>
            <w:r>
              <w:rPr>
                <w:rFonts w:ascii="Times New Roman" w:hAnsi="Times New Roman" w:eastAsia="仿宋" w:cs="Times New Roman"/>
                <w:szCs w:val="21"/>
              </w:rPr>
              <w:br w:type="page"/>
            </w:r>
            <w:r>
              <w:rPr>
                <w:rFonts w:ascii="Times New Roman" w:hAnsi="Times New Roman" w:eastAsia="仿宋" w:cs="Times New Roman"/>
                <w:b/>
                <w:bCs/>
                <w:szCs w:val="21"/>
              </w:rPr>
              <w:t>环境管控单元编码</w:t>
            </w:r>
          </w:p>
        </w:tc>
        <w:tc>
          <w:tcPr>
            <w:tcW w:w="1276" w:type="dxa"/>
            <w:vMerge w:val="restart"/>
            <w:shd w:val="clear" w:color="auto" w:fill="auto"/>
            <w:vAlign w:val="center"/>
          </w:tcPr>
          <w:p w14:paraId="00D9FC7A">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1701" w:type="dxa"/>
            <w:gridSpan w:val="3"/>
            <w:shd w:val="clear" w:color="auto" w:fill="auto"/>
            <w:vAlign w:val="center"/>
          </w:tcPr>
          <w:p w14:paraId="02884782">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992" w:type="dxa"/>
            <w:vMerge w:val="restart"/>
            <w:shd w:val="clear" w:color="auto" w:fill="auto"/>
            <w:vAlign w:val="center"/>
          </w:tcPr>
          <w:p w14:paraId="4F92B7CE">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992" w:type="dxa"/>
            <w:vMerge w:val="restart"/>
            <w:shd w:val="clear" w:color="auto" w:fill="auto"/>
            <w:vAlign w:val="center"/>
          </w:tcPr>
          <w:p w14:paraId="32862EBC">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418" w:type="dxa"/>
            <w:vMerge w:val="restart"/>
            <w:shd w:val="clear" w:color="auto" w:fill="auto"/>
            <w:vAlign w:val="center"/>
          </w:tcPr>
          <w:p w14:paraId="6DC07326">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701" w:type="dxa"/>
            <w:vMerge w:val="restart"/>
            <w:shd w:val="clear" w:color="auto" w:fill="auto"/>
            <w:vAlign w:val="center"/>
          </w:tcPr>
          <w:p w14:paraId="5661CB88">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2126" w:type="dxa"/>
            <w:vMerge w:val="restart"/>
            <w:shd w:val="clear" w:color="auto" w:fill="auto"/>
            <w:vAlign w:val="center"/>
          </w:tcPr>
          <w:p w14:paraId="6447D2BB">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2977" w:type="dxa"/>
            <w:gridSpan w:val="2"/>
            <w:vMerge w:val="restart"/>
            <w:shd w:val="clear" w:color="auto" w:fill="auto"/>
            <w:vAlign w:val="center"/>
          </w:tcPr>
          <w:p w14:paraId="3D41C4A7">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547D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46" w:type="dxa"/>
            <w:vMerge w:val="continue"/>
            <w:shd w:val="clear" w:color="auto" w:fill="auto"/>
            <w:vAlign w:val="center"/>
          </w:tcPr>
          <w:p w14:paraId="75ABF0B5">
            <w:pPr>
              <w:jc w:val="center"/>
              <w:rPr>
                <w:rFonts w:ascii="Times New Roman" w:hAnsi="Times New Roman" w:eastAsia="仿宋" w:cs="Times New Roman"/>
                <w:szCs w:val="21"/>
              </w:rPr>
            </w:pPr>
          </w:p>
        </w:tc>
        <w:tc>
          <w:tcPr>
            <w:tcW w:w="1276" w:type="dxa"/>
            <w:vMerge w:val="continue"/>
            <w:shd w:val="clear" w:color="auto" w:fill="auto"/>
          </w:tcPr>
          <w:p w14:paraId="6C96B284">
            <w:pPr>
              <w:jc w:val="center"/>
              <w:rPr>
                <w:rFonts w:ascii="Times New Roman" w:hAnsi="Times New Roman" w:eastAsia="仿宋" w:cs="Times New Roman"/>
                <w:szCs w:val="21"/>
              </w:rPr>
            </w:pPr>
          </w:p>
        </w:tc>
        <w:tc>
          <w:tcPr>
            <w:tcW w:w="425" w:type="dxa"/>
            <w:shd w:val="clear" w:color="auto" w:fill="auto"/>
            <w:vAlign w:val="center"/>
          </w:tcPr>
          <w:p w14:paraId="5F15F480">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608" w:type="dxa"/>
            <w:shd w:val="clear" w:color="auto" w:fill="auto"/>
            <w:vAlign w:val="center"/>
          </w:tcPr>
          <w:p w14:paraId="54AEC9BA">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668" w:type="dxa"/>
            <w:shd w:val="clear" w:color="auto" w:fill="auto"/>
            <w:vAlign w:val="center"/>
          </w:tcPr>
          <w:p w14:paraId="007D2C6A">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992" w:type="dxa"/>
            <w:vMerge w:val="continue"/>
            <w:shd w:val="clear" w:color="auto" w:fill="auto"/>
          </w:tcPr>
          <w:p w14:paraId="1D0487A3">
            <w:pPr>
              <w:rPr>
                <w:rFonts w:ascii="Times New Roman" w:hAnsi="Times New Roman" w:eastAsia="仿宋" w:cs="Times New Roman"/>
                <w:szCs w:val="21"/>
              </w:rPr>
            </w:pPr>
          </w:p>
        </w:tc>
        <w:tc>
          <w:tcPr>
            <w:tcW w:w="992" w:type="dxa"/>
            <w:vMerge w:val="continue"/>
            <w:shd w:val="clear" w:color="auto" w:fill="auto"/>
          </w:tcPr>
          <w:p w14:paraId="205CFC32">
            <w:pPr>
              <w:rPr>
                <w:rFonts w:ascii="Times New Roman" w:hAnsi="Times New Roman" w:eastAsia="仿宋" w:cs="Times New Roman"/>
                <w:szCs w:val="21"/>
              </w:rPr>
            </w:pPr>
          </w:p>
        </w:tc>
        <w:tc>
          <w:tcPr>
            <w:tcW w:w="1418" w:type="dxa"/>
            <w:vMerge w:val="continue"/>
            <w:shd w:val="clear" w:color="auto" w:fill="auto"/>
          </w:tcPr>
          <w:p w14:paraId="68B60BBE">
            <w:pPr>
              <w:rPr>
                <w:rFonts w:ascii="Times New Roman" w:hAnsi="Times New Roman" w:eastAsia="仿宋" w:cs="Times New Roman"/>
                <w:szCs w:val="21"/>
              </w:rPr>
            </w:pPr>
          </w:p>
        </w:tc>
        <w:tc>
          <w:tcPr>
            <w:tcW w:w="1701" w:type="dxa"/>
            <w:vMerge w:val="continue"/>
            <w:shd w:val="clear" w:color="auto" w:fill="auto"/>
          </w:tcPr>
          <w:p w14:paraId="161A5D89">
            <w:pPr>
              <w:rPr>
                <w:rFonts w:ascii="Times New Roman" w:hAnsi="Times New Roman" w:eastAsia="仿宋" w:cs="Times New Roman"/>
                <w:szCs w:val="21"/>
              </w:rPr>
            </w:pPr>
          </w:p>
        </w:tc>
        <w:tc>
          <w:tcPr>
            <w:tcW w:w="2126" w:type="dxa"/>
            <w:vMerge w:val="continue"/>
            <w:shd w:val="clear" w:color="auto" w:fill="auto"/>
          </w:tcPr>
          <w:p w14:paraId="107F05DC">
            <w:pPr>
              <w:rPr>
                <w:rFonts w:ascii="Times New Roman" w:hAnsi="Times New Roman" w:eastAsia="仿宋" w:cs="Times New Roman"/>
                <w:szCs w:val="21"/>
              </w:rPr>
            </w:pPr>
          </w:p>
        </w:tc>
        <w:tc>
          <w:tcPr>
            <w:tcW w:w="2977" w:type="dxa"/>
            <w:gridSpan w:val="2"/>
            <w:vMerge w:val="continue"/>
            <w:shd w:val="clear" w:color="auto" w:fill="auto"/>
          </w:tcPr>
          <w:p w14:paraId="2FA5F863">
            <w:pPr>
              <w:rPr>
                <w:rFonts w:ascii="Times New Roman" w:hAnsi="Times New Roman" w:eastAsia="仿宋" w:cs="Times New Roman"/>
                <w:szCs w:val="21"/>
              </w:rPr>
            </w:pPr>
          </w:p>
        </w:tc>
      </w:tr>
      <w:tr w14:paraId="1227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auto"/>
            <w:vAlign w:val="center"/>
          </w:tcPr>
          <w:p w14:paraId="2C150290">
            <w:pPr>
              <w:jc w:val="center"/>
              <w:rPr>
                <w:rFonts w:ascii="Times New Roman" w:hAnsi="Times New Roman" w:eastAsia="仿宋" w:cs="Times New Roman"/>
                <w:szCs w:val="21"/>
              </w:rPr>
            </w:pPr>
            <w:r>
              <w:rPr>
                <w:rFonts w:ascii="Times New Roman" w:hAnsi="Times New Roman" w:eastAsia="仿宋" w:cs="Times New Roman"/>
                <w:szCs w:val="21"/>
              </w:rPr>
              <w:t>ZH43112420001</w:t>
            </w:r>
          </w:p>
        </w:tc>
        <w:tc>
          <w:tcPr>
            <w:tcW w:w="1276" w:type="dxa"/>
            <w:shd w:val="clear" w:color="auto" w:fill="auto"/>
            <w:vAlign w:val="center"/>
          </w:tcPr>
          <w:p w14:paraId="60D06B66">
            <w:pPr>
              <w:jc w:val="center"/>
              <w:rPr>
                <w:rFonts w:ascii="Times New Roman" w:hAnsi="Times New Roman" w:eastAsia="仿宋" w:cs="Times New Roman"/>
                <w:szCs w:val="21"/>
              </w:rPr>
            </w:pPr>
            <w:r>
              <w:rPr>
                <w:rFonts w:ascii="Times New Roman" w:hAnsi="Times New Roman" w:eastAsia="仿宋" w:cs="Times New Roman"/>
                <w:szCs w:val="21"/>
              </w:rPr>
              <w:t>东门街道/濂溪街道/上关街道/西洲街道/万家庄街道/营江街道</w:t>
            </w:r>
          </w:p>
        </w:tc>
        <w:tc>
          <w:tcPr>
            <w:tcW w:w="425" w:type="dxa"/>
            <w:shd w:val="clear" w:color="auto" w:fill="auto"/>
            <w:vAlign w:val="center"/>
          </w:tcPr>
          <w:p w14:paraId="70316046">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608" w:type="dxa"/>
            <w:shd w:val="clear" w:color="auto" w:fill="auto"/>
            <w:vAlign w:val="center"/>
          </w:tcPr>
          <w:p w14:paraId="074A4CF3">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668" w:type="dxa"/>
            <w:shd w:val="clear" w:color="auto" w:fill="auto"/>
            <w:vAlign w:val="center"/>
          </w:tcPr>
          <w:p w14:paraId="1AA25E1F">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992" w:type="dxa"/>
            <w:shd w:val="clear" w:color="auto" w:fill="auto"/>
            <w:vAlign w:val="center"/>
          </w:tcPr>
          <w:p w14:paraId="0E8B83EB">
            <w:pPr>
              <w:jc w:val="center"/>
              <w:rPr>
                <w:rFonts w:ascii="Times New Roman" w:hAnsi="Times New Roman" w:eastAsia="仿宋" w:cs="Times New Roman"/>
                <w:szCs w:val="21"/>
              </w:rPr>
            </w:pPr>
            <w:r>
              <w:rPr>
                <w:rFonts w:ascii="Times New Roman" w:hAnsi="Times New Roman" w:eastAsia="仿宋" w:cs="Times New Roman"/>
                <w:szCs w:val="21"/>
              </w:rPr>
              <w:t>重点管控单元</w:t>
            </w:r>
          </w:p>
        </w:tc>
        <w:tc>
          <w:tcPr>
            <w:tcW w:w="992" w:type="dxa"/>
            <w:shd w:val="clear" w:color="auto" w:fill="auto"/>
            <w:vAlign w:val="center"/>
          </w:tcPr>
          <w:p w14:paraId="3B607AA3">
            <w:pPr>
              <w:widowControl/>
              <w:jc w:val="center"/>
              <w:rPr>
                <w:rFonts w:ascii="Times New Roman" w:hAnsi="Times New Roman" w:eastAsia="仿宋" w:cs="Times New Roman"/>
                <w:szCs w:val="21"/>
              </w:rPr>
            </w:pPr>
            <w:r>
              <w:rPr>
                <w:rFonts w:ascii="Times New Roman" w:hAnsi="Times New Roman" w:eastAsia="仿宋" w:cs="Times New Roman"/>
                <w:szCs w:val="21"/>
              </w:rPr>
              <w:t>86.16</w:t>
            </w:r>
          </w:p>
        </w:tc>
        <w:tc>
          <w:tcPr>
            <w:tcW w:w="1418" w:type="dxa"/>
            <w:shd w:val="clear" w:color="auto" w:fill="auto"/>
            <w:vAlign w:val="center"/>
          </w:tcPr>
          <w:p w14:paraId="58D64641">
            <w:pPr>
              <w:jc w:val="center"/>
              <w:rPr>
                <w:rFonts w:ascii="Times New Roman" w:hAnsi="Times New Roman" w:eastAsia="仿宋" w:cs="Times New Roman"/>
                <w:szCs w:val="21"/>
              </w:rPr>
            </w:pPr>
            <w:r>
              <w:rPr>
                <w:rFonts w:ascii="Times New Roman" w:hAnsi="Times New Roman" w:eastAsia="仿宋" w:cs="Times New Roman"/>
                <w:szCs w:val="21"/>
              </w:rPr>
              <w:t>东门街道/濂溪街道/上关街道/西洲街道/万家庄街道/营江街道</w:t>
            </w:r>
          </w:p>
        </w:tc>
        <w:tc>
          <w:tcPr>
            <w:tcW w:w="1701" w:type="dxa"/>
            <w:shd w:val="clear" w:color="auto" w:fill="auto"/>
            <w:vAlign w:val="center"/>
          </w:tcPr>
          <w:p w14:paraId="0E2115CC">
            <w:pPr>
              <w:jc w:val="left"/>
              <w:rPr>
                <w:rFonts w:ascii="Times New Roman" w:hAnsi="Times New Roman" w:eastAsia="仿宋" w:cs="Times New Roman"/>
                <w:kern w:val="0"/>
                <w:szCs w:val="21"/>
              </w:rPr>
            </w:pPr>
            <w:r>
              <w:rPr>
                <w:rFonts w:ascii="Times New Roman" w:hAnsi="Times New Roman" w:eastAsia="仿宋" w:cs="Times New Roman"/>
                <w:b/>
                <w:bCs/>
                <w:szCs w:val="21"/>
              </w:rPr>
              <w:t>东门街道、西洲街道、万家庄街道：</w:t>
            </w:r>
            <w:r>
              <w:rPr>
                <w:rFonts w:ascii="Times New Roman" w:hAnsi="Times New Roman" w:eastAsia="仿宋" w:cs="Times New Roman"/>
                <w:kern w:val="0"/>
                <w:szCs w:val="21"/>
              </w:rPr>
              <w:t>城市化地区；</w:t>
            </w:r>
          </w:p>
          <w:p w14:paraId="70F36E9C">
            <w:pPr>
              <w:jc w:val="left"/>
              <w:rPr>
                <w:rFonts w:ascii="Times New Roman" w:hAnsi="Times New Roman" w:eastAsia="仿宋" w:cs="Times New Roman"/>
                <w:szCs w:val="21"/>
              </w:rPr>
            </w:pPr>
            <w:r>
              <w:rPr>
                <w:rFonts w:ascii="Times New Roman" w:hAnsi="Times New Roman" w:eastAsia="仿宋" w:cs="Times New Roman"/>
                <w:b/>
                <w:bCs/>
                <w:szCs w:val="21"/>
              </w:rPr>
              <w:t>濂溪街道：</w:t>
            </w:r>
            <w:r>
              <w:rPr>
                <w:rFonts w:ascii="Times New Roman" w:hAnsi="Times New Roman" w:eastAsia="仿宋" w:cs="Times New Roman"/>
                <w:szCs w:val="21"/>
              </w:rPr>
              <w:t>城市化地区/历史文化资源富集区；</w:t>
            </w:r>
          </w:p>
          <w:p w14:paraId="2B30B9CE">
            <w:pPr>
              <w:jc w:val="center"/>
              <w:rPr>
                <w:rFonts w:ascii="Times New Roman" w:hAnsi="Times New Roman" w:eastAsia="仿宋" w:cs="Times New Roman"/>
                <w:szCs w:val="21"/>
              </w:rPr>
            </w:pPr>
            <w:r>
              <w:rPr>
                <w:rFonts w:ascii="Times New Roman" w:hAnsi="Times New Roman" w:eastAsia="仿宋" w:cs="Times New Roman"/>
                <w:b/>
                <w:bCs/>
                <w:szCs w:val="21"/>
              </w:rPr>
              <w:t>上关街道、营江街道：</w:t>
            </w:r>
            <w:r>
              <w:rPr>
                <w:rFonts w:ascii="Times New Roman" w:hAnsi="Times New Roman" w:eastAsia="仿宋" w:cs="Times New Roman"/>
                <w:kern w:val="0"/>
                <w:szCs w:val="21"/>
              </w:rPr>
              <w:t>农产品主产区</w:t>
            </w:r>
          </w:p>
        </w:tc>
        <w:tc>
          <w:tcPr>
            <w:tcW w:w="2126" w:type="dxa"/>
            <w:shd w:val="clear" w:color="auto" w:fill="auto"/>
            <w:vAlign w:val="center"/>
          </w:tcPr>
          <w:p w14:paraId="44110E33">
            <w:pPr>
              <w:rPr>
                <w:rFonts w:ascii="Times New Roman" w:hAnsi="Times New Roman" w:eastAsia="仿宋" w:cs="Times New Roman"/>
                <w:b/>
                <w:bCs/>
                <w:szCs w:val="21"/>
              </w:rPr>
            </w:pPr>
            <w:r>
              <w:rPr>
                <w:rFonts w:ascii="Times New Roman" w:hAnsi="Times New Roman" w:eastAsia="仿宋" w:cs="Times New Roman"/>
                <w:b/>
                <w:bCs/>
                <w:szCs w:val="21"/>
              </w:rPr>
              <w:t>东门街道：</w:t>
            </w:r>
            <w:r>
              <w:rPr>
                <w:rFonts w:ascii="Times New Roman" w:hAnsi="Times New Roman" w:eastAsia="仿宋" w:cs="Times New Roman"/>
                <w:szCs w:val="21"/>
              </w:rPr>
              <w:t>农业、养殖业等。</w:t>
            </w:r>
          </w:p>
          <w:p w14:paraId="1D6CAA73">
            <w:pPr>
              <w:rPr>
                <w:rFonts w:ascii="Times New Roman" w:hAnsi="Times New Roman" w:eastAsia="仿宋" w:cs="Times New Roman"/>
                <w:szCs w:val="21"/>
              </w:rPr>
            </w:pPr>
            <w:r>
              <w:rPr>
                <w:rFonts w:ascii="Times New Roman" w:hAnsi="Times New Roman" w:eastAsia="仿宋" w:cs="Times New Roman"/>
                <w:b/>
                <w:bCs/>
                <w:szCs w:val="21"/>
              </w:rPr>
              <w:t>濂溪街道、西洲街道：</w:t>
            </w:r>
            <w:r>
              <w:rPr>
                <w:rFonts w:ascii="Times New Roman" w:hAnsi="Times New Roman" w:eastAsia="仿宋" w:cs="Times New Roman"/>
                <w:szCs w:val="21"/>
              </w:rPr>
              <w:t>发展现代服务业为主，促进房地产业健康发展，拓展商贸物流业，培育和发展信息和商贸服务业。</w:t>
            </w:r>
          </w:p>
          <w:p w14:paraId="5C82640B">
            <w:pPr>
              <w:rPr>
                <w:rFonts w:ascii="Times New Roman" w:hAnsi="Times New Roman" w:eastAsia="仿宋" w:cs="Times New Roman"/>
                <w:szCs w:val="21"/>
              </w:rPr>
            </w:pPr>
            <w:r>
              <w:rPr>
                <w:rFonts w:ascii="Times New Roman" w:hAnsi="Times New Roman" w:eastAsia="仿宋" w:cs="Times New Roman"/>
                <w:b/>
                <w:bCs/>
                <w:szCs w:val="21"/>
              </w:rPr>
              <w:t>上关街道：</w:t>
            </w:r>
            <w:r>
              <w:rPr>
                <w:rFonts w:ascii="Times New Roman" w:hAnsi="Times New Roman" w:eastAsia="仿宋" w:cs="Times New Roman"/>
                <w:szCs w:val="21"/>
              </w:rPr>
              <w:t>农业、养殖业、</w:t>
            </w:r>
            <w:r>
              <w:rPr>
                <w:rFonts w:ascii="Times New Roman" w:hAnsi="Times New Roman" w:eastAsia="仿宋" w:cs="Times New Roman"/>
                <w:color w:val="000000"/>
                <w:kern w:val="0"/>
                <w:szCs w:val="21"/>
                <w:lang w:bidi="ar"/>
              </w:rPr>
              <w:t>粘土砖瓦及建筑砌块制造</w:t>
            </w:r>
            <w:r>
              <w:rPr>
                <w:rFonts w:ascii="Times New Roman" w:hAnsi="Times New Roman" w:eastAsia="仿宋" w:cs="Times New Roman"/>
                <w:szCs w:val="21"/>
              </w:rPr>
              <w:t>。</w:t>
            </w:r>
          </w:p>
          <w:p w14:paraId="6E1DA838">
            <w:pPr>
              <w:rPr>
                <w:rFonts w:ascii="Times New Roman" w:hAnsi="Times New Roman" w:eastAsia="仿宋" w:cs="Times New Roman"/>
                <w:szCs w:val="21"/>
              </w:rPr>
            </w:pPr>
            <w:r>
              <w:rPr>
                <w:rFonts w:ascii="Times New Roman" w:hAnsi="Times New Roman" w:eastAsia="仿宋" w:cs="Times New Roman"/>
                <w:b/>
                <w:bCs/>
                <w:szCs w:val="21"/>
              </w:rPr>
              <w:t>营江街道、万家庄街道：</w:t>
            </w:r>
            <w:r>
              <w:rPr>
                <w:rFonts w:ascii="Times New Roman" w:hAnsi="Times New Roman" w:eastAsia="仿宋" w:cs="Times New Roman"/>
                <w:szCs w:val="21"/>
              </w:rPr>
              <w:t>农业、养殖业。</w:t>
            </w:r>
          </w:p>
        </w:tc>
        <w:tc>
          <w:tcPr>
            <w:tcW w:w="2977" w:type="dxa"/>
            <w:gridSpan w:val="2"/>
            <w:shd w:val="clear" w:color="auto" w:fill="auto"/>
            <w:vAlign w:val="center"/>
          </w:tcPr>
          <w:p w14:paraId="739CF71E">
            <w:pPr>
              <w:rPr>
                <w:rFonts w:ascii="Times New Roman" w:hAnsi="Times New Roman" w:eastAsia="仿宋" w:cs="Times New Roman"/>
                <w:b/>
                <w:bCs/>
                <w:szCs w:val="21"/>
              </w:rPr>
            </w:pPr>
            <w:r>
              <w:rPr>
                <w:rFonts w:ascii="Times New Roman" w:hAnsi="Times New Roman" w:eastAsia="仿宋" w:cs="Times New Roman"/>
                <w:b/>
                <w:bCs/>
                <w:szCs w:val="21"/>
              </w:rPr>
              <w:t>环境问题：</w:t>
            </w:r>
          </w:p>
          <w:p w14:paraId="6F98033F">
            <w:pPr>
              <w:rPr>
                <w:rFonts w:ascii="Times New Roman" w:hAnsi="Times New Roman" w:eastAsia="仿宋" w:cs="Times New Roman"/>
                <w:szCs w:val="21"/>
              </w:rPr>
            </w:pPr>
            <w:r>
              <w:rPr>
                <w:rFonts w:ascii="Times New Roman" w:hAnsi="Times New Roman" w:eastAsia="仿宋" w:cs="Times New Roman"/>
                <w:b/>
                <w:bCs/>
                <w:szCs w:val="21"/>
              </w:rPr>
              <w:t>东门街道、万家庄街道：</w:t>
            </w:r>
            <w:r>
              <w:rPr>
                <w:rFonts w:ascii="Times New Roman" w:hAnsi="Times New Roman" w:eastAsia="仿宋" w:cs="Times New Roman"/>
                <w:kern w:val="0"/>
                <w:szCs w:val="21"/>
              </w:rPr>
              <w:t>无明显环境问题</w:t>
            </w:r>
            <w:r>
              <w:rPr>
                <w:rFonts w:ascii="Times New Roman" w:hAnsi="Times New Roman" w:eastAsia="仿宋" w:cs="Times New Roman"/>
                <w:szCs w:val="21"/>
              </w:rPr>
              <w:t>。</w:t>
            </w:r>
          </w:p>
          <w:p w14:paraId="2871E8C1">
            <w:pPr>
              <w:rPr>
                <w:rFonts w:ascii="Times New Roman" w:hAnsi="Times New Roman" w:eastAsia="仿宋" w:cs="Times New Roman"/>
                <w:szCs w:val="21"/>
              </w:rPr>
            </w:pPr>
            <w:r>
              <w:rPr>
                <w:rFonts w:ascii="Times New Roman" w:hAnsi="Times New Roman" w:eastAsia="仿宋" w:cs="Times New Roman"/>
                <w:b/>
                <w:bCs/>
                <w:szCs w:val="21"/>
              </w:rPr>
              <w:t>上关街道、营江街道：</w:t>
            </w:r>
            <w:r>
              <w:rPr>
                <w:rFonts w:ascii="Times New Roman" w:hAnsi="Times New Roman" w:eastAsia="仿宋" w:cs="Times New Roman"/>
                <w:szCs w:val="21"/>
              </w:rPr>
              <w:t>无明显环境问题。</w:t>
            </w:r>
          </w:p>
          <w:p w14:paraId="637A280F">
            <w:pPr>
              <w:rPr>
                <w:rFonts w:ascii="Times New Roman" w:hAnsi="Times New Roman" w:eastAsia="仿宋" w:cs="Times New Roman"/>
                <w:b/>
                <w:szCs w:val="21"/>
              </w:rPr>
            </w:pPr>
            <w:r>
              <w:rPr>
                <w:rFonts w:ascii="Times New Roman" w:hAnsi="Times New Roman" w:eastAsia="仿宋" w:cs="Times New Roman"/>
                <w:b/>
                <w:szCs w:val="21"/>
              </w:rPr>
              <w:t>环保目标：</w:t>
            </w:r>
          </w:p>
          <w:p w14:paraId="4AC0F3ED">
            <w:pPr>
              <w:rPr>
                <w:rFonts w:ascii="Times New Roman" w:hAnsi="Times New Roman" w:eastAsia="仿宋" w:cs="Times New Roman"/>
                <w:szCs w:val="21"/>
              </w:rPr>
            </w:pPr>
            <w:r>
              <w:rPr>
                <w:rFonts w:ascii="Times New Roman" w:hAnsi="Times New Roman" w:eastAsia="仿宋" w:cs="Times New Roman"/>
                <w:kern w:val="0"/>
                <w:szCs w:val="21"/>
              </w:rPr>
              <w:t>永州市道县潇水饮用水水源保护区、湖南潇水源湿地公园、湖南道县两河口县级自然保护区、月岩—周敦颐故里风景名胜区。</w:t>
            </w:r>
          </w:p>
        </w:tc>
      </w:tr>
      <w:tr w14:paraId="74CA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46" w:type="dxa"/>
            <w:shd w:val="clear" w:color="auto" w:fill="auto"/>
            <w:vAlign w:val="center"/>
          </w:tcPr>
          <w:p w14:paraId="76545E2E">
            <w:pPr>
              <w:jc w:val="cente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183" w:type="dxa"/>
            <w:gridSpan w:val="11"/>
            <w:shd w:val="clear" w:color="auto" w:fill="auto"/>
          </w:tcPr>
          <w:p w14:paraId="368D83A5">
            <w:pPr>
              <w:rPr>
                <w:rFonts w:ascii="Times New Roman" w:hAnsi="Times New Roman" w:eastAsia="仿宋" w:cs="Times New Roman"/>
                <w:kern w:val="0"/>
                <w:szCs w:val="21"/>
              </w:rPr>
            </w:pPr>
            <w:r>
              <w:rPr>
                <w:rFonts w:ascii="Times New Roman" w:hAnsi="Times New Roman" w:eastAsia="仿宋" w:cs="Times New Roman"/>
                <w:b/>
                <w:bCs/>
                <w:szCs w:val="21"/>
              </w:rPr>
              <w:t>东门街道：</w:t>
            </w:r>
          </w:p>
          <w:p w14:paraId="6AB4820E">
            <w:pPr>
              <w:rPr>
                <w:rFonts w:ascii="Times New Roman" w:hAnsi="Times New Roman" w:eastAsia="仿宋" w:cs="Times New Roman"/>
                <w:szCs w:val="21"/>
              </w:rPr>
            </w:pPr>
            <w:r>
              <w:rPr>
                <w:rFonts w:ascii="Times New Roman" w:hAnsi="Times New Roman" w:eastAsia="仿宋" w:cs="Times New Roman"/>
                <w:kern w:val="0"/>
                <w:szCs w:val="21"/>
              </w:rPr>
              <w:t>一般生态空间（水源涵养重要区/水土流失敏感区）；水环境工业污染重点管控区；大气环境弱扩散重点管控区/大气环境受体敏感重点管控区/大气环境高排放重点管控区；农用地优先保护区/一般管控区；高污染燃料禁燃区</w:t>
            </w:r>
          </w:p>
          <w:p w14:paraId="2A031130">
            <w:pPr>
              <w:rPr>
                <w:rFonts w:ascii="Times New Roman" w:hAnsi="Times New Roman" w:eastAsia="仿宋" w:cs="Times New Roman"/>
                <w:szCs w:val="21"/>
              </w:rPr>
            </w:pPr>
            <w:r>
              <w:rPr>
                <w:rFonts w:ascii="Times New Roman" w:hAnsi="Times New Roman" w:eastAsia="仿宋" w:cs="Times New Roman"/>
                <w:b/>
                <w:bCs/>
                <w:szCs w:val="21"/>
              </w:rPr>
              <w:t>濂溪街道：</w:t>
            </w:r>
            <w:r>
              <w:rPr>
                <w:rFonts w:ascii="Times New Roman" w:hAnsi="Times New Roman" w:eastAsia="仿宋" w:cs="Times New Roman"/>
                <w:kern w:val="0"/>
                <w:szCs w:val="21"/>
              </w:rPr>
              <w:t>水环境城镇生活污染重点管控区；大气环境弱扩散重点管控区/大气环境受体敏感重点管控区/大气环境高排放重点管控区；一般管控区/农用地优先保护区/建设用地重点管控区；高污染燃料禁燃区</w:t>
            </w:r>
          </w:p>
          <w:p w14:paraId="354499C4">
            <w:pPr>
              <w:widowControl/>
              <w:rPr>
                <w:rFonts w:ascii="Times New Roman" w:hAnsi="Times New Roman" w:eastAsia="仿宋" w:cs="Times New Roman"/>
                <w:kern w:val="0"/>
                <w:szCs w:val="21"/>
              </w:rPr>
            </w:pPr>
            <w:r>
              <w:rPr>
                <w:rFonts w:ascii="Times New Roman" w:hAnsi="Times New Roman" w:eastAsia="仿宋" w:cs="Times New Roman"/>
                <w:b/>
                <w:bCs/>
                <w:szCs w:val="21"/>
              </w:rPr>
              <w:t>上关街道：</w:t>
            </w:r>
          </w:p>
          <w:p w14:paraId="0FC4830F">
            <w:pPr>
              <w:widowControl/>
              <w:rPr>
                <w:rFonts w:ascii="Times New Roman" w:hAnsi="Times New Roman" w:eastAsia="仿宋" w:cs="Times New Roman"/>
                <w:kern w:val="0"/>
                <w:szCs w:val="21"/>
              </w:rPr>
            </w:pPr>
            <w:r>
              <w:rPr>
                <w:rFonts w:ascii="Times New Roman" w:hAnsi="Times New Roman" w:eastAsia="仿宋" w:cs="Times New Roman"/>
                <w:szCs w:val="21"/>
              </w:rPr>
              <w:t>红线/</w:t>
            </w:r>
            <w:r>
              <w:rPr>
                <w:rFonts w:ascii="Times New Roman" w:hAnsi="Times New Roman" w:eastAsia="仿宋" w:cs="Times New Roman"/>
                <w:kern w:val="0"/>
                <w:szCs w:val="21"/>
              </w:rPr>
              <w:t>一般生态空间（水源涵养重要区/生物多样性保护功能重要区/湿地公园/三区三线生态红线/原生态红线/水土流失敏感区）；水环境一般管控区/水环境优先保护区；大气环境弱扩散重点管控区/大气环境受体敏感重点管控区/大气环境优先保护区；农用地优先保护区/一般管控区/其他重点管控区；高污染燃料禁燃区</w:t>
            </w:r>
          </w:p>
          <w:p w14:paraId="6550582E">
            <w:pPr>
              <w:rPr>
                <w:rFonts w:ascii="Times New Roman" w:hAnsi="Times New Roman" w:eastAsia="仿宋" w:cs="Times New Roman"/>
                <w:kern w:val="0"/>
                <w:szCs w:val="21"/>
              </w:rPr>
            </w:pPr>
            <w:r>
              <w:rPr>
                <w:rFonts w:ascii="Times New Roman" w:hAnsi="Times New Roman" w:eastAsia="仿宋" w:cs="Times New Roman"/>
                <w:b/>
                <w:bCs/>
                <w:szCs w:val="21"/>
              </w:rPr>
              <w:t>西洲街道：</w:t>
            </w:r>
          </w:p>
          <w:p w14:paraId="3B723647">
            <w:pPr>
              <w:rPr>
                <w:rFonts w:ascii="Times New Roman" w:hAnsi="Times New Roman" w:eastAsia="仿宋" w:cs="Times New Roman"/>
                <w:kern w:val="0"/>
                <w:szCs w:val="21"/>
              </w:rPr>
            </w:pPr>
            <w:r>
              <w:rPr>
                <w:rFonts w:ascii="Times New Roman" w:hAnsi="Times New Roman" w:eastAsia="仿宋" w:cs="Times New Roman"/>
                <w:kern w:val="0"/>
                <w:szCs w:val="21"/>
              </w:rPr>
              <w:t>水环境城镇生活污染重点管控区；大气环境弱扩散重点管控区/大气环境受体敏感重点管控区；一般管控区；高污染燃料禁燃区</w:t>
            </w:r>
          </w:p>
          <w:p w14:paraId="1033BD89">
            <w:pPr>
              <w:rPr>
                <w:rFonts w:ascii="Times New Roman" w:hAnsi="Times New Roman" w:eastAsia="仿宋" w:cs="Times New Roman"/>
                <w:kern w:val="0"/>
                <w:szCs w:val="21"/>
              </w:rPr>
            </w:pPr>
            <w:r>
              <w:rPr>
                <w:rFonts w:ascii="Times New Roman" w:hAnsi="Times New Roman" w:eastAsia="仿宋" w:cs="Times New Roman"/>
                <w:b/>
                <w:szCs w:val="21"/>
              </w:rPr>
              <w:t>万家庄街道：</w:t>
            </w:r>
          </w:p>
          <w:p w14:paraId="0CC13A47">
            <w:pPr>
              <w:rPr>
                <w:rFonts w:ascii="Times New Roman" w:hAnsi="Times New Roman" w:eastAsia="仿宋" w:cs="Times New Roman"/>
                <w:szCs w:val="21"/>
              </w:rPr>
            </w:pPr>
            <w:r>
              <w:rPr>
                <w:rFonts w:ascii="Times New Roman" w:hAnsi="Times New Roman" w:eastAsia="仿宋" w:cs="Times New Roman"/>
                <w:szCs w:val="21"/>
              </w:rPr>
              <w:t>红线/</w:t>
            </w:r>
            <w:r>
              <w:rPr>
                <w:rFonts w:ascii="Times New Roman" w:hAnsi="Times New Roman" w:eastAsia="仿宋" w:cs="Times New Roman"/>
                <w:kern w:val="0"/>
                <w:szCs w:val="21"/>
              </w:rPr>
              <w:t>一般生态空间（水源涵养重要区/生物多样性保护功能重要区/湿地公园/原生态红线/水土流失敏感区/石漠化敏感区）；水环境一般管控区/水环境优先保护区；大气环境受体敏感重点管控区/大气环境优先保护区；农用地优先保护区/一般管控区/建设用地重点管控区/其他重点管控区；高污染燃料禁燃区</w:t>
            </w:r>
          </w:p>
          <w:p w14:paraId="3F76E00F">
            <w:pPr>
              <w:rPr>
                <w:rFonts w:ascii="Times New Roman" w:hAnsi="Times New Roman" w:eastAsia="仿宋" w:cs="Times New Roman"/>
                <w:kern w:val="0"/>
                <w:szCs w:val="21"/>
              </w:rPr>
            </w:pPr>
            <w:r>
              <w:rPr>
                <w:rFonts w:ascii="Times New Roman" w:hAnsi="Times New Roman" w:eastAsia="仿宋" w:cs="Times New Roman"/>
                <w:b/>
                <w:bCs/>
                <w:szCs w:val="21"/>
              </w:rPr>
              <w:t>营江街道：</w:t>
            </w:r>
          </w:p>
          <w:p w14:paraId="17741E79">
            <w:pPr>
              <w:rPr>
                <w:rFonts w:ascii="Times New Roman" w:hAnsi="Times New Roman" w:eastAsia="仿宋" w:cs="Times New Roman"/>
                <w:kern w:val="0"/>
                <w:szCs w:val="21"/>
              </w:rPr>
            </w:pPr>
            <w:r>
              <w:rPr>
                <w:rFonts w:ascii="Times New Roman" w:hAnsi="Times New Roman" w:eastAsia="仿宋" w:cs="Times New Roman"/>
                <w:szCs w:val="21"/>
              </w:rPr>
              <w:t>红线/</w:t>
            </w:r>
            <w:r>
              <w:rPr>
                <w:rFonts w:ascii="Times New Roman" w:hAnsi="Times New Roman" w:eastAsia="仿宋" w:cs="Times New Roman"/>
                <w:kern w:val="0"/>
                <w:szCs w:val="21"/>
              </w:rPr>
              <w:t>一般生态空间（风景名胜区/水土流失敏感区/水源涵养重要区/生物多样性保护功能重要区/原生态红线/三区三线生态红线）；水环境一般管控区；大气环境弱扩散重点管控区/大气环境受体敏感重点管控区/大气环境优先保护区；农用地优先保护区/一般管控区/；高污染燃料禁燃区</w:t>
            </w:r>
          </w:p>
        </w:tc>
      </w:tr>
      <w:tr w14:paraId="2F09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46" w:type="dxa"/>
            <w:shd w:val="clear" w:color="auto" w:fill="auto"/>
            <w:vAlign w:val="center"/>
          </w:tcPr>
          <w:p w14:paraId="053FCFBC">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10576" w:type="dxa"/>
            <w:gridSpan w:val="10"/>
            <w:shd w:val="clear" w:color="auto" w:fill="auto"/>
            <w:vAlign w:val="center"/>
          </w:tcPr>
          <w:p w14:paraId="66AB5A46">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2607" w:type="dxa"/>
            <w:shd w:val="clear" w:color="auto" w:fill="auto"/>
            <w:vAlign w:val="center"/>
          </w:tcPr>
          <w:p w14:paraId="1A8C187C">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14:paraId="15F8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846" w:type="dxa"/>
            <w:shd w:val="clear" w:color="auto" w:fill="auto"/>
            <w:vAlign w:val="center"/>
          </w:tcPr>
          <w:p w14:paraId="002F3E56">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10576" w:type="dxa"/>
            <w:gridSpan w:val="10"/>
            <w:shd w:val="clear" w:color="auto" w:fill="auto"/>
            <w:vAlign w:val="center"/>
          </w:tcPr>
          <w:p w14:paraId="4A12C0CC">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（1.1）</w:t>
            </w:r>
            <w:r>
              <w:rPr>
                <w:rFonts w:ascii="Times New Roman" w:hAnsi="Times New Roman" w:eastAsia="仿宋" w:cs="Times New Roman"/>
                <w:kern w:val="0"/>
                <w:szCs w:val="21"/>
              </w:rPr>
              <w:t>畜禽养殖产业布局应符合《道县畜禽养殖污染防治规划（2021~2025 年）》的要求。</w:t>
            </w:r>
          </w:p>
          <w:p w14:paraId="677CA3D2">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（1.2）生态保护红线内自然保护区、风景名胜区、饮用水水源保护区等区域依照相关法律法规执行。</w:t>
            </w:r>
          </w:p>
        </w:tc>
        <w:tc>
          <w:tcPr>
            <w:tcW w:w="2607" w:type="dxa"/>
            <w:vMerge w:val="restart"/>
            <w:shd w:val="clear" w:color="auto" w:fill="auto"/>
          </w:tcPr>
          <w:p w14:paraId="2D613678">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13AD4060">
            <w:pPr>
              <w:rPr>
                <w:rFonts w:ascii="Times New Roman" w:hAnsi="Times New Roman" w:eastAsia="仿宋" w:cs="Times New Roman"/>
                <w:szCs w:val="21"/>
              </w:rPr>
            </w:pPr>
            <w:r>
              <w:rPr>
                <w:rFonts w:ascii="Times New Roman" w:hAnsi="Times New Roman" w:eastAsia="仿宋" w:cs="Times New Roman"/>
                <w:kern w:val="0"/>
                <w:szCs w:val="21"/>
              </w:rPr>
              <w:t>（1.2）《道县国土空间总体规划（2021-2035年）》；</w:t>
            </w:r>
          </w:p>
          <w:p w14:paraId="544BEFDA">
            <w:pPr>
              <w:tabs>
                <w:tab w:val="left" w:pos="1021"/>
              </w:tabs>
              <w:rPr>
                <w:rFonts w:ascii="Times New Roman" w:hAnsi="Times New Roman" w:eastAsia="仿宋" w:cs="Times New Roman"/>
                <w:szCs w:val="21"/>
              </w:rPr>
            </w:pPr>
            <w:r>
              <w:rPr>
                <w:rFonts w:ascii="Times New Roman" w:hAnsi="Times New Roman" w:eastAsia="仿宋" w:cs="Times New Roman"/>
                <w:szCs w:val="21"/>
              </w:rPr>
              <w:t>（2.1）（2.3）（2.4）（2.5）（3.1）《2023 年道县污染防治攻坚战工作方案》；</w:t>
            </w:r>
            <w:r>
              <w:rPr>
                <w:rFonts w:ascii="Times New Roman" w:hAnsi="Times New Roman" w:eastAsia="仿宋" w:cs="Times New Roman"/>
                <w:color w:val="000000"/>
                <w:szCs w:val="21"/>
              </w:rPr>
              <w:t>（2.2）（4.1）《道县人民政府关于划定高污染燃料禁燃区的通告》（道政发〔2021〕2号）；</w:t>
            </w:r>
          </w:p>
          <w:p w14:paraId="4F997318">
            <w:pPr>
              <w:rPr>
                <w:rFonts w:ascii="Times New Roman" w:hAnsi="Times New Roman" w:eastAsia="仿宋" w:cs="Times New Roman"/>
                <w:szCs w:val="21"/>
              </w:rPr>
            </w:pPr>
            <w:r>
              <w:rPr>
                <w:rFonts w:ascii="Times New Roman" w:hAnsi="Times New Roman" w:eastAsia="仿宋" w:cs="Times New Roman"/>
                <w:szCs w:val="21"/>
              </w:rPr>
              <w:t>（3.2）《道县国民经济和社会发展第十四个五年规划和二〇三五年远景目标纲要》；</w:t>
            </w:r>
          </w:p>
          <w:p w14:paraId="3FD8ACE8">
            <w:pPr>
              <w:rPr>
                <w:rFonts w:ascii="Times New Roman" w:hAnsi="Times New Roman" w:eastAsia="仿宋" w:cs="Times New Roman"/>
                <w:szCs w:val="21"/>
                <w:lang w:eastAsia="zh-Hans"/>
              </w:rPr>
            </w:pPr>
            <w:r>
              <w:rPr>
                <w:rFonts w:ascii="Times New Roman" w:hAnsi="Times New Roman" w:eastAsia="仿宋" w:cs="Times New Roman"/>
                <w:szCs w:val="21"/>
              </w:rPr>
              <w:t>（3.3）</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4BD2BFAA">
            <w:pPr>
              <w:rPr>
                <w:rFonts w:ascii="Times New Roman" w:hAnsi="Times New Roman" w:eastAsia="仿宋" w:cs="Times New Roman"/>
                <w:szCs w:val="21"/>
                <w:lang w:eastAsia="zh-Hans"/>
              </w:rPr>
            </w:pPr>
            <w:r>
              <w:rPr>
                <w:rFonts w:ascii="Times New Roman" w:hAnsi="Times New Roman" w:eastAsia="仿宋" w:cs="Times New Roman"/>
                <w:szCs w:val="21"/>
              </w:rPr>
              <w:t>（3.3）</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3E6ADC9B">
            <w:pPr>
              <w:rPr>
                <w:rFonts w:ascii="Times New Roman" w:hAnsi="Times New Roman" w:eastAsia="仿宋" w:cs="Times New Roman"/>
                <w:szCs w:val="21"/>
              </w:rPr>
            </w:pPr>
            <w:r>
              <w:rPr>
                <w:rFonts w:ascii="Times New Roman" w:hAnsi="Times New Roman" w:eastAsia="仿宋" w:cs="Times New Roman"/>
                <w:szCs w:val="21"/>
              </w:rPr>
              <w:t>（4.1.2）《道县国民经济和社会发展第十四个五年规划和二〇三五年远景目标纲要》；</w:t>
            </w:r>
          </w:p>
          <w:p w14:paraId="18A1AFF5">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2E9E9397">
            <w:pPr>
              <w:adjustRightInd w:val="0"/>
              <w:snapToGrid w:val="0"/>
              <w:rPr>
                <w:rFonts w:ascii="Times New Roman" w:hAnsi="Times New Roman" w:eastAsia="仿宋" w:cs="Times New Roman"/>
                <w:szCs w:val="21"/>
              </w:rPr>
            </w:pPr>
            <w:r>
              <w:rPr>
                <w:rFonts w:ascii="Times New Roman" w:hAnsi="Times New Roman" w:eastAsia="仿宋" w:cs="Times New Roman"/>
                <w:szCs w:val="21"/>
              </w:rPr>
              <w:t>（4.2.2）《永州市小水电清理整改工作方案》（永水发〔2019〕6号）；</w:t>
            </w:r>
          </w:p>
          <w:p w14:paraId="6E41FEE8">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1A80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auto"/>
            <w:vAlign w:val="center"/>
          </w:tcPr>
          <w:p w14:paraId="16AA8F5F">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10576" w:type="dxa"/>
            <w:gridSpan w:val="10"/>
            <w:shd w:val="clear" w:color="auto" w:fill="auto"/>
            <w:vAlign w:val="center"/>
          </w:tcPr>
          <w:p w14:paraId="1342C834">
            <w:pPr>
              <w:ind w:firstLine="420" w:firstLineChars="200"/>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p>
          <w:p w14:paraId="7E0A8D7D">
            <w:pPr>
              <w:ind w:firstLine="420" w:firstLineChars="200"/>
              <w:rPr>
                <w:rFonts w:ascii="Times New Roman" w:hAnsi="Times New Roman" w:eastAsia="仿宋" w:cs="Times New Roman"/>
                <w:szCs w:val="21"/>
              </w:rPr>
            </w:pPr>
            <w:r>
              <w:rPr>
                <w:rFonts w:ascii="Times New Roman" w:hAnsi="Times New Roman" w:eastAsia="仿宋" w:cs="Times New Roman"/>
                <w:szCs w:val="21"/>
              </w:rPr>
              <w:t>（2.2）县城禁止燃放烟花爆竹范围（濂溪街道、西洲街道、道县工业园及上关街道、万家庄街道、营江街道、东门街道的部分范围）内禁止燃放烟花爆竹。</w:t>
            </w:r>
          </w:p>
          <w:p w14:paraId="5CF9C46F">
            <w:pPr>
              <w:ind w:firstLine="420" w:firstLineChars="200"/>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b/>
                <w:bCs/>
                <w:szCs w:val="21"/>
              </w:rPr>
              <w:t>上关街道:</w:t>
            </w:r>
            <w:r>
              <w:rPr>
                <w:rFonts w:ascii="Times New Roman" w:hAnsi="Times New Roman" w:eastAsia="仿宋" w:cs="Times New Roman"/>
                <w:szCs w:val="21"/>
              </w:rPr>
              <w:t>持续推进生活垃圾填埋场整治。着力提升乡镇生活垃圾治理水平，建立动态管控机制，发现问题，及时交办、整改。有序推进厨余垃圾处理。（2.4）统筹推进农膜秸秆回收利用。</w:t>
            </w:r>
          </w:p>
          <w:p w14:paraId="22DD65CD">
            <w:pPr>
              <w:ind w:firstLine="420" w:firstLineChars="200"/>
              <w:rPr>
                <w:rFonts w:ascii="Times New Roman" w:hAnsi="Times New Roman" w:eastAsia="仿宋" w:cs="Times New Roman"/>
                <w:szCs w:val="21"/>
              </w:rPr>
            </w:pPr>
            <w:r>
              <w:rPr>
                <w:rFonts w:ascii="Times New Roman" w:hAnsi="Times New Roman" w:eastAsia="仿宋" w:cs="Times New Roman"/>
                <w:szCs w:val="21"/>
              </w:rPr>
              <w:t>（2.5）防治地下水污染。推进地下水污染预防、风险管控与修复试点，</w:t>
            </w:r>
            <w:r>
              <w:rPr>
                <w:rFonts w:ascii="Times New Roman" w:hAnsi="Times New Roman" w:eastAsia="仿宋" w:cs="Times New Roman"/>
                <w:b/>
                <w:bCs/>
                <w:szCs w:val="21"/>
              </w:rPr>
              <w:t>上关街道：</w:t>
            </w:r>
            <w:r>
              <w:rPr>
                <w:rFonts w:ascii="Times New Roman" w:hAnsi="Times New Roman" w:eastAsia="仿宋" w:cs="Times New Roman"/>
                <w:szCs w:val="21"/>
              </w:rPr>
              <w:t>完成垃圾填埋场等地下水环境状况调查评估，加强地下水型饮用水水源安全保障工作。</w:t>
            </w:r>
          </w:p>
        </w:tc>
        <w:tc>
          <w:tcPr>
            <w:tcW w:w="2607" w:type="dxa"/>
            <w:vMerge w:val="continue"/>
            <w:shd w:val="clear" w:color="auto" w:fill="auto"/>
          </w:tcPr>
          <w:p w14:paraId="105A850E">
            <w:pPr>
              <w:rPr>
                <w:rFonts w:ascii="Times New Roman" w:hAnsi="Times New Roman" w:eastAsia="仿宋" w:cs="Times New Roman"/>
                <w:szCs w:val="21"/>
              </w:rPr>
            </w:pPr>
          </w:p>
        </w:tc>
      </w:tr>
      <w:tr w14:paraId="7918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846" w:type="dxa"/>
            <w:shd w:val="clear" w:color="auto" w:fill="auto"/>
            <w:vAlign w:val="center"/>
          </w:tcPr>
          <w:p w14:paraId="743F5CA3">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10576" w:type="dxa"/>
            <w:gridSpan w:val="10"/>
            <w:shd w:val="clear" w:color="auto" w:fill="auto"/>
            <w:vAlign w:val="center"/>
          </w:tcPr>
          <w:p w14:paraId="43DB689F">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w:t>
            </w:r>
            <w:r>
              <w:rPr>
                <w:rFonts w:ascii="Times New Roman" w:hAnsi="Times New Roman" w:eastAsia="仿宋" w:cs="Times New Roman"/>
                <w:snapToGrid w:val="0"/>
                <w:kern w:val="0"/>
                <w:szCs w:val="21"/>
              </w:rPr>
              <w:t>工矿企业和</w:t>
            </w:r>
            <w:r>
              <w:rPr>
                <w:rFonts w:ascii="Times New Roman" w:hAnsi="Times New Roman" w:eastAsia="仿宋" w:cs="Times New Roman"/>
                <w:szCs w:val="21"/>
              </w:rPr>
              <w:t>流域水污染事件应急体系。</w:t>
            </w:r>
          </w:p>
          <w:p w14:paraId="3596DBFB">
            <w:pPr>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（3.2）矿山开采区应进行必要的防渗处理。</w:t>
            </w:r>
            <w:r>
              <w:rPr>
                <w:rFonts w:ascii="Times New Roman" w:hAnsi="Times New Roman" w:eastAsia="仿宋" w:cs="Times New Roman"/>
                <w:kern w:val="0"/>
                <w:szCs w:val="21"/>
              </w:rPr>
              <w:t>全面推动绿色矿山建设，加快矿区生态修复治理。</w:t>
            </w:r>
          </w:p>
          <w:p w14:paraId="70A085DC">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（3.3）按照《永州市“十四五”生态环境保护规划》《道县“十四五”生态环境保护规划》强化环境风险管控，完善环境风险防控体系。</w:t>
            </w:r>
          </w:p>
        </w:tc>
        <w:tc>
          <w:tcPr>
            <w:tcW w:w="2607" w:type="dxa"/>
            <w:vMerge w:val="continue"/>
            <w:shd w:val="clear" w:color="auto" w:fill="auto"/>
          </w:tcPr>
          <w:p w14:paraId="52442881">
            <w:pPr>
              <w:rPr>
                <w:rFonts w:ascii="Times New Roman" w:hAnsi="Times New Roman" w:eastAsia="仿宋" w:cs="Times New Roman"/>
                <w:szCs w:val="21"/>
              </w:rPr>
            </w:pPr>
          </w:p>
        </w:tc>
      </w:tr>
      <w:tr w14:paraId="39CE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846" w:type="dxa"/>
            <w:shd w:val="clear" w:color="auto" w:fill="auto"/>
            <w:vAlign w:val="center"/>
          </w:tcPr>
          <w:p w14:paraId="42D54A28">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10576" w:type="dxa"/>
            <w:gridSpan w:val="10"/>
            <w:shd w:val="clear" w:color="auto" w:fill="auto"/>
            <w:vAlign w:val="center"/>
          </w:tcPr>
          <w:p w14:paraId="50B3829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163164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（4.1.1）高污染燃料禁燃区执行《道县人民政府关于划定高污染燃料禁燃区的通告》（</w:t>
            </w:r>
            <w:r>
              <w:rPr>
                <w:rFonts w:ascii="Times New Roman" w:hAnsi="Times New Roman" w:eastAsia="仿宋" w:cs="Times New Roman"/>
                <w:color w:val="000000"/>
                <w:szCs w:val="21"/>
              </w:rPr>
              <w:t>道政发〔2021〕2号</w:t>
            </w:r>
            <w:r>
              <w:rPr>
                <w:rFonts w:ascii="Times New Roman" w:hAnsi="Times New Roman" w:eastAsia="仿宋" w:cs="Times New Roman"/>
                <w:szCs w:val="21"/>
              </w:rPr>
              <w:t>），禁止新建、扩建燃用高污染燃料的锅炉、炉窑、炉灶等燃烧设施（集中供热、电厂锅炉除外）；禁止销售、使用高污染燃料。</w:t>
            </w:r>
          </w:p>
          <w:p w14:paraId="68D6D4A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bCs/>
                <w:szCs w:val="21"/>
              </w:rPr>
              <w:t>县域电力扩容改造。</w:t>
            </w:r>
            <w:r>
              <w:rPr>
                <w:rFonts w:ascii="Times New Roman" w:hAnsi="Times New Roman" w:eastAsia="仿宋" w:cs="Times New Roman"/>
                <w:szCs w:val="21"/>
              </w:rPr>
              <w:t>重点实施 110 千伏绍基变电站建设项目、110KV 两涔线、涔码线改造工程、桥头 35kv 变电站及线路改造工程、农网改造升级工程，有效缓解县域供电压力，优化县城电力网络，大幅提升县域供电可靠性。</w:t>
            </w:r>
          </w:p>
          <w:p w14:paraId="3A78DE8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EA49199">
            <w:pPr>
              <w:tabs>
                <w:tab w:val="left" w:pos="1021"/>
              </w:tabs>
              <w:ind w:firstLine="420" w:firstLineChars="200"/>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0572E43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（4.2.2）有关部门应按要求组织完成小水电整治。完善小水电建设手续，规范建设秩序，有效保护和修复河流生态系统。</w:t>
            </w:r>
          </w:p>
          <w:p w14:paraId="712BDBD3">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47C84D2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w:t>
            </w:r>
            <w:r>
              <w:rPr>
                <w:rFonts w:ascii="Times New Roman" w:hAnsi="Times New Roman" w:eastAsia="仿宋" w:cs="Times New Roman"/>
                <w:szCs w:val="21"/>
              </w:rPr>
              <w:t>道县县城</w:t>
            </w:r>
            <w:r>
              <w:rPr>
                <w:rFonts w:ascii="Times New Roman" w:hAnsi="Times New Roman" w:eastAsia="仿宋" w:cs="Times New Roman"/>
                <w:kern w:val="0"/>
                <w:szCs w:val="21"/>
              </w:rPr>
              <w:t>为6119.64公顷），永久基本农田保护面积不低于4.06万公顷（其中</w:t>
            </w:r>
            <w:r>
              <w:rPr>
                <w:rFonts w:ascii="Times New Roman" w:hAnsi="Times New Roman" w:eastAsia="仿宋" w:cs="Times New Roman"/>
                <w:szCs w:val="21"/>
              </w:rPr>
              <w:t>道县县城</w:t>
            </w:r>
            <w:r>
              <w:rPr>
                <w:rFonts w:ascii="Times New Roman" w:hAnsi="Times New Roman" w:eastAsia="仿宋" w:cs="Times New Roman"/>
                <w:kern w:val="0"/>
                <w:szCs w:val="21"/>
              </w:rPr>
              <w:t>为4519.03公顷），全县生态保护红线面积不低于44930.26公顷；全县划定城镇开发边界4077.86公顷，划定城镇发展区 4386.37公顷，乡村发展区125445.17公顷，矿产能源发展区696.49公顷。</w:t>
            </w:r>
          </w:p>
        </w:tc>
        <w:tc>
          <w:tcPr>
            <w:tcW w:w="2607" w:type="dxa"/>
            <w:vMerge w:val="continue"/>
            <w:shd w:val="clear" w:color="auto" w:fill="auto"/>
          </w:tcPr>
          <w:p w14:paraId="36549FB7">
            <w:pPr>
              <w:rPr>
                <w:rFonts w:ascii="Times New Roman" w:hAnsi="Times New Roman" w:eastAsia="仿宋" w:cs="Times New Roman"/>
                <w:szCs w:val="21"/>
              </w:rPr>
            </w:pPr>
          </w:p>
        </w:tc>
      </w:tr>
    </w:tbl>
    <w:p w14:paraId="63A10953">
      <w:pPr>
        <w:widowControl/>
        <w:jc w:val="left"/>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p>
    <w:tbl>
      <w:tblPr>
        <w:tblStyle w:val="20"/>
        <w:tblW w:w="14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258"/>
        <w:gridCol w:w="417"/>
        <w:gridCol w:w="417"/>
        <w:gridCol w:w="419"/>
        <w:gridCol w:w="839"/>
        <w:gridCol w:w="1091"/>
        <w:gridCol w:w="1125"/>
        <w:gridCol w:w="1681"/>
        <w:gridCol w:w="2836"/>
        <w:gridCol w:w="2976"/>
      </w:tblGrid>
      <w:tr w14:paraId="600A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restart"/>
            <w:shd w:val="clear" w:color="auto" w:fill="auto"/>
            <w:vAlign w:val="center"/>
          </w:tcPr>
          <w:p w14:paraId="59B93BC7">
            <w:pPr>
              <w:jc w:val="center"/>
              <w:rPr>
                <w:rFonts w:ascii="Times New Roman" w:hAnsi="Times New Roman" w:eastAsia="仿宋" w:cs="Times New Roman"/>
                <w:b/>
                <w:bCs/>
                <w:szCs w:val="21"/>
              </w:rPr>
            </w:pPr>
            <w:r>
              <w:rPr>
                <w:rFonts w:ascii="Times New Roman" w:hAnsi="Times New Roman" w:eastAsia="仿宋" w:cs="Times New Roman"/>
                <w:b/>
                <w:bCs/>
                <w:szCs w:val="21"/>
              </w:rPr>
              <w:t>环境管控单元编码</w:t>
            </w:r>
          </w:p>
        </w:tc>
        <w:tc>
          <w:tcPr>
            <w:tcW w:w="1258" w:type="dxa"/>
            <w:vMerge w:val="restart"/>
            <w:shd w:val="clear" w:color="auto" w:fill="auto"/>
            <w:vAlign w:val="center"/>
          </w:tcPr>
          <w:p w14:paraId="0D06D739">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1253" w:type="dxa"/>
            <w:gridSpan w:val="3"/>
            <w:shd w:val="clear" w:color="auto" w:fill="auto"/>
            <w:vAlign w:val="center"/>
          </w:tcPr>
          <w:p w14:paraId="2C8ABA74">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839" w:type="dxa"/>
            <w:vMerge w:val="restart"/>
            <w:shd w:val="clear" w:color="auto" w:fill="auto"/>
            <w:vAlign w:val="center"/>
          </w:tcPr>
          <w:p w14:paraId="08A09999">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1091" w:type="dxa"/>
            <w:vMerge w:val="restart"/>
            <w:shd w:val="clear" w:color="auto" w:fill="auto"/>
            <w:vAlign w:val="center"/>
          </w:tcPr>
          <w:p w14:paraId="42374188">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125" w:type="dxa"/>
            <w:vMerge w:val="restart"/>
            <w:shd w:val="clear" w:color="auto" w:fill="auto"/>
            <w:vAlign w:val="center"/>
          </w:tcPr>
          <w:p w14:paraId="287A792D">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681" w:type="dxa"/>
            <w:vMerge w:val="restart"/>
            <w:shd w:val="clear" w:color="auto" w:fill="auto"/>
            <w:vAlign w:val="center"/>
          </w:tcPr>
          <w:p w14:paraId="794225E3">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2836" w:type="dxa"/>
            <w:vMerge w:val="restart"/>
            <w:shd w:val="clear" w:color="auto" w:fill="auto"/>
            <w:vAlign w:val="center"/>
          </w:tcPr>
          <w:p w14:paraId="3108E318">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2976" w:type="dxa"/>
            <w:vMerge w:val="restart"/>
            <w:shd w:val="clear" w:color="auto" w:fill="auto"/>
            <w:vAlign w:val="center"/>
          </w:tcPr>
          <w:p w14:paraId="2C614BC7">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6794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12" w:type="dxa"/>
            <w:vMerge w:val="continue"/>
            <w:shd w:val="clear" w:color="auto" w:fill="auto"/>
          </w:tcPr>
          <w:p w14:paraId="62646BD0">
            <w:pPr>
              <w:rPr>
                <w:rFonts w:ascii="Times New Roman" w:hAnsi="Times New Roman" w:eastAsia="仿宋" w:cs="Times New Roman"/>
                <w:szCs w:val="21"/>
              </w:rPr>
            </w:pPr>
          </w:p>
        </w:tc>
        <w:tc>
          <w:tcPr>
            <w:tcW w:w="1258" w:type="dxa"/>
            <w:vMerge w:val="continue"/>
            <w:shd w:val="clear" w:color="auto" w:fill="auto"/>
          </w:tcPr>
          <w:p w14:paraId="138AC6BC">
            <w:pPr>
              <w:rPr>
                <w:rFonts w:ascii="Times New Roman" w:hAnsi="Times New Roman" w:eastAsia="仿宋" w:cs="Times New Roman"/>
                <w:szCs w:val="21"/>
              </w:rPr>
            </w:pPr>
          </w:p>
        </w:tc>
        <w:tc>
          <w:tcPr>
            <w:tcW w:w="417" w:type="dxa"/>
            <w:shd w:val="clear" w:color="auto" w:fill="auto"/>
            <w:vAlign w:val="center"/>
          </w:tcPr>
          <w:p w14:paraId="475BB54D">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417" w:type="dxa"/>
            <w:shd w:val="clear" w:color="auto" w:fill="auto"/>
            <w:vAlign w:val="center"/>
          </w:tcPr>
          <w:p w14:paraId="4EB1675C">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419" w:type="dxa"/>
            <w:shd w:val="clear" w:color="auto" w:fill="auto"/>
            <w:vAlign w:val="center"/>
          </w:tcPr>
          <w:p w14:paraId="0516509F">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839" w:type="dxa"/>
            <w:vMerge w:val="continue"/>
            <w:shd w:val="clear" w:color="auto" w:fill="auto"/>
          </w:tcPr>
          <w:p w14:paraId="3ED8FB53">
            <w:pPr>
              <w:rPr>
                <w:rFonts w:ascii="Times New Roman" w:hAnsi="Times New Roman" w:eastAsia="仿宋" w:cs="Times New Roman"/>
                <w:szCs w:val="21"/>
              </w:rPr>
            </w:pPr>
          </w:p>
        </w:tc>
        <w:tc>
          <w:tcPr>
            <w:tcW w:w="1091" w:type="dxa"/>
            <w:vMerge w:val="continue"/>
            <w:shd w:val="clear" w:color="auto" w:fill="auto"/>
          </w:tcPr>
          <w:p w14:paraId="3E628CB4">
            <w:pPr>
              <w:rPr>
                <w:rFonts w:ascii="Times New Roman" w:hAnsi="Times New Roman" w:eastAsia="仿宋" w:cs="Times New Roman"/>
                <w:szCs w:val="21"/>
              </w:rPr>
            </w:pPr>
          </w:p>
        </w:tc>
        <w:tc>
          <w:tcPr>
            <w:tcW w:w="1125" w:type="dxa"/>
            <w:vMerge w:val="continue"/>
            <w:shd w:val="clear" w:color="auto" w:fill="auto"/>
          </w:tcPr>
          <w:p w14:paraId="2D06A2A6">
            <w:pPr>
              <w:rPr>
                <w:rFonts w:ascii="Times New Roman" w:hAnsi="Times New Roman" w:eastAsia="仿宋" w:cs="Times New Roman"/>
                <w:szCs w:val="21"/>
              </w:rPr>
            </w:pPr>
          </w:p>
        </w:tc>
        <w:tc>
          <w:tcPr>
            <w:tcW w:w="1681" w:type="dxa"/>
            <w:vMerge w:val="continue"/>
            <w:shd w:val="clear" w:color="auto" w:fill="auto"/>
          </w:tcPr>
          <w:p w14:paraId="3CE33403">
            <w:pPr>
              <w:rPr>
                <w:rFonts w:ascii="Times New Roman" w:hAnsi="Times New Roman" w:eastAsia="仿宋" w:cs="Times New Roman"/>
                <w:szCs w:val="21"/>
              </w:rPr>
            </w:pPr>
          </w:p>
        </w:tc>
        <w:tc>
          <w:tcPr>
            <w:tcW w:w="2836" w:type="dxa"/>
            <w:vMerge w:val="continue"/>
            <w:shd w:val="clear" w:color="auto" w:fill="auto"/>
          </w:tcPr>
          <w:p w14:paraId="1DDCCB20">
            <w:pPr>
              <w:rPr>
                <w:rFonts w:ascii="Times New Roman" w:hAnsi="Times New Roman" w:eastAsia="仿宋" w:cs="Times New Roman"/>
                <w:szCs w:val="21"/>
              </w:rPr>
            </w:pPr>
          </w:p>
        </w:tc>
        <w:tc>
          <w:tcPr>
            <w:tcW w:w="2976" w:type="dxa"/>
            <w:vMerge w:val="continue"/>
            <w:shd w:val="clear" w:color="auto" w:fill="auto"/>
          </w:tcPr>
          <w:p w14:paraId="72415EE8">
            <w:pPr>
              <w:rPr>
                <w:rFonts w:ascii="Times New Roman" w:hAnsi="Times New Roman" w:eastAsia="仿宋" w:cs="Times New Roman"/>
                <w:szCs w:val="21"/>
              </w:rPr>
            </w:pPr>
          </w:p>
        </w:tc>
      </w:tr>
      <w:tr w14:paraId="631C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shd w:val="clear" w:color="auto" w:fill="auto"/>
            <w:vAlign w:val="center"/>
          </w:tcPr>
          <w:p w14:paraId="5BD0FECA">
            <w:pPr>
              <w:jc w:val="center"/>
              <w:rPr>
                <w:rFonts w:ascii="Times New Roman" w:hAnsi="Times New Roman" w:eastAsia="仿宋" w:cs="Times New Roman"/>
                <w:szCs w:val="21"/>
              </w:rPr>
            </w:pPr>
            <w:r>
              <w:rPr>
                <w:rFonts w:ascii="Times New Roman" w:hAnsi="Times New Roman" w:eastAsia="仿宋" w:cs="Times New Roman"/>
                <w:szCs w:val="21"/>
              </w:rPr>
              <w:t>ZH43112430001</w:t>
            </w:r>
          </w:p>
        </w:tc>
        <w:tc>
          <w:tcPr>
            <w:tcW w:w="1258" w:type="dxa"/>
            <w:shd w:val="clear" w:color="auto" w:fill="auto"/>
            <w:vAlign w:val="center"/>
          </w:tcPr>
          <w:p w14:paraId="2CCA96AA">
            <w:pPr>
              <w:jc w:val="center"/>
              <w:rPr>
                <w:rFonts w:ascii="Times New Roman" w:hAnsi="Times New Roman" w:eastAsia="仿宋" w:cs="Times New Roman"/>
                <w:szCs w:val="21"/>
              </w:rPr>
            </w:pPr>
            <w:r>
              <w:rPr>
                <w:rFonts w:ascii="Times New Roman" w:hAnsi="Times New Roman" w:eastAsia="仿宋" w:cs="Times New Roman"/>
                <w:szCs w:val="21"/>
              </w:rPr>
              <w:t>寿雁镇/仙子脚镇/白马渡镇/富塘街道/梅花镇</w:t>
            </w:r>
          </w:p>
        </w:tc>
        <w:tc>
          <w:tcPr>
            <w:tcW w:w="417" w:type="dxa"/>
            <w:shd w:val="clear" w:color="auto" w:fill="auto"/>
            <w:vAlign w:val="center"/>
          </w:tcPr>
          <w:p w14:paraId="5CEDDB74">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17" w:type="dxa"/>
            <w:shd w:val="clear" w:color="auto" w:fill="auto"/>
            <w:vAlign w:val="center"/>
          </w:tcPr>
          <w:p w14:paraId="3F3B6C40">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19" w:type="dxa"/>
            <w:shd w:val="clear" w:color="auto" w:fill="auto"/>
            <w:vAlign w:val="center"/>
          </w:tcPr>
          <w:p w14:paraId="328F5D26">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839" w:type="dxa"/>
            <w:shd w:val="clear" w:color="auto" w:fill="auto"/>
            <w:vAlign w:val="center"/>
          </w:tcPr>
          <w:p w14:paraId="4DCF9A03">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1091" w:type="dxa"/>
            <w:shd w:val="clear" w:color="auto" w:fill="auto"/>
            <w:vAlign w:val="center"/>
          </w:tcPr>
          <w:p w14:paraId="10F4CDA5">
            <w:pPr>
              <w:widowControl/>
              <w:jc w:val="center"/>
              <w:rPr>
                <w:rFonts w:ascii="Times New Roman" w:hAnsi="Times New Roman" w:eastAsia="仿宋" w:cs="Times New Roman"/>
                <w:szCs w:val="21"/>
              </w:rPr>
            </w:pPr>
            <w:r>
              <w:rPr>
                <w:rFonts w:ascii="Times New Roman" w:hAnsi="Times New Roman" w:eastAsia="仿宋" w:cs="Times New Roman"/>
                <w:szCs w:val="21"/>
              </w:rPr>
              <w:t>520.26</w:t>
            </w:r>
          </w:p>
        </w:tc>
        <w:tc>
          <w:tcPr>
            <w:tcW w:w="1125" w:type="dxa"/>
            <w:shd w:val="clear" w:color="auto" w:fill="auto"/>
            <w:vAlign w:val="center"/>
          </w:tcPr>
          <w:p w14:paraId="48379C39">
            <w:pPr>
              <w:jc w:val="center"/>
              <w:rPr>
                <w:rFonts w:ascii="Times New Roman" w:hAnsi="Times New Roman" w:eastAsia="仿宋" w:cs="Times New Roman"/>
                <w:szCs w:val="21"/>
              </w:rPr>
            </w:pPr>
            <w:r>
              <w:rPr>
                <w:rFonts w:ascii="Times New Roman" w:hAnsi="Times New Roman" w:eastAsia="仿宋" w:cs="Times New Roman"/>
                <w:szCs w:val="21"/>
              </w:rPr>
              <w:t>寿雁镇/仙子脚镇/白马渡镇/富塘街道/梅花镇</w:t>
            </w:r>
          </w:p>
        </w:tc>
        <w:tc>
          <w:tcPr>
            <w:tcW w:w="1681" w:type="dxa"/>
            <w:shd w:val="clear" w:color="auto" w:fill="auto"/>
            <w:vAlign w:val="center"/>
          </w:tcPr>
          <w:p w14:paraId="04F529BE">
            <w:pPr>
              <w:jc w:val="left"/>
              <w:rPr>
                <w:rFonts w:ascii="Times New Roman" w:hAnsi="Times New Roman" w:eastAsia="仿宋" w:cs="Times New Roman"/>
                <w:szCs w:val="21"/>
              </w:rPr>
            </w:pPr>
            <w:r>
              <w:rPr>
                <w:rFonts w:ascii="Times New Roman" w:hAnsi="Times New Roman" w:eastAsia="仿宋" w:cs="Times New Roman"/>
                <w:szCs w:val="21"/>
              </w:rPr>
              <w:t>寿雁镇、仙子脚镇、白马渡镇、梅花镇：</w:t>
            </w:r>
            <w:r>
              <w:rPr>
                <w:rFonts w:ascii="Times New Roman" w:hAnsi="Times New Roman" w:eastAsia="仿宋" w:cs="Times New Roman"/>
                <w:kern w:val="0"/>
                <w:szCs w:val="21"/>
              </w:rPr>
              <w:t>农产品主产区；</w:t>
            </w:r>
            <w:r>
              <w:rPr>
                <w:rFonts w:ascii="Times New Roman" w:hAnsi="Times New Roman" w:eastAsia="仿宋" w:cs="Times New Roman"/>
                <w:szCs w:val="21"/>
              </w:rPr>
              <w:t>富塘街道：</w:t>
            </w:r>
            <w:r>
              <w:rPr>
                <w:rFonts w:ascii="Times New Roman" w:hAnsi="Times New Roman" w:eastAsia="仿宋" w:cs="Times New Roman"/>
                <w:kern w:val="0"/>
                <w:szCs w:val="21"/>
              </w:rPr>
              <w:t>城市化地区</w:t>
            </w:r>
          </w:p>
        </w:tc>
        <w:tc>
          <w:tcPr>
            <w:tcW w:w="2836" w:type="dxa"/>
            <w:shd w:val="clear" w:color="auto" w:fill="auto"/>
          </w:tcPr>
          <w:p w14:paraId="018204BA">
            <w:pPr>
              <w:rPr>
                <w:rFonts w:ascii="Times New Roman" w:hAnsi="Times New Roman" w:eastAsia="仿宋" w:cs="Times New Roman"/>
                <w:b/>
                <w:bCs/>
                <w:szCs w:val="21"/>
              </w:rPr>
            </w:pPr>
            <w:r>
              <w:rPr>
                <w:rFonts w:ascii="Times New Roman" w:hAnsi="Times New Roman" w:eastAsia="仿宋" w:cs="Times New Roman"/>
                <w:b/>
                <w:bCs/>
                <w:szCs w:val="21"/>
              </w:rPr>
              <w:t>寿雁镇：</w:t>
            </w:r>
            <w:r>
              <w:rPr>
                <w:rFonts w:ascii="Times New Roman" w:hAnsi="Times New Roman" w:eastAsia="仿宋" w:cs="Times New Roman"/>
                <w:szCs w:val="21"/>
              </w:rPr>
              <w:t>农业、旅游业。</w:t>
            </w:r>
          </w:p>
          <w:p w14:paraId="1FACA15B">
            <w:pPr>
              <w:rPr>
                <w:rFonts w:ascii="Times New Roman" w:hAnsi="Times New Roman" w:eastAsia="仿宋" w:cs="Times New Roman"/>
                <w:szCs w:val="21"/>
              </w:rPr>
            </w:pPr>
            <w:r>
              <w:rPr>
                <w:rFonts w:ascii="Times New Roman" w:hAnsi="Times New Roman" w:eastAsia="仿宋" w:cs="Times New Roman"/>
                <w:b/>
                <w:szCs w:val="21"/>
              </w:rPr>
              <w:t>仙子脚镇：</w:t>
            </w:r>
            <w:r>
              <w:rPr>
                <w:rFonts w:ascii="Times New Roman" w:hAnsi="Times New Roman" w:eastAsia="仿宋" w:cs="Times New Roman"/>
                <w:szCs w:val="21"/>
              </w:rPr>
              <w:t>农业、养殖业。</w:t>
            </w:r>
          </w:p>
          <w:p w14:paraId="01743D68">
            <w:pPr>
              <w:rPr>
                <w:rFonts w:ascii="Times New Roman" w:hAnsi="Times New Roman" w:eastAsia="仿宋" w:cs="Times New Roman"/>
                <w:szCs w:val="21"/>
              </w:rPr>
            </w:pPr>
            <w:r>
              <w:rPr>
                <w:rFonts w:ascii="Times New Roman" w:hAnsi="Times New Roman" w:eastAsia="仿宋" w:cs="Times New Roman"/>
                <w:b/>
                <w:bCs/>
                <w:szCs w:val="21"/>
              </w:rPr>
              <w:t>白马渡镇：</w:t>
            </w:r>
            <w:r>
              <w:rPr>
                <w:rFonts w:ascii="Times New Roman" w:hAnsi="Times New Roman" w:eastAsia="仿宋" w:cs="Times New Roman"/>
                <w:szCs w:val="21"/>
              </w:rPr>
              <w:t>农业、旅游业。</w:t>
            </w:r>
          </w:p>
          <w:p w14:paraId="0506A845">
            <w:pPr>
              <w:rPr>
                <w:rFonts w:ascii="Times New Roman" w:hAnsi="Times New Roman" w:eastAsia="仿宋" w:cs="Times New Roman"/>
                <w:szCs w:val="21"/>
              </w:rPr>
            </w:pPr>
            <w:r>
              <w:rPr>
                <w:rFonts w:ascii="Times New Roman" w:hAnsi="Times New Roman" w:eastAsia="仿宋" w:cs="Times New Roman"/>
                <w:b/>
                <w:bCs/>
                <w:szCs w:val="21"/>
              </w:rPr>
              <w:t>富塘街道：</w:t>
            </w:r>
            <w:r>
              <w:rPr>
                <w:rFonts w:ascii="Times New Roman" w:hAnsi="Times New Roman" w:eastAsia="仿宋" w:cs="Times New Roman"/>
                <w:szCs w:val="21"/>
              </w:rPr>
              <w:t>无。</w:t>
            </w:r>
          </w:p>
          <w:p w14:paraId="2F145958">
            <w:pPr>
              <w:rPr>
                <w:rFonts w:ascii="Times New Roman" w:hAnsi="Times New Roman" w:eastAsia="仿宋" w:cs="Times New Roman"/>
                <w:szCs w:val="21"/>
              </w:rPr>
            </w:pPr>
            <w:r>
              <w:rPr>
                <w:rFonts w:ascii="Times New Roman" w:hAnsi="Times New Roman" w:eastAsia="仿宋" w:cs="Times New Roman"/>
                <w:b/>
                <w:bCs/>
                <w:szCs w:val="21"/>
              </w:rPr>
              <w:t>梅花镇：</w:t>
            </w:r>
            <w:r>
              <w:rPr>
                <w:rFonts w:ascii="Times New Roman" w:hAnsi="Times New Roman" w:eastAsia="仿宋" w:cs="Times New Roman"/>
                <w:szCs w:val="21"/>
              </w:rPr>
              <w:t>农业、养殖业、旅游业。</w:t>
            </w:r>
          </w:p>
        </w:tc>
        <w:tc>
          <w:tcPr>
            <w:tcW w:w="2976" w:type="dxa"/>
            <w:shd w:val="clear" w:color="auto" w:fill="auto"/>
          </w:tcPr>
          <w:p w14:paraId="7F3202F9">
            <w:pPr>
              <w:rPr>
                <w:rFonts w:ascii="Times New Roman" w:hAnsi="Times New Roman" w:eastAsia="仿宋" w:cs="Times New Roman"/>
                <w:b/>
                <w:bCs/>
                <w:szCs w:val="21"/>
              </w:rPr>
            </w:pPr>
            <w:r>
              <w:rPr>
                <w:rFonts w:ascii="Times New Roman" w:hAnsi="Times New Roman" w:eastAsia="仿宋" w:cs="Times New Roman"/>
                <w:b/>
                <w:bCs/>
                <w:szCs w:val="21"/>
              </w:rPr>
              <w:t>环境问题：</w:t>
            </w:r>
          </w:p>
          <w:p w14:paraId="24366964">
            <w:pPr>
              <w:rPr>
                <w:rFonts w:ascii="Times New Roman" w:hAnsi="Times New Roman" w:eastAsia="仿宋" w:cs="Times New Roman"/>
                <w:szCs w:val="21"/>
              </w:rPr>
            </w:pPr>
            <w:r>
              <w:rPr>
                <w:rFonts w:ascii="Times New Roman" w:hAnsi="Times New Roman" w:eastAsia="仿宋" w:cs="Times New Roman"/>
                <w:szCs w:val="21"/>
              </w:rPr>
              <w:t>无明显环境问题。</w:t>
            </w:r>
          </w:p>
          <w:p w14:paraId="295226C2">
            <w:pPr>
              <w:rPr>
                <w:rFonts w:ascii="Times New Roman" w:hAnsi="Times New Roman" w:eastAsia="仿宋" w:cs="Times New Roman"/>
                <w:b/>
                <w:szCs w:val="21"/>
              </w:rPr>
            </w:pPr>
            <w:r>
              <w:rPr>
                <w:rFonts w:ascii="Times New Roman" w:hAnsi="Times New Roman" w:eastAsia="仿宋" w:cs="Times New Roman"/>
                <w:b/>
                <w:szCs w:val="21"/>
              </w:rPr>
              <w:t>环保目标：</w:t>
            </w:r>
          </w:p>
          <w:p w14:paraId="056B9B38">
            <w:pPr>
              <w:rPr>
                <w:rFonts w:ascii="Times New Roman" w:hAnsi="Times New Roman" w:eastAsia="仿宋" w:cs="Times New Roman"/>
                <w:kern w:val="0"/>
                <w:szCs w:val="21"/>
              </w:rPr>
            </w:pPr>
            <w:r>
              <w:rPr>
                <w:rFonts w:ascii="Times New Roman" w:hAnsi="Times New Roman" w:eastAsia="仿宋" w:cs="Times New Roman"/>
                <w:kern w:val="0"/>
                <w:szCs w:val="21"/>
              </w:rPr>
              <w:t>湖南到江源省级森林自然公园、湖南道县牛路口县级自然保护区。</w:t>
            </w:r>
          </w:p>
        </w:tc>
      </w:tr>
      <w:tr w14:paraId="5788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2" w:hRule="atLeast"/>
          <w:jc w:val="center"/>
        </w:trPr>
        <w:tc>
          <w:tcPr>
            <w:tcW w:w="1112" w:type="dxa"/>
            <w:shd w:val="clear" w:color="auto" w:fill="auto"/>
            <w:vAlign w:val="center"/>
          </w:tcPr>
          <w:p w14:paraId="7DEB7A25">
            <w:pPr>
              <w:jc w:val="center"/>
              <w:rPr>
                <w:rFonts w:ascii="Times New Roman" w:hAnsi="Times New Roman" w:eastAsia="仿宋" w:cs="Times New Roman"/>
                <w:b/>
                <w:bCs/>
                <w:szCs w:val="21"/>
              </w:rPr>
            </w:pPr>
            <w:r>
              <w:rPr>
                <w:rFonts w:ascii="Times New Roman" w:hAnsi="Times New Roman" w:eastAsia="仿宋" w:cs="Times New Roman"/>
                <w:b/>
                <w:bCs/>
                <w:szCs w:val="21"/>
              </w:rPr>
              <w:t>主要属性</w:t>
            </w:r>
          </w:p>
        </w:tc>
        <w:tc>
          <w:tcPr>
            <w:tcW w:w="13059" w:type="dxa"/>
            <w:gridSpan w:val="10"/>
            <w:shd w:val="clear" w:color="auto" w:fill="auto"/>
          </w:tcPr>
          <w:p w14:paraId="570AEE08">
            <w:pPr>
              <w:widowControl/>
              <w:rPr>
                <w:rFonts w:ascii="Times New Roman" w:hAnsi="Times New Roman" w:eastAsia="仿宋" w:cs="Times New Roman"/>
                <w:kern w:val="0"/>
                <w:szCs w:val="21"/>
              </w:rPr>
            </w:pPr>
            <w:r>
              <w:rPr>
                <w:rFonts w:ascii="Times New Roman" w:hAnsi="Times New Roman" w:eastAsia="仿宋" w:cs="Times New Roman"/>
                <w:b/>
                <w:bCs/>
                <w:szCs w:val="21"/>
              </w:rPr>
              <w:t>梅花镇：</w:t>
            </w:r>
            <w:r>
              <w:rPr>
                <w:rFonts w:ascii="Times New Roman" w:hAnsi="Times New Roman" w:eastAsia="仿宋" w:cs="Times New Roman"/>
                <w:kern w:val="0"/>
                <w:szCs w:val="21"/>
              </w:rPr>
              <w:t xml:space="preserve"> </w:t>
            </w:r>
          </w:p>
          <w:p w14:paraId="20AA349D">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三区三线生态红线/水土流失敏感区/生物多样性保护功能重要区/原生态红线）；水环境一般管控区；大气环境弱扩散重点管控区/大气环境受体敏感重点管控区；农用地优先保护区/一般管控区/其他重点管控区</w:t>
            </w:r>
          </w:p>
          <w:p w14:paraId="466506E4">
            <w:pPr>
              <w:widowControl/>
              <w:rPr>
                <w:rFonts w:ascii="Times New Roman" w:hAnsi="Times New Roman" w:eastAsia="仿宋" w:cs="Times New Roman"/>
                <w:kern w:val="0"/>
                <w:szCs w:val="21"/>
              </w:rPr>
            </w:pPr>
            <w:r>
              <w:rPr>
                <w:rFonts w:ascii="Times New Roman" w:hAnsi="Times New Roman" w:eastAsia="仿宋" w:cs="Times New Roman"/>
                <w:b/>
                <w:bCs/>
                <w:szCs w:val="21"/>
              </w:rPr>
              <w:t>寿雁镇：</w:t>
            </w:r>
            <w:r>
              <w:rPr>
                <w:rFonts w:ascii="Times New Roman" w:hAnsi="Times New Roman" w:eastAsia="仿宋" w:cs="Times New Roman"/>
                <w:kern w:val="0"/>
                <w:szCs w:val="21"/>
              </w:rPr>
              <w:t xml:space="preserve"> </w:t>
            </w:r>
          </w:p>
          <w:p w14:paraId="3C8D1CC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风景名胜区/水土保持功能重要区/水土流失敏感区/水源涵养重要区/自然保护区/三区三线生态红线/森林公园/生物多样性保护功能重要区/原生态红线）；水环境一般管控区；大气环境弱扩散重点管控区/大气环境优先保护区/大气环境高排放重点管控区/大气环境受体敏感重点管控区；农用地优先保护区/一般管控区/其他重点管控区/建设用地重点管控区</w:t>
            </w:r>
          </w:p>
          <w:p w14:paraId="792E085F">
            <w:pPr>
              <w:widowControl/>
              <w:rPr>
                <w:rFonts w:ascii="Times New Roman" w:hAnsi="Times New Roman" w:eastAsia="仿宋" w:cs="Times New Roman"/>
                <w:kern w:val="0"/>
                <w:szCs w:val="21"/>
              </w:rPr>
            </w:pPr>
            <w:r>
              <w:rPr>
                <w:rFonts w:ascii="Times New Roman" w:hAnsi="Times New Roman" w:eastAsia="仿宋" w:cs="Times New Roman"/>
                <w:b/>
                <w:bCs/>
                <w:szCs w:val="21"/>
              </w:rPr>
              <w:t>仙子脚镇：</w:t>
            </w:r>
          </w:p>
          <w:p w14:paraId="08FB94C2">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生物多样性保护功能重要区/石漠化敏感区/水土保持功能重要区/水土流失敏感区/水源涵养重要区/自然保护区/三区三线生态红线/原生态红线/森林公园）；水环境一般管控区/水环境工业污染重点管控区；大气环境弱扩散重点管控区/大气环境优先保护区/大气环境高排放重点管控区/大气环境受体敏感重点管控区；农用地优先保护区/一般管控区/其他重点管控区/建设用地重点管控区</w:t>
            </w:r>
          </w:p>
          <w:p w14:paraId="7A2FE7C0">
            <w:pPr>
              <w:widowControl/>
              <w:rPr>
                <w:rFonts w:ascii="Times New Roman" w:hAnsi="Times New Roman" w:eastAsia="仿宋" w:cs="Times New Roman"/>
                <w:b/>
                <w:bCs/>
                <w:szCs w:val="21"/>
              </w:rPr>
            </w:pPr>
            <w:r>
              <w:rPr>
                <w:rFonts w:ascii="Times New Roman" w:hAnsi="Times New Roman" w:eastAsia="仿宋" w:cs="Times New Roman"/>
                <w:b/>
                <w:bCs/>
                <w:szCs w:val="21"/>
              </w:rPr>
              <w:t>白马渡镇：</w:t>
            </w:r>
          </w:p>
          <w:p w14:paraId="71432335">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水土流失敏感区/水源涵养重要区/三区三线生态红线/原生态红线/石漠化敏感区）；水环境一般管控区；大气环境弱扩散重点管控区/大气环境受体敏感重点管控区；农用地优先保护区/一般管控区</w:t>
            </w:r>
          </w:p>
          <w:p w14:paraId="1AA31418">
            <w:pPr>
              <w:widowControl/>
              <w:rPr>
                <w:rFonts w:ascii="Times New Roman" w:hAnsi="Times New Roman" w:eastAsia="仿宋" w:cs="Times New Roman"/>
                <w:b/>
                <w:bCs/>
                <w:szCs w:val="21"/>
              </w:rPr>
            </w:pPr>
            <w:r>
              <w:rPr>
                <w:rFonts w:ascii="Times New Roman" w:hAnsi="Times New Roman" w:eastAsia="仿宋" w:cs="Times New Roman"/>
                <w:b/>
                <w:bCs/>
                <w:szCs w:val="21"/>
              </w:rPr>
              <w:t>富塘街道：</w:t>
            </w:r>
          </w:p>
          <w:p w14:paraId="2BEFBA61">
            <w:pPr>
              <w:widowControl/>
              <w:rPr>
                <w:rFonts w:ascii="Times New Roman" w:hAnsi="Times New Roman" w:eastAsia="仿宋" w:cs="Times New Roman"/>
                <w:kern w:val="0"/>
                <w:szCs w:val="21"/>
              </w:rPr>
            </w:pPr>
            <w:r>
              <w:rPr>
                <w:rFonts w:ascii="Times New Roman" w:hAnsi="Times New Roman" w:eastAsia="仿宋" w:cs="Times New Roman"/>
                <w:kern w:val="0"/>
                <w:szCs w:val="21"/>
              </w:rPr>
              <w:t>一般生态空间（水源涵养重要区）；水环境一般管控区/水环境工业污染重点管控区；大气环境高排放重点管控区/大气环境受体敏感重点管控区/大气环境弱扩散重点管控区；农用地优先保护区/一般管控区；高污染燃料禁燃区</w:t>
            </w:r>
          </w:p>
        </w:tc>
      </w:tr>
      <w:tr w14:paraId="77F3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12" w:type="dxa"/>
            <w:shd w:val="clear" w:color="auto" w:fill="auto"/>
          </w:tcPr>
          <w:p w14:paraId="347ADDC2">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10083" w:type="dxa"/>
            <w:gridSpan w:val="9"/>
            <w:shd w:val="clear" w:color="auto" w:fill="auto"/>
          </w:tcPr>
          <w:p w14:paraId="4C7FEDF5">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2976" w:type="dxa"/>
            <w:shd w:val="clear" w:color="auto" w:fill="auto"/>
          </w:tcPr>
          <w:p w14:paraId="24C02F6D">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14:paraId="263C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112" w:type="dxa"/>
            <w:shd w:val="clear" w:color="auto" w:fill="auto"/>
            <w:vAlign w:val="center"/>
          </w:tcPr>
          <w:p w14:paraId="2DEB590A">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10083" w:type="dxa"/>
            <w:gridSpan w:val="9"/>
            <w:shd w:val="clear" w:color="auto" w:fill="auto"/>
            <w:vAlign w:val="center"/>
          </w:tcPr>
          <w:p w14:paraId="42378B8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kern w:val="0"/>
                <w:szCs w:val="21"/>
              </w:rPr>
              <w:t>畜禽养殖产业布局应符合《道县畜禽养殖污染防治规划（2021~2025 年）》的要求。</w:t>
            </w:r>
          </w:p>
          <w:p w14:paraId="60AB9304">
            <w:pPr>
              <w:tabs>
                <w:tab w:val="left" w:pos="1021"/>
              </w:tabs>
              <w:ind w:firstLine="420" w:firstLineChars="200"/>
              <w:rPr>
                <w:rFonts w:ascii="Times New Roman" w:hAnsi="Times New Roman" w:eastAsia="仿宋" w:cs="Times New Roman"/>
                <w:b/>
                <w:szCs w:val="21"/>
              </w:rPr>
            </w:pPr>
            <w:r>
              <w:rPr>
                <w:rFonts w:ascii="Times New Roman" w:hAnsi="Times New Roman" w:eastAsia="仿宋" w:cs="Times New Roman"/>
                <w:szCs w:val="21"/>
              </w:rPr>
              <w:t>（1.2）</w:t>
            </w:r>
            <w:r>
              <w:rPr>
                <w:rFonts w:ascii="Times New Roman" w:hAnsi="Times New Roman" w:eastAsia="仿宋" w:cs="Times New Roman"/>
                <w:b/>
                <w:szCs w:val="21"/>
              </w:rPr>
              <w:t>仙子脚镇：</w:t>
            </w:r>
            <w:r>
              <w:rPr>
                <w:rFonts w:ascii="Times New Roman" w:hAnsi="Times New Roman" w:eastAsia="仿宋" w:cs="Times New Roman"/>
                <w:szCs w:val="21"/>
              </w:rPr>
              <w:t>应将气型污染明显的企业布置在东片区以远离仙子脚镇区。</w:t>
            </w:r>
          </w:p>
        </w:tc>
        <w:tc>
          <w:tcPr>
            <w:tcW w:w="2976" w:type="dxa"/>
            <w:vMerge w:val="restart"/>
            <w:shd w:val="clear" w:color="auto" w:fill="auto"/>
          </w:tcPr>
          <w:p w14:paraId="0624D889">
            <w:pPr>
              <w:rPr>
                <w:rFonts w:ascii="Times New Roman" w:hAnsi="Times New Roman" w:eastAsia="仿宋" w:cs="Times New Roman"/>
                <w:kern w:val="0"/>
                <w:szCs w:val="21"/>
              </w:rPr>
            </w:pPr>
            <w:r>
              <w:rPr>
                <w:rFonts w:ascii="Times New Roman" w:hAnsi="Times New Roman" w:eastAsia="仿宋" w:cs="Times New Roman"/>
                <w:kern w:val="0"/>
                <w:szCs w:val="21"/>
              </w:rPr>
              <w:t>（1.1）《道县畜禽养殖污染防治规划（2021~2025 年）》；</w:t>
            </w:r>
          </w:p>
          <w:p w14:paraId="0884942B">
            <w:pPr>
              <w:rPr>
                <w:rFonts w:ascii="Times New Roman" w:hAnsi="Times New Roman" w:eastAsia="仿宋" w:cs="Times New Roman"/>
                <w:szCs w:val="21"/>
              </w:rPr>
            </w:pPr>
            <w:r>
              <w:rPr>
                <w:rFonts w:ascii="Times New Roman" w:hAnsi="Times New Roman" w:eastAsia="仿宋" w:cs="Times New Roman"/>
                <w:color w:val="000000"/>
                <w:szCs w:val="21"/>
              </w:rPr>
              <w:t>（1.2）《湖南省生态环境厅关于&lt;湖南道县高新技术产业开发区调扩区规划环境影响报告书&gt;审查意见的函》（湘环评函〔2021〕12号）；</w:t>
            </w:r>
          </w:p>
          <w:p w14:paraId="67178DEB">
            <w:pPr>
              <w:rPr>
                <w:rFonts w:ascii="Times New Roman" w:hAnsi="Times New Roman" w:eastAsia="仿宋" w:cs="Times New Roman"/>
                <w:szCs w:val="21"/>
              </w:rPr>
            </w:pPr>
            <w:r>
              <w:rPr>
                <w:rFonts w:ascii="Times New Roman" w:hAnsi="Times New Roman" w:eastAsia="仿宋" w:cs="Times New Roman"/>
                <w:szCs w:val="21"/>
              </w:rPr>
              <w:t>（2.1）（2.2）（3.1）（3.2）《2023 年道县污染防治攻坚战工作方案》；</w:t>
            </w:r>
          </w:p>
          <w:p w14:paraId="24D027D4">
            <w:pPr>
              <w:rPr>
                <w:rFonts w:ascii="Times New Roman" w:hAnsi="Times New Roman" w:eastAsia="仿宋" w:cs="Times New Roman"/>
                <w:kern w:val="0"/>
                <w:szCs w:val="21"/>
              </w:rPr>
            </w:pPr>
            <w:r>
              <w:rPr>
                <w:rFonts w:ascii="Times New Roman" w:hAnsi="Times New Roman" w:eastAsia="仿宋" w:cs="Times New Roman"/>
                <w:kern w:val="0"/>
                <w:szCs w:val="21"/>
              </w:rPr>
              <w:t>（2.3）《道县畜禽养殖污染防治规划（2021~2025 年）》；</w:t>
            </w:r>
          </w:p>
          <w:p w14:paraId="5F741F7D">
            <w:pPr>
              <w:rPr>
                <w:rFonts w:ascii="Times New Roman" w:hAnsi="Times New Roman" w:eastAsia="仿宋" w:cs="Times New Roman"/>
                <w:szCs w:val="21"/>
                <w:lang w:eastAsia="zh-Hans"/>
              </w:rPr>
            </w:pPr>
            <w:r>
              <w:rPr>
                <w:rFonts w:ascii="Times New Roman" w:hAnsi="Times New Roman" w:eastAsia="仿宋" w:cs="Times New Roman"/>
                <w:szCs w:val="21"/>
              </w:rPr>
              <w:t>（3.3）</w:t>
            </w:r>
            <w:r>
              <w:rPr>
                <w:rFonts w:ascii="Times New Roman" w:hAnsi="Times New Roman" w:eastAsia="仿宋" w:cs="Times New Roman"/>
                <w:szCs w:val="21"/>
                <w:lang w:eastAsia="zh-Hans"/>
              </w:rPr>
              <w:t>《</w:t>
            </w:r>
            <w:r>
              <w:rPr>
                <w:rFonts w:ascii="Times New Roman" w:hAnsi="Times New Roman" w:eastAsia="仿宋" w:cs="Times New Roman"/>
                <w:szCs w:val="21"/>
              </w:rPr>
              <w:t>永州</w:t>
            </w:r>
            <w:r>
              <w:rPr>
                <w:rFonts w:ascii="Times New Roman" w:hAnsi="Times New Roman" w:eastAsia="仿宋" w:cs="Times New Roman"/>
                <w:szCs w:val="21"/>
                <w:lang w:eastAsia="zh-Hans"/>
              </w:rPr>
              <w:t>市“十四五”生态环境保护规划》；</w:t>
            </w:r>
          </w:p>
          <w:p w14:paraId="3524021C">
            <w:pPr>
              <w:rPr>
                <w:rFonts w:ascii="Times New Roman" w:hAnsi="Times New Roman" w:eastAsia="仿宋" w:cs="Times New Roman"/>
                <w:szCs w:val="21"/>
                <w:lang w:eastAsia="zh-Hans"/>
              </w:rPr>
            </w:pPr>
            <w:r>
              <w:rPr>
                <w:rFonts w:ascii="Times New Roman" w:hAnsi="Times New Roman" w:eastAsia="仿宋" w:cs="Times New Roman"/>
                <w:szCs w:val="21"/>
              </w:rPr>
              <w:t>（3.3）</w:t>
            </w:r>
            <w:r>
              <w:rPr>
                <w:rFonts w:ascii="Times New Roman" w:hAnsi="Times New Roman" w:eastAsia="仿宋" w:cs="Times New Roman"/>
                <w:szCs w:val="21"/>
                <w:lang w:eastAsia="zh-Hans"/>
              </w:rPr>
              <w:t>《</w:t>
            </w:r>
            <w:r>
              <w:rPr>
                <w:rFonts w:ascii="Times New Roman" w:hAnsi="Times New Roman" w:eastAsia="仿宋" w:cs="Times New Roman"/>
                <w:bCs/>
                <w:szCs w:val="21"/>
              </w:rPr>
              <w:t>道县“十四五”生态环境保护规划</w:t>
            </w:r>
            <w:r>
              <w:rPr>
                <w:rFonts w:ascii="Times New Roman" w:hAnsi="Times New Roman" w:eastAsia="仿宋" w:cs="Times New Roman"/>
                <w:szCs w:val="21"/>
                <w:lang w:eastAsia="zh-Hans"/>
              </w:rPr>
              <w:t>》；</w:t>
            </w:r>
          </w:p>
          <w:p w14:paraId="51142F3E">
            <w:pPr>
              <w:tabs>
                <w:tab w:val="left" w:pos="1021"/>
              </w:tabs>
              <w:rPr>
                <w:rFonts w:ascii="Times New Roman" w:hAnsi="Times New Roman" w:eastAsia="仿宋" w:cs="Times New Roman"/>
                <w:szCs w:val="21"/>
              </w:rPr>
            </w:pPr>
            <w:r>
              <w:rPr>
                <w:rFonts w:ascii="Times New Roman" w:hAnsi="Times New Roman" w:eastAsia="仿宋" w:cs="Times New Roman"/>
                <w:color w:val="000000"/>
                <w:szCs w:val="21"/>
              </w:rPr>
              <w:t>（4.1.1）《道县人民政府关于划定高污染燃料禁燃区的通告》（道政发〔2021〕2号）；</w:t>
            </w:r>
          </w:p>
          <w:p w14:paraId="072D905F">
            <w:pPr>
              <w:rPr>
                <w:rFonts w:ascii="Times New Roman" w:hAnsi="Times New Roman" w:eastAsia="仿宋" w:cs="Times New Roman"/>
                <w:szCs w:val="21"/>
              </w:rPr>
            </w:pPr>
            <w:r>
              <w:rPr>
                <w:rFonts w:ascii="Times New Roman" w:hAnsi="Times New Roman" w:eastAsia="仿宋" w:cs="Times New Roman"/>
                <w:szCs w:val="21"/>
              </w:rPr>
              <w:t>（4.1.2）《</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p w14:paraId="5481CB10">
            <w:pPr>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tc>
      </w:tr>
      <w:tr w14:paraId="7E4F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shd w:val="clear" w:color="auto" w:fill="auto"/>
            <w:vAlign w:val="center"/>
          </w:tcPr>
          <w:p w14:paraId="572DB331">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10083" w:type="dxa"/>
            <w:gridSpan w:val="9"/>
            <w:shd w:val="clear" w:color="auto" w:fill="auto"/>
            <w:vAlign w:val="center"/>
          </w:tcPr>
          <w:p w14:paraId="03E1B82A">
            <w:pPr>
              <w:ind w:firstLine="420" w:firstLineChars="200"/>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p>
          <w:p w14:paraId="786FB07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（2.2）着力提升乡镇生活垃圾治理水平，建立动态管控机制，发现问题，及时交办、整改。有序推进厨余垃圾处理。</w:t>
            </w:r>
          </w:p>
          <w:p w14:paraId="71B95424">
            <w:pPr>
              <w:ind w:firstLine="420" w:firstLineChars="200"/>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kern w:val="0"/>
                <w:szCs w:val="21"/>
              </w:rPr>
              <w:t>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p>
        </w:tc>
        <w:tc>
          <w:tcPr>
            <w:tcW w:w="2976" w:type="dxa"/>
            <w:vMerge w:val="continue"/>
            <w:shd w:val="clear" w:color="auto" w:fill="auto"/>
          </w:tcPr>
          <w:p w14:paraId="19508304">
            <w:pPr>
              <w:rPr>
                <w:rFonts w:ascii="Times New Roman" w:hAnsi="Times New Roman" w:eastAsia="仿宋" w:cs="Times New Roman"/>
                <w:szCs w:val="21"/>
              </w:rPr>
            </w:pPr>
          </w:p>
        </w:tc>
      </w:tr>
      <w:tr w14:paraId="4742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12" w:type="dxa"/>
            <w:shd w:val="clear" w:color="auto" w:fill="auto"/>
            <w:vAlign w:val="center"/>
          </w:tcPr>
          <w:p w14:paraId="0448E1CF">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10083" w:type="dxa"/>
            <w:gridSpan w:val="9"/>
            <w:shd w:val="clear" w:color="auto" w:fill="auto"/>
            <w:vAlign w:val="center"/>
          </w:tcPr>
          <w:p w14:paraId="116CFF88">
            <w:pPr>
              <w:ind w:firstLine="420" w:firstLineChars="200"/>
              <w:rPr>
                <w:rFonts w:ascii="Times New Roman" w:hAnsi="Times New Roman" w:eastAsia="仿宋" w:cs="Times New Roman"/>
                <w:snapToGrid w:val="0"/>
                <w:kern w:val="0"/>
                <w:szCs w:val="21"/>
              </w:rPr>
            </w:pPr>
            <w:r>
              <w:rPr>
                <w:rFonts w:ascii="Times New Roman" w:hAnsi="Times New Roman" w:eastAsia="仿宋" w:cs="Times New Roman"/>
                <w:szCs w:val="21"/>
              </w:rPr>
              <w:t>（3.1）加强环境风险防控和应急管理。建立健全</w:t>
            </w:r>
            <w:r>
              <w:rPr>
                <w:rFonts w:ascii="Times New Roman" w:hAnsi="Times New Roman" w:eastAsia="仿宋" w:cs="Times New Roman"/>
                <w:snapToGrid w:val="0"/>
                <w:kern w:val="0"/>
                <w:szCs w:val="21"/>
              </w:rPr>
              <w:t>工矿企业和</w:t>
            </w:r>
            <w:r>
              <w:rPr>
                <w:rFonts w:ascii="Times New Roman" w:hAnsi="Times New Roman" w:eastAsia="仿宋" w:cs="Times New Roman"/>
                <w:szCs w:val="21"/>
              </w:rPr>
              <w:t>流域水污染事件应急体系。</w:t>
            </w:r>
          </w:p>
          <w:p w14:paraId="777009F9">
            <w:pPr>
              <w:ind w:firstLine="420" w:firstLineChars="200"/>
              <w:rPr>
                <w:rFonts w:ascii="Times New Roman" w:hAnsi="Times New Roman" w:eastAsia="仿宋" w:cs="Times New Roman"/>
                <w:szCs w:val="21"/>
              </w:rPr>
            </w:pPr>
            <w:r>
              <w:rPr>
                <w:rFonts w:ascii="Times New Roman" w:hAnsi="Times New Roman" w:eastAsia="仿宋" w:cs="Times New Roman"/>
                <w:szCs w:val="21"/>
              </w:rPr>
              <w:t>（3.2）防治地下水污染。推进地下水污染预防、风险管控与修复试点，加强地下水型饮用水水源安全保障工作。</w:t>
            </w:r>
          </w:p>
          <w:p w14:paraId="42A2E650">
            <w:pPr>
              <w:ind w:firstLine="420" w:firstLineChars="200"/>
              <w:rPr>
                <w:rFonts w:ascii="Times New Roman" w:hAnsi="Times New Roman" w:eastAsia="仿宋" w:cs="Times New Roman"/>
                <w:snapToGrid w:val="0"/>
                <w:kern w:val="0"/>
                <w:szCs w:val="21"/>
              </w:rPr>
            </w:pPr>
            <w:r>
              <w:rPr>
                <w:rFonts w:ascii="Times New Roman" w:hAnsi="Times New Roman" w:eastAsia="仿宋" w:cs="Times New Roman"/>
                <w:kern w:val="0"/>
                <w:szCs w:val="21"/>
              </w:rPr>
              <w:t>（3.3）按照《永州市“十四五”生态环境保护规划》《道县“十四五”生态环境保护规划》强化环境风险管控，完善环境风险防控体系。</w:t>
            </w:r>
          </w:p>
        </w:tc>
        <w:tc>
          <w:tcPr>
            <w:tcW w:w="2976" w:type="dxa"/>
            <w:vMerge w:val="continue"/>
            <w:shd w:val="clear" w:color="auto" w:fill="auto"/>
          </w:tcPr>
          <w:p w14:paraId="4C97D276">
            <w:pPr>
              <w:rPr>
                <w:rFonts w:ascii="Times New Roman" w:hAnsi="Times New Roman" w:eastAsia="仿宋" w:cs="Times New Roman"/>
                <w:szCs w:val="21"/>
              </w:rPr>
            </w:pPr>
          </w:p>
        </w:tc>
      </w:tr>
      <w:tr w14:paraId="1240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112" w:type="dxa"/>
            <w:shd w:val="clear" w:color="auto" w:fill="auto"/>
            <w:vAlign w:val="center"/>
          </w:tcPr>
          <w:p w14:paraId="4D80084E">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10083" w:type="dxa"/>
            <w:gridSpan w:val="9"/>
            <w:shd w:val="clear" w:color="auto" w:fill="auto"/>
            <w:vAlign w:val="center"/>
          </w:tcPr>
          <w:p w14:paraId="19279A6D">
            <w:pPr>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61C1832E">
            <w:pPr>
              <w:ind w:firstLine="420" w:firstLineChars="200"/>
              <w:rPr>
                <w:rFonts w:ascii="Times New Roman" w:hAnsi="Times New Roman" w:eastAsia="仿宋" w:cs="Times New Roman"/>
                <w:szCs w:val="21"/>
              </w:rPr>
            </w:pPr>
            <w:r>
              <w:rPr>
                <w:rFonts w:ascii="Times New Roman" w:hAnsi="Times New Roman" w:eastAsia="仿宋" w:cs="Times New Roman"/>
                <w:szCs w:val="21"/>
              </w:rPr>
              <w:t>（4.1.1）</w:t>
            </w:r>
            <w:r>
              <w:rPr>
                <w:rFonts w:ascii="Times New Roman" w:hAnsi="Times New Roman" w:eastAsia="仿宋" w:cs="Times New Roman"/>
                <w:b/>
                <w:bCs/>
                <w:szCs w:val="21"/>
              </w:rPr>
              <w:t>富塘街道：</w:t>
            </w:r>
            <w:r>
              <w:rPr>
                <w:rFonts w:ascii="Times New Roman" w:hAnsi="Times New Roman" w:eastAsia="仿宋" w:cs="Times New Roman"/>
                <w:szCs w:val="21"/>
              </w:rPr>
              <w:t>高污染燃料禁燃区执行《道县人民政府关于划定高污染燃料禁燃区的通告》（</w:t>
            </w:r>
            <w:r>
              <w:rPr>
                <w:rFonts w:ascii="Times New Roman" w:hAnsi="Times New Roman" w:eastAsia="仿宋" w:cs="Times New Roman"/>
                <w:color w:val="000000"/>
                <w:szCs w:val="21"/>
              </w:rPr>
              <w:t>道政发〔2021〕2号</w:t>
            </w:r>
            <w:r>
              <w:rPr>
                <w:rFonts w:ascii="Times New Roman" w:hAnsi="Times New Roman" w:eastAsia="仿宋" w:cs="Times New Roman"/>
                <w:szCs w:val="21"/>
              </w:rPr>
              <w:t>），禁止新建、扩建燃用高污染燃料的锅炉、炉窑、炉灶等燃烧设施（集中供热、电厂锅炉除外）；禁止销售、使用高污染燃料。</w:t>
            </w:r>
          </w:p>
          <w:p w14:paraId="6EFF1FF8">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（4.1.2）</w:t>
            </w:r>
            <w:r>
              <w:rPr>
                <w:rFonts w:ascii="Times New Roman" w:hAnsi="Times New Roman" w:eastAsia="仿宋" w:cs="Times New Roman"/>
                <w:kern w:val="0"/>
                <w:szCs w:val="21"/>
              </w:rPr>
              <w:t>优化能源结构，严格控制煤炭消费总量、优先使用可再生能源、积极推广利用天然气、推进燃油品质量升级。</w:t>
            </w:r>
          </w:p>
          <w:p w14:paraId="5E3B6C1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50BAE2A">
            <w:pPr>
              <w:tabs>
                <w:tab w:val="left" w:pos="1021"/>
              </w:tabs>
              <w:ind w:firstLine="420" w:firstLineChars="200"/>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，农业用水总量为27867万m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7D817E7E">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26A464FA">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w:t>
            </w:r>
            <w:r>
              <w:rPr>
                <w:rFonts w:ascii="Times New Roman" w:hAnsi="Times New Roman" w:eastAsia="仿宋" w:cs="Times New Roman"/>
                <w:szCs w:val="21"/>
              </w:rPr>
              <w:t>寿雁镇、仙子脚镇、白马渡镇、富塘街道、梅花镇分别</w:t>
            </w:r>
            <w:r>
              <w:rPr>
                <w:rFonts w:ascii="Times New Roman" w:hAnsi="Times New Roman" w:eastAsia="仿宋" w:cs="Times New Roman"/>
                <w:kern w:val="0"/>
                <w:szCs w:val="21"/>
              </w:rPr>
              <w:t>为5683.95、2341.85、1944.56、814.04、</w:t>
            </w:r>
            <w:r>
              <w:rPr>
                <w:rFonts w:ascii="Times New Roman" w:hAnsi="Times New Roman" w:eastAsia="仿宋" w:cs="Times New Roman"/>
                <w:kern w:val="0"/>
                <w:szCs w:val="21"/>
              </w:rPr>
              <w:tab/>
            </w:r>
            <w:r>
              <w:rPr>
                <w:rFonts w:ascii="Times New Roman" w:hAnsi="Times New Roman" w:eastAsia="仿宋" w:cs="Times New Roman"/>
                <w:kern w:val="0"/>
                <w:szCs w:val="21"/>
              </w:rPr>
              <w:t>2232.44公顷），永久基本农田保护面积不低于4.06万公顷（其中</w:t>
            </w:r>
            <w:r>
              <w:rPr>
                <w:rFonts w:ascii="Times New Roman" w:hAnsi="Times New Roman" w:eastAsia="仿宋" w:cs="Times New Roman"/>
                <w:szCs w:val="21"/>
              </w:rPr>
              <w:t>寿雁镇、仙子脚镇、白马渡镇、富塘街道、梅花镇分别</w:t>
            </w:r>
            <w:r>
              <w:rPr>
                <w:rFonts w:ascii="Times New Roman" w:hAnsi="Times New Roman" w:eastAsia="仿宋" w:cs="Times New Roman"/>
                <w:kern w:val="0"/>
                <w:szCs w:val="21"/>
              </w:rPr>
              <w:t>为5415.87、2240.91、1867.96、576.30、2161.11公顷），全县生态保护红线面积不低于44930.26公顷；全县划定城镇开发边界4077.86公顷，划定城镇发展区 4386.37公顷，乡村发展区125445.17公顷，矿产能源发展区696.49公顷。</w:t>
            </w:r>
          </w:p>
        </w:tc>
        <w:tc>
          <w:tcPr>
            <w:tcW w:w="2976" w:type="dxa"/>
            <w:vMerge w:val="continue"/>
            <w:shd w:val="clear" w:color="auto" w:fill="auto"/>
          </w:tcPr>
          <w:p w14:paraId="58FD0379">
            <w:pPr>
              <w:rPr>
                <w:rFonts w:ascii="Times New Roman" w:hAnsi="Times New Roman" w:eastAsia="仿宋" w:cs="Times New Roman"/>
                <w:szCs w:val="21"/>
              </w:rPr>
            </w:pPr>
          </w:p>
        </w:tc>
      </w:tr>
    </w:tbl>
    <w:p w14:paraId="0191CF30">
      <w:pPr>
        <w:widowControl/>
        <w:jc w:val="left"/>
        <w:rPr>
          <w:rFonts w:ascii="Times New Roman" w:hAnsi="Times New Roman" w:eastAsia="仿宋" w:cs="Times New Roman"/>
          <w:b/>
          <w:szCs w:val="21"/>
        </w:rPr>
      </w:pPr>
    </w:p>
    <w:p w14:paraId="5ABEBBA8">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3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7"/>
        <w:gridCol w:w="426"/>
        <w:gridCol w:w="424"/>
        <w:gridCol w:w="426"/>
        <w:gridCol w:w="850"/>
        <w:gridCol w:w="992"/>
        <w:gridCol w:w="1134"/>
        <w:gridCol w:w="1528"/>
        <w:gridCol w:w="2161"/>
        <w:gridCol w:w="58"/>
        <w:gridCol w:w="3532"/>
      </w:tblGrid>
      <w:tr w14:paraId="1876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shd w:val="clear" w:color="auto" w:fill="auto"/>
            <w:vAlign w:val="center"/>
          </w:tcPr>
          <w:p w14:paraId="2009CC0C">
            <w:pPr>
              <w:jc w:val="center"/>
              <w:rPr>
                <w:rFonts w:ascii="Times New Roman" w:hAnsi="Times New Roman" w:eastAsia="仿宋" w:cs="Times New Roman"/>
                <w:b/>
                <w:bCs/>
                <w:szCs w:val="21"/>
              </w:rPr>
            </w:pPr>
            <w:r>
              <w:rPr>
                <w:rFonts w:ascii="Times New Roman" w:hAnsi="Times New Roman" w:eastAsia="仿宋" w:cs="Times New Roman"/>
                <w:b/>
                <w:bCs/>
                <w:szCs w:val="21"/>
              </w:rPr>
              <w:t>环境管控单元编码</w:t>
            </w:r>
          </w:p>
        </w:tc>
        <w:tc>
          <w:tcPr>
            <w:tcW w:w="1277" w:type="dxa"/>
            <w:vMerge w:val="restart"/>
            <w:shd w:val="clear" w:color="auto" w:fill="auto"/>
            <w:vAlign w:val="center"/>
          </w:tcPr>
          <w:p w14:paraId="5EE747A5">
            <w:pPr>
              <w:jc w:val="center"/>
              <w:rPr>
                <w:rFonts w:ascii="Times New Roman" w:hAnsi="Times New Roman" w:eastAsia="仿宋" w:cs="Times New Roman"/>
                <w:b/>
                <w:bCs/>
                <w:szCs w:val="21"/>
              </w:rPr>
            </w:pPr>
            <w:r>
              <w:rPr>
                <w:rFonts w:ascii="Times New Roman" w:hAnsi="Times New Roman" w:eastAsia="仿宋" w:cs="Times New Roman"/>
                <w:b/>
                <w:bCs/>
                <w:szCs w:val="21"/>
              </w:rPr>
              <w:t>单元名称</w:t>
            </w:r>
          </w:p>
        </w:tc>
        <w:tc>
          <w:tcPr>
            <w:tcW w:w="1276" w:type="dxa"/>
            <w:gridSpan w:val="3"/>
            <w:shd w:val="clear" w:color="auto" w:fill="auto"/>
            <w:vAlign w:val="center"/>
          </w:tcPr>
          <w:p w14:paraId="410CF111">
            <w:pPr>
              <w:jc w:val="center"/>
              <w:rPr>
                <w:rFonts w:ascii="Times New Roman" w:hAnsi="Times New Roman" w:eastAsia="仿宋" w:cs="Times New Roman"/>
                <w:b/>
                <w:bCs/>
                <w:szCs w:val="21"/>
              </w:rPr>
            </w:pPr>
            <w:r>
              <w:rPr>
                <w:rFonts w:ascii="Times New Roman" w:hAnsi="Times New Roman" w:eastAsia="仿宋" w:cs="Times New Roman"/>
                <w:b/>
                <w:bCs/>
                <w:szCs w:val="21"/>
              </w:rPr>
              <w:t>行政区划</w:t>
            </w:r>
          </w:p>
        </w:tc>
        <w:tc>
          <w:tcPr>
            <w:tcW w:w="850" w:type="dxa"/>
            <w:vMerge w:val="restart"/>
            <w:shd w:val="clear" w:color="auto" w:fill="auto"/>
            <w:vAlign w:val="center"/>
          </w:tcPr>
          <w:p w14:paraId="4FF9D911">
            <w:pPr>
              <w:jc w:val="center"/>
              <w:rPr>
                <w:rFonts w:ascii="Times New Roman" w:hAnsi="Times New Roman" w:eastAsia="仿宋" w:cs="Times New Roman"/>
                <w:b/>
                <w:bCs/>
                <w:szCs w:val="21"/>
              </w:rPr>
            </w:pPr>
            <w:r>
              <w:rPr>
                <w:rFonts w:ascii="Times New Roman" w:hAnsi="Times New Roman" w:eastAsia="仿宋" w:cs="Times New Roman"/>
                <w:b/>
                <w:bCs/>
                <w:szCs w:val="21"/>
              </w:rPr>
              <w:t>单元分类</w:t>
            </w:r>
          </w:p>
        </w:tc>
        <w:tc>
          <w:tcPr>
            <w:tcW w:w="992" w:type="dxa"/>
            <w:vMerge w:val="restart"/>
            <w:shd w:val="clear" w:color="auto" w:fill="auto"/>
            <w:vAlign w:val="center"/>
          </w:tcPr>
          <w:p w14:paraId="1FB706F0">
            <w:pPr>
              <w:jc w:val="center"/>
              <w:rPr>
                <w:rFonts w:ascii="Times New Roman" w:hAnsi="Times New Roman" w:eastAsia="仿宋" w:cs="Times New Roman"/>
                <w:b/>
                <w:bCs/>
                <w:szCs w:val="21"/>
              </w:rPr>
            </w:pPr>
            <w:r>
              <w:rPr>
                <w:rFonts w:ascii="Times New Roman" w:hAnsi="Times New Roman" w:eastAsia="仿宋" w:cs="Times New Roman"/>
                <w:b/>
                <w:bCs/>
                <w:szCs w:val="21"/>
              </w:rPr>
              <w:t>单元面积</w:t>
            </w:r>
            <w:r>
              <w:rPr>
                <w:rFonts w:ascii="Times New Roman" w:hAnsi="Times New Roman" w:eastAsia="仿宋" w:cs="Times New Roman"/>
                <w:b/>
                <w:bCs/>
                <w:kern w:val="0"/>
                <w:szCs w:val="21"/>
              </w:rPr>
              <w:t>（km</w:t>
            </w:r>
            <w:r>
              <w:rPr>
                <w:rFonts w:ascii="Times New Roman" w:hAnsi="Times New Roman" w:eastAsia="仿宋" w:cs="Times New Roman"/>
                <w:b/>
                <w:bCs/>
                <w:kern w:val="0"/>
                <w:szCs w:val="21"/>
                <w:vertAlign w:val="superscript"/>
              </w:rPr>
              <w:t>2</w:t>
            </w:r>
            <w:r>
              <w:rPr>
                <w:rFonts w:ascii="Times New Roman" w:hAnsi="Times New Roman" w:eastAsia="仿宋" w:cs="Times New Roman"/>
                <w:b/>
                <w:bCs/>
                <w:kern w:val="0"/>
                <w:szCs w:val="21"/>
              </w:rPr>
              <w:t>）</w:t>
            </w:r>
          </w:p>
        </w:tc>
        <w:tc>
          <w:tcPr>
            <w:tcW w:w="1134" w:type="dxa"/>
            <w:vMerge w:val="restart"/>
            <w:shd w:val="clear" w:color="auto" w:fill="auto"/>
            <w:vAlign w:val="center"/>
          </w:tcPr>
          <w:p w14:paraId="2C8D3A5B">
            <w:pPr>
              <w:jc w:val="center"/>
              <w:rPr>
                <w:rFonts w:ascii="Times New Roman" w:hAnsi="Times New Roman" w:eastAsia="仿宋" w:cs="Times New Roman"/>
                <w:b/>
                <w:bCs/>
                <w:szCs w:val="21"/>
              </w:rPr>
            </w:pPr>
            <w:r>
              <w:rPr>
                <w:rFonts w:ascii="Times New Roman" w:hAnsi="Times New Roman" w:eastAsia="仿宋" w:cs="Times New Roman"/>
                <w:b/>
                <w:bCs/>
                <w:szCs w:val="21"/>
              </w:rPr>
              <w:t>涉及乡镇</w:t>
            </w:r>
          </w:p>
        </w:tc>
        <w:tc>
          <w:tcPr>
            <w:tcW w:w="1528" w:type="dxa"/>
            <w:vMerge w:val="restart"/>
            <w:shd w:val="clear" w:color="auto" w:fill="auto"/>
            <w:vAlign w:val="center"/>
          </w:tcPr>
          <w:p w14:paraId="088F707C">
            <w:pPr>
              <w:jc w:val="center"/>
              <w:rPr>
                <w:rFonts w:ascii="Times New Roman" w:hAnsi="Times New Roman" w:eastAsia="仿宋" w:cs="Times New Roman"/>
                <w:b/>
                <w:bCs/>
                <w:szCs w:val="21"/>
              </w:rPr>
            </w:pPr>
            <w:r>
              <w:rPr>
                <w:rFonts w:ascii="Times New Roman" w:hAnsi="Times New Roman" w:eastAsia="仿宋" w:cs="Times New Roman"/>
                <w:b/>
                <w:bCs/>
                <w:szCs w:val="21"/>
              </w:rPr>
              <w:t>主体功能定位</w:t>
            </w:r>
          </w:p>
        </w:tc>
        <w:tc>
          <w:tcPr>
            <w:tcW w:w="2219" w:type="dxa"/>
            <w:gridSpan w:val="2"/>
            <w:vMerge w:val="restart"/>
            <w:shd w:val="clear" w:color="auto" w:fill="auto"/>
            <w:vAlign w:val="center"/>
          </w:tcPr>
          <w:p w14:paraId="7EDD390A">
            <w:pPr>
              <w:jc w:val="center"/>
              <w:rPr>
                <w:rFonts w:ascii="Times New Roman" w:hAnsi="Times New Roman" w:eastAsia="仿宋" w:cs="Times New Roman"/>
                <w:b/>
                <w:bCs/>
                <w:szCs w:val="21"/>
              </w:rPr>
            </w:pPr>
            <w:r>
              <w:rPr>
                <w:rFonts w:ascii="Times New Roman" w:hAnsi="Times New Roman" w:eastAsia="仿宋" w:cs="Times New Roman"/>
                <w:b/>
                <w:bCs/>
                <w:szCs w:val="21"/>
              </w:rPr>
              <w:t>经济产业布局</w:t>
            </w:r>
          </w:p>
        </w:tc>
        <w:tc>
          <w:tcPr>
            <w:tcW w:w="3532" w:type="dxa"/>
            <w:vMerge w:val="restart"/>
            <w:shd w:val="clear" w:color="auto" w:fill="auto"/>
            <w:vAlign w:val="center"/>
          </w:tcPr>
          <w:p w14:paraId="2DF20EA0">
            <w:pPr>
              <w:jc w:val="center"/>
              <w:rPr>
                <w:rFonts w:ascii="Times New Roman" w:hAnsi="Times New Roman" w:eastAsia="仿宋" w:cs="Times New Roman"/>
                <w:b/>
                <w:bCs/>
                <w:szCs w:val="21"/>
              </w:rPr>
            </w:pPr>
            <w:r>
              <w:rPr>
                <w:rFonts w:ascii="Times New Roman" w:hAnsi="Times New Roman" w:eastAsia="仿宋" w:cs="Times New Roman"/>
                <w:b/>
                <w:kern w:val="0"/>
                <w:szCs w:val="21"/>
              </w:rPr>
              <w:t>主要环境问题和环保目标</w:t>
            </w:r>
          </w:p>
        </w:tc>
      </w:tr>
      <w:tr w14:paraId="4DCD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129" w:type="dxa"/>
            <w:vMerge w:val="continue"/>
            <w:shd w:val="clear" w:color="auto" w:fill="auto"/>
          </w:tcPr>
          <w:p w14:paraId="070D9C3E">
            <w:pPr>
              <w:jc w:val="center"/>
              <w:rPr>
                <w:rFonts w:ascii="Times New Roman" w:hAnsi="Times New Roman" w:eastAsia="仿宋" w:cs="Times New Roman"/>
                <w:szCs w:val="21"/>
              </w:rPr>
            </w:pPr>
          </w:p>
        </w:tc>
        <w:tc>
          <w:tcPr>
            <w:tcW w:w="1277" w:type="dxa"/>
            <w:vMerge w:val="continue"/>
            <w:shd w:val="clear" w:color="auto" w:fill="auto"/>
          </w:tcPr>
          <w:p w14:paraId="7E10B2B4">
            <w:pPr>
              <w:jc w:val="center"/>
              <w:rPr>
                <w:rFonts w:ascii="Times New Roman" w:hAnsi="Times New Roman" w:eastAsia="仿宋" w:cs="Times New Roman"/>
                <w:szCs w:val="21"/>
              </w:rPr>
            </w:pPr>
          </w:p>
        </w:tc>
        <w:tc>
          <w:tcPr>
            <w:tcW w:w="426" w:type="dxa"/>
            <w:shd w:val="clear" w:color="auto" w:fill="auto"/>
          </w:tcPr>
          <w:p w14:paraId="6FB2E441">
            <w:pPr>
              <w:jc w:val="center"/>
              <w:rPr>
                <w:rFonts w:ascii="Times New Roman" w:hAnsi="Times New Roman" w:eastAsia="仿宋" w:cs="Times New Roman"/>
                <w:b/>
                <w:bCs/>
                <w:szCs w:val="21"/>
              </w:rPr>
            </w:pPr>
            <w:r>
              <w:rPr>
                <w:rFonts w:ascii="Times New Roman" w:hAnsi="Times New Roman" w:eastAsia="仿宋" w:cs="Times New Roman"/>
                <w:b/>
                <w:bCs/>
                <w:szCs w:val="21"/>
              </w:rPr>
              <w:t>省</w:t>
            </w:r>
          </w:p>
        </w:tc>
        <w:tc>
          <w:tcPr>
            <w:tcW w:w="424" w:type="dxa"/>
            <w:shd w:val="clear" w:color="auto" w:fill="auto"/>
          </w:tcPr>
          <w:p w14:paraId="0C8108A1">
            <w:pPr>
              <w:jc w:val="center"/>
              <w:rPr>
                <w:rFonts w:ascii="Times New Roman" w:hAnsi="Times New Roman" w:eastAsia="仿宋" w:cs="Times New Roman"/>
                <w:b/>
                <w:bCs/>
                <w:szCs w:val="21"/>
              </w:rPr>
            </w:pPr>
            <w:r>
              <w:rPr>
                <w:rFonts w:ascii="Times New Roman" w:hAnsi="Times New Roman" w:eastAsia="仿宋" w:cs="Times New Roman"/>
                <w:b/>
                <w:bCs/>
                <w:szCs w:val="21"/>
              </w:rPr>
              <w:t>市</w:t>
            </w:r>
          </w:p>
        </w:tc>
        <w:tc>
          <w:tcPr>
            <w:tcW w:w="426" w:type="dxa"/>
            <w:shd w:val="clear" w:color="auto" w:fill="auto"/>
          </w:tcPr>
          <w:p w14:paraId="3124242E">
            <w:pPr>
              <w:jc w:val="center"/>
              <w:rPr>
                <w:rFonts w:ascii="Times New Roman" w:hAnsi="Times New Roman" w:eastAsia="仿宋" w:cs="Times New Roman"/>
                <w:b/>
                <w:bCs/>
                <w:szCs w:val="21"/>
              </w:rPr>
            </w:pPr>
            <w:r>
              <w:rPr>
                <w:rFonts w:ascii="Times New Roman" w:hAnsi="Times New Roman" w:eastAsia="仿宋" w:cs="Times New Roman"/>
                <w:b/>
                <w:bCs/>
                <w:szCs w:val="21"/>
              </w:rPr>
              <w:t>县</w:t>
            </w:r>
          </w:p>
        </w:tc>
        <w:tc>
          <w:tcPr>
            <w:tcW w:w="850" w:type="dxa"/>
            <w:vMerge w:val="continue"/>
            <w:shd w:val="clear" w:color="auto" w:fill="auto"/>
          </w:tcPr>
          <w:p w14:paraId="271DF3BC">
            <w:pPr>
              <w:rPr>
                <w:rFonts w:ascii="Times New Roman" w:hAnsi="Times New Roman" w:eastAsia="仿宋" w:cs="Times New Roman"/>
                <w:szCs w:val="21"/>
              </w:rPr>
            </w:pPr>
          </w:p>
        </w:tc>
        <w:tc>
          <w:tcPr>
            <w:tcW w:w="992" w:type="dxa"/>
            <w:vMerge w:val="continue"/>
            <w:shd w:val="clear" w:color="auto" w:fill="auto"/>
          </w:tcPr>
          <w:p w14:paraId="613CDA42">
            <w:pPr>
              <w:rPr>
                <w:rFonts w:ascii="Times New Roman" w:hAnsi="Times New Roman" w:eastAsia="仿宋" w:cs="Times New Roman"/>
                <w:szCs w:val="21"/>
              </w:rPr>
            </w:pPr>
          </w:p>
        </w:tc>
        <w:tc>
          <w:tcPr>
            <w:tcW w:w="1134" w:type="dxa"/>
            <w:vMerge w:val="continue"/>
            <w:shd w:val="clear" w:color="auto" w:fill="auto"/>
          </w:tcPr>
          <w:p w14:paraId="64F283A8">
            <w:pPr>
              <w:rPr>
                <w:rFonts w:ascii="Times New Roman" w:hAnsi="Times New Roman" w:eastAsia="仿宋" w:cs="Times New Roman"/>
                <w:szCs w:val="21"/>
              </w:rPr>
            </w:pPr>
          </w:p>
        </w:tc>
        <w:tc>
          <w:tcPr>
            <w:tcW w:w="1528" w:type="dxa"/>
            <w:vMerge w:val="continue"/>
            <w:shd w:val="clear" w:color="auto" w:fill="auto"/>
          </w:tcPr>
          <w:p w14:paraId="54BC15C9">
            <w:pPr>
              <w:rPr>
                <w:rFonts w:ascii="Times New Roman" w:hAnsi="Times New Roman" w:eastAsia="仿宋" w:cs="Times New Roman"/>
                <w:szCs w:val="21"/>
              </w:rPr>
            </w:pPr>
          </w:p>
        </w:tc>
        <w:tc>
          <w:tcPr>
            <w:tcW w:w="2219" w:type="dxa"/>
            <w:gridSpan w:val="2"/>
            <w:vMerge w:val="continue"/>
            <w:shd w:val="clear" w:color="auto" w:fill="auto"/>
          </w:tcPr>
          <w:p w14:paraId="17C5C33E">
            <w:pPr>
              <w:rPr>
                <w:rFonts w:ascii="Times New Roman" w:hAnsi="Times New Roman" w:eastAsia="仿宋" w:cs="Times New Roman"/>
                <w:szCs w:val="21"/>
              </w:rPr>
            </w:pPr>
          </w:p>
        </w:tc>
        <w:tc>
          <w:tcPr>
            <w:tcW w:w="3532" w:type="dxa"/>
            <w:vMerge w:val="continue"/>
            <w:shd w:val="clear" w:color="auto" w:fill="auto"/>
          </w:tcPr>
          <w:p w14:paraId="3AA81683">
            <w:pPr>
              <w:rPr>
                <w:rFonts w:ascii="Times New Roman" w:hAnsi="Times New Roman" w:eastAsia="仿宋" w:cs="Times New Roman"/>
                <w:szCs w:val="21"/>
              </w:rPr>
            </w:pPr>
          </w:p>
        </w:tc>
      </w:tr>
      <w:tr w14:paraId="1BC4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vAlign w:val="center"/>
          </w:tcPr>
          <w:p w14:paraId="28CE2472">
            <w:pPr>
              <w:jc w:val="center"/>
              <w:rPr>
                <w:rFonts w:ascii="Times New Roman" w:hAnsi="Times New Roman" w:eastAsia="仿宋" w:cs="Times New Roman"/>
                <w:szCs w:val="21"/>
              </w:rPr>
            </w:pPr>
            <w:bookmarkStart w:id="47" w:name="_Hlk58575060"/>
            <w:r>
              <w:rPr>
                <w:rFonts w:ascii="Times New Roman" w:hAnsi="Times New Roman" w:eastAsia="仿宋" w:cs="Times New Roman"/>
                <w:szCs w:val="21"/>
              </w:rPr>
              <w:t>ZH43112430002</w:t>
            </w:r>
            <w:bookmarkEnd w:id="47"/>
          </w:p>
        </w:tc>
        <w:tc>
          <w:tcPr>
            <w:tcW w:w="1277" w:type="dxa"/>
            <w:shd w:val="clear" w:color="auto" w:fill="auto"/>
            <w:vAlign w:val="center"/>
          </w:tcPr>
          <w:p w14:paraId="6AB17226">
            <w:pPr>
              <w:jc w:val="center"/>
              <w:rPr>
                <w:rFonts w:ascii="Times New Roman" w:hAnsi="Times New Roman" w:eastAsia="仿宋" w:cs="Times New Roman"/>
                <w:szCs w:val="21"/>
              </w:rPr>
            </w:pPr>
            <w:r>
              <w:rPr>
                <w:rFonts w:ascii="Times New Roman" w:hAnsi="Times New Roman" w:eastAsia="仿宋" w:cs="Times New Roman"/>
                <w:szCs w:val="21"/>
              </w:rPr>
              <w:t>万家庄街道/祥霖铺镇/营江街道/白芒铺镇/蚣坝镇/上关街道/审章塘瑶族乡</w:t>
            </w:r>
          </w:p>
        </w:tc>
        <w:tc>
          <w:tcPr>
            <w:tcW w:w="426" w:type="dxa"/>
            <w:shd w:val="clear" w:color="auto" w:fill="auto"/>
            <w:vAlign w:val="center"/>
          </w:tcPr>
          <w:p w14:paraId="3FE26636">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4" w:type="dxa"/>
            <w:shd w:val="clear" w:color="auto" w:fill="auto"/>
            <w:vAlign w:val="center"/>
          </w:tcPr>
          <w:p w14:paraId="773CF78C">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6" w:type="dxa"/>
            <w:shd w:val="clear" w:color="auto" w:fill="auto"/>
            <w:vAlign w:val="center"/>
          </w:tcPr>
          <w:p w14:paraId="34904CDD">
            <w:pPr>
              <w:jc w:val="center"/>
              <w:rPr>
                <w:rFonts w:ascii="Times New Roman" w:hAnsi="Times New Roman" w:eastAsia="仿宋" w:cs="Times New Roman"/>
                <w:szCs w:val="21"/>
              </w:rPr>
            </w:pPr>
            <w:r>
              <w:rPr>
                <w:rFonts w:ascii="Times New Roman" w:hAnsi="Times New Roman" w:eastAsia="仿宋" w:cs="Times New Roman"/>
                <w:szCs w:val="21"/>
              </w:rPr>
              <w:t>道县</w:t>
            </w:r>
          </w:p>
        </w:tc>
        <w:tc>
          <w:tcPr>
            <w:tcW w:w="850" w:type="dxa"/>
            <w:shd w:val="clear" w:color="auto" w:fill="auto"/>
            <w:vAlign w:val="center"/>
          </w:tcPr>
          <w:p w14:paraId="31B292E2">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992" w:type="dxa"/>
            <w:shd w:val="clear" w:color="auto" w:fill="auto"/>
            <w:vAlign w:val="center"/>
          </w:tcPr>
          <w:p w14:paraId="7CECDA24">
            <w:pPr>
              <w:widowControl/>
              <w:jc w:val="center"/>
              <w:rPr>
                <w:rFonts w:ascii="Times New Roman" w:hAnsi="Times New Roman" w:eastAsia="仿宋" w:cs="Times New Roman"/>
                <w:szCs w:val="21"/>
              </w:rPr>
            </w:pPr>
            <w:r>
              <w:rPr>
                <w:rFonts w:ascii="Times New Roman" w:hAnsi="Times New Roman" w:eastAsia="仿宋" w:cs="Times New Roman"/>
                <w:szCs w:val="21"/>
              </w:rPr>
              <w:t>690.88</w:t>
            </w:r>
          </w:p>
        </w:tc>
        <w:tc>
          <w:tcPr>
            <w:tcW w:w="1134" w:type="dxa"/>
            <w:shd w:val="clear" w:color="auto" w:fill="auto"/>
            <w:vAlign w:val="center"/>
          </w:tcPr>
          <w:p w14:paraId="440B53BA">
            <w:pPr>
              <w:jc w:val="center"/>
              <w:rPr>
                <w:rFonts w:ascii="Times New Roman" w:hAnsi="Times New Roman" w:eastAsia="仿宋" w:cs="Times New Roman"/>
                <w:szCs w:val="21"/>
              </w:rPr>
            </w:pPr>
            <w:r>
              <w:rPr>
                <w:rFonts w:ascii="Times New Roman" w:hAnsi="Times New Roman" w:eastAsia="仿宋" w:cs="Times New Roman"/>
                <w:szCs w:val="21"/>
              </w:rPr>
              <w:t>万家庄街道/祥霖铺镇/营江街道/白芒铺镇/蚣坝镇/上关街道/审章塘瑶族乡</w:t>
            </w:r>
          </w:p>
        </w:tc>
        <w:tc>
          <w:tcPr>
            <w:tcW w:w="1528" w:type="dxa"/>
            <w:shd w:val="clear" w:color="auto" w:fill="auto"/>
            <w:vAlign w:val="center"/>
          </w:tcPr>
          <w:p w14:paraId="4F1228B1">
            <w:pPr>
              <w:jc w:val="left"/>
              <w:rPr>
                <w:rFonts w:ascii="Times New Roman" w:hAnsi="Times New Roman" w:eastAsia="仿宋" w:cs="Times New Roman"/>
                <w:kern w:val="0"/>
                <w:szCs w:val="21"/>
              </w:rPr>
            </w:pPr>
            <w:r>
              <w:rPr>
                <w:rFonts w:ascii="Times New Roman" w:hAnsi="Times New Roman" w:eastAsia="仿宋" w:cs="Times New Roman"/>
                <w:szCs w:val="21"/>
              </w:rPr>
              <w:t>万家庄街道：</w:t>
            </w:r>
            <w:r>
              <w:rPr>
                <w:rFonts w:ascii="Times New Roman" w:hAnsi="Times New Roman" w:eastAsia="仿宋" w:cs="Times New Roman"/>
                <w:kern w:val="0"/>
                <w:szCs w:val="21"/>
              </w:rPr>
              <w:t>城市化地区；</w:t>
            </w:r>
          </w:p>
          <w:p w14:paraId="05CAD382">
            <w:pPr>
              <w:jc w:val="left"/>
              <w:rPr>
                <w:rFonts w:ascii="Times New Roman" w:hAnsi="Times New Roman" w:eastAsia="仿宋" w:cs="Times New Roman"/>
                <w:kern w:val="0"/>
                <w:szCs w:val="21"/>
              </w:rPr>
            </w:pPr>
            <w:r>
              <w:rPr>
                <w:rFonts w:ascii="Times New Roman" w:hAnsi="Times New Roman" w:eastAsia="仿宋" w:cs="Times New Roman"/>
                <w:szCs w:val="21"/>
              </w:rPr>
              <w:t>祥霖铺镇：</w:t>
            </w:r>
            <w:r>
              <w:rPr>
                <w:rFonts w:ascii="Times New Roman" w:hAnsi="Times New Roman" w:eastAsia="仿宋" w:cs="Times New Roman"/>
                <w:kern w:val="0"/>
                <w:szCs w:val="21"/>
              </w:rPr>
              <w:t>农产品主产区/历史文化资源富集区；</w:t>
            </w:r>
          </w:p>
          <w:p w14:paraId="0CA8FEC3">
            <w:pPr>
              <w:jc w:val="left"/>
              <w:rPr>
                <w:rFonts w:ascii="Times New Roman" w:hAnsi="Times New Roman" w:eastAsia="仿宋" w:cs="Times New Roman"/>
                <w:szCs w:val="21"/>
              </w:rPr>
            </w:pPr>
            <w:r>
              <w:rPr>
                <w:rFonts w:ascii="Times New Roman" w:hAnsi="Times New Roman" w:eastAsia="仿宋" w:cs="Times New Roman"/>
                <w:szCs w:val="21"/>
              </w:rPr>
              <w:t>营江街道、白芒铺镇、蚣坝镇、上关街道、审章塘瑶族乡：</w:t>
            </w:r>
            <w:r>
              <w:rPr>
                <w:rFonts w:ascii="Times New Roman" w:hAnsi="Times New Roman" w:eastAsia="仿宋" w:cs="Times New Roman"/>
                <w:kern w:val="0"/>
                <w:szCs w:val="21"/>
              </w:rPr>
              <w:t>农产品主产区；</w:t>
            </w:r>
            <w:r>
              <w:rPr>
                <w:rFonts w:ascii="Times New Roman" w:hAnsi="Times New Roman" w:eastAsia="仿宋" w:cs="Times New Roman"/>
                <w:szCs w:val="21"/>
              </w:rPr>
              <w:t xml:space="preserve"> </w:t>
            </w:r>
          </w:p>
        </w:tc>
        <w:tc>
          <w:tcPr>
            <w:tcW w:w="2219" w:type="dxa"/>
            <w:gridSpan w:val="2"/>
            <w:shd w:val="clear" w:color="auto" w:fill="auto"/>
            <w:vAlign w:val="center"/>
          </w:tcPr>
          <w:p w14:paraId="15A7A045">
            <w:pPr>
              <w:rPr>
                <w:rFonts w:ascii="Times New Roman" w:hAnsi="Times New Roman" w:eastAsia="仿宋" w:cs="Times New Roman"/>
                <w:szCs w:val="21"/>
              </w:rPr>
            </w:pPr>
            <w:r>
              <w:rPr>
                <w:rFonts w:ascii="Times New Roman" w:hAnsi="Times New Roman" w:eastAsia="仿宋" w:cs="Times New Roman"/>
                <w:b/>
                <w:bCs/>
                <w:szCs w:val="21"/>
              </w:rPr>
              <w:t>万家庄街道：</w:t>
            </w:r>
            <w:r>
              <w:rPr>
                <w:rFonts w:ascii="Times New Roman" w:hAnsi="Times New Roman" w:eastAsia="仿宋" w:cs="Times New Roman"/>
                <w:szCs w:val="21"/>
              </w:rPr>
              <w:t>农业、养殖业。</w:t>
            </w:r>
          </w:p>
          <w:p w14:paraId="511AD0DD">
            <w:pPr>
              <w:widowControl/>
              <w:jc w:val="left"/>
              <w:rPr>
                <w:rFonts w:ascii="Times New Roman" w:hAnsi="Times New Roman" w:eastAsia="仿宋" w:cs="Times New Roman"/>
                <w:szCs w:val="21"/>
              </w:rPr>
            </w:pPr>
            <w:r>
              <w:rPr>
                <w:rFonts w:ascii="Times New Roman" w:hAnsi="Times New Roman" w:eastAsia="仿宋" w:cs="Times New Roman"/>
                <w:b/>
                <w:bCs/>
                <w:szCs w:val="21"/>
              </w:rPr>
              <w:t>蚣坝镇：</w:t>
            </w:r>
            <w:r>
              <w:rPr>
                <w:rFonts w:ascii="Times New Roman" w:hAnsi="Times New Roman" w:eastAsia="仿宋" w:cs="Times New Roman"/>
                <w:color w:val="000000"/>
                <w:kern w:val="0"/>
                <w:szCs w:val="21"/>
                <w:lang w:bidi="ar"/>
              </w:rPr>
              <w:t>矿产品的后续产业链加工</w:t>
            </w:r>
            <w:r>
              <w:rPr>
                <w:rFonts w:ascii="Times New Roman" w:hAnsi="Times New Roman" w:eastAsia="仿宋" w:cs="Times New Roman"/>
                <w:bCs/>
                <w:szCs w:val="21"/>
              </w:rPr>
              <w:t>、农业、养殖业。</w:t>
            </w:r>
          </w:p>
          <w:p w14:paraId="29D437FF">
            <w:pPr>
              <w:widowControl/>
              <w:jc w:val="left"/>
              <w:rPr>
                <w:rFonts w:ascii="Times New Roman" w:hAnsi="Times New Roman" w:eastAsia="仿宋" w:cs="Times New Roman"/>
                <w:szCs w:val="21"/>
              </w:rPr>
            </w:pPr>
            <w:r>
              <w:rPr>
                <w:rFonts w:ascii="Times New Roman" w:hAnsi="Times New Roman" w:eastAsia="仿宋" w:cs="Times New Roman"/>
                <w:b/>
                <w:bCs/>
                <w:szCs w:val="21"/>
              </w:rPr>
              <w:t>祥霖铺镇：</w:t>
            </w:r>
            <w:r>
              <w:rPr>
                <w:rFonts w:ascii="Times New Roman" w:hAnsi="Times New Roman" w:eastAsia="仿宋" w:cs="Times New Roman"/>
                <w:szCs w:val="21"/>
              </w:rPr>
              <w:t>农业、旅游业、</w:t>
            </w:r>
            <w:r>
              <w:rPr>
                <w:rFonts w:ascii="Times New Roman" w:hAnsi="Times New Roman" w:eastAsia="仿宋" w:cs="Times New Roman"/>
                <w:color w:val="000000"/>
                <w:kern w:val="0"/>
                <w:szCs w:val="21"/>
                <w:lang w:bidi="ar"/>
              </w:rPr>
              <w:t>铅锌矿采选</w:t>
            </w:r>
            <w:r>
              <w:rPr>
                <w:rFonts w:ascii="Times New Roman" w:hAnsi="Times New Roman" w:eastAsia="仿宋" w:cs="Times New Roman"/>
                <w:szCs w:val="21"/>
              </w:rPr>
              <w:t>、</w:t>
            </w:r>
            <w:r>
              <w:rPr>
                <w:rFonts w:ascii="Times New Roman" w:hAnsi="Times New Roman" w:eastAsia="仿宋" w:cs="Times New Roman"/>
                <w:color w:val="000000"/>
                <w:kern w:val="0"/>
                <w:szCs w:val="21"/>
                <w:lang w:bidi="ar"/>
              </w:rPr>
              <w:t>粘土及其他土砂石开采、风力发电、太阳能发电</w:t>
            </w:r>
            <w:r>
              <w:rPr>
                <w:rFonts w:ascii="Times New Roman" w:hAnsi="Times New Roman" w:eastAsia="仿宋" w:cs="Times New Roman"/>
                <w:szCs w:val="21"/>
              </w:rPr>
              <w:t>。</w:t>
            </w:r>
          </w:p>
          <w:p w14:paraId="14FB7DA3">
            <w:pPr>
              <w:rPr>
                <w:rFonts w:ascii="Times New Roman" w:hAnsi="Times New Roman" w:eastAsia="仿宋" w:cs="Times New Roman"/>
                <w:szCs w:val="21"/>
              </w:rPr>
            </w:pPr>
            <w:r>
              <w:rPr>
                <w:rFonts w:ascii="Times New Roman" w:hAnsi="Times New Roman" w:eastAsia="仿宋" w:cs="Times New Roman"/>
                <w:b/>
                <w:bCs/>
                <w:szCs w:val="21"/>
              </w:rPr>
              <w:t>营江街道：</w:t>
            </w:r>
            <w:r>
              <w:rPr>
                <w:rFonts w:ascii="Times New Roman" w:hAnsi="Times New Roman" w:eastAsia="仿宋" w:cs="Times New Roman"/>
                <w:szCs w:val="21"/>
              </w:rPr>
              <w:t>现代服务业、房地产、商贸物流业、农业。</w:t>
            </w:r>
          </w:p>
          <w:p w14:paraId="61A75EAD">
            <w:pPr>
              <w:rPr>
                <w:rFonts w:ascii="Times New Roman" w:hAnsi="Times New Roman" w:eastAsia="仿宋" w:cs="Times New Roman"/>
                <w:bCs/>
                <w:szCs w:val="21"/>
              </w:rPr>
            </w:pPr>
            <w:r>
              <w:rPr>
                <w:rFonts w:ascii="Times New Roman" w:hAnsi="Times New Roman" w:eastAsia="仿宋" w:cs="Times New Roman"/>
                <w:b/>
                <w:szCs w:val="21"/>
              </w:rPr>
              <w:t>白芒铺镇：</w:t>
            </w:r>
            <w:r>
              <w:rPr>
                <w:rFonts w:ascii="Times New Roman" w:hAnsi="Times New Roman" w:eastAsia="仿宋" w:cs="Times New Roman"/>
                <w:bCs/>
                <w:szCs w:val="21"/>
              </w:rPr>
              <w:t>农业。</w:t>
            </w:r>
          </w:p>
          <w:p w14:paraId="474AA175">
            <w:pPr>
              <w:rPr>
                <w:rFonts w:ascii="Times New Roman" w:hAnsi="Times New Roman" w:eastAsia="仿宋" w:cs="Times New Roman"/>
                <w:szCs w:val="21"/>
              </w:rPr>
            </w:pPr>
            <w:r>
              <w:rPr>
                <w:rFonts w:ascii="Times New Roman" w:hAnsi="Times New Roman" w:eastAsia="仿宋" w:cs="Times New Roman"/>
                <w:b/>
                <w:bCs/>
                <w:szCs w:val="21"/>
              </w:rPr>
              <w:t>上关街道：</w:t>
            </w:r>
            <w:r>
              <w:rPr>
                <w:rFonts w:ascii="Times New Roman" w:hAnsi="Times New Roman" w:eastAsia="仿宋" w:cs="Times New Roman"/>
                <w:szCs w:val="21"/>
              </w:rPr>
              <w:t>农业、养殖业。</w:t>
            </w:r>
          </w:p>
          <w:p w14:paraId="69EC8EA8">
            <w:pPr>
              <w:rPr>
                <w:rFonts w:ascii="Times New Roman" w:hAnsi="Times New Roman" w:eastAsia="仿宋" w:cs="Times New Roman"/>
                <w:szCs w:val="21"/>
              </w:rPr>
            </w:pPr>
            <w:r>
              <w:rPr>
                <w:rFonts w:ascii="Times New Roman" w:hAnsi="Times New Roman" w:eastAsia="仿宋" w:cs="Times New Roman"/>
                <w:b/>
                <w:bCs/>
                <w:szCs w:val="21"/>
              </w:rPr>
              <w:t>审章塘瑶族乡：</w:t>
            </w:r>
            <w:r>
              <w:rPr>
                <w:rFonts w:ascii="Times New Roman" w:hAnsi="Times New Roman" w:eastAsia="仿宋" w:cs="Times New Roman"/>
                <w:szCs w:val="21"/>
              </w:rPr>
              <w:t>农业、养殖业、旅游业、</w:t>
            </w:r>
            <w:r>
              <w:rPr>
                <w:rFonts w:ascii="Times New Roman" w:hAnsi="Times New Roman" w:eastAsia="仿宋" w:cs="Times New Roman"/>
                <w:color w:val="000000"/>
                <w:kern w:val="0"/>
                <w:szCs w:val="21"/>
                <w:lang w:bidi="ar"/>
              </w:rPr>
              <w:t>风力发电</w:t>
            </w:r>
            <w:r>
              <w:rPr>
                <w:rFonts w:ascii="Times New Roman" w:hAnsi="Times New Roman" w:eastAsia="仿宋" w:cs="Times New Roman"/>
                <w:szCs w:val="21"/>
              </w:rPr>
              <w:t>。</w:t>
            </w:r>
          </w:p>
        </w:tc>
        <w:tc>
          <w:tcPr>
            <w:tcW w:w="3532" w:type="dxa"/>
            <w:shd w:val="clear" w:color="auto" w:fill="auto"/>
            <w:vAlign w:val="center"/>
          </w:tcPr>
          <w:p w14:paraId="62DBB70D">
            <w:pPr>
              <w:rPr>
                <w:rFonts w:ascii="Times New Roman" w:hAnsi="Times New Roman" w:eastAsia="仿宋" w:cs="Times New Roman"/>
                <w:b/>
                <w:szCs w:val="21"/>
              </w:rPr>
            </w:pPr>
            <w:r>
              <w:rPr>
                <w:rFonts w:ascii="Times New Roman" w:hAnsi="Times New Roman" w:eastAsia="仿宋" w:cs="Times New Roman"/>
                <w:b/>
                <w:szCs w:val="21"/>
              </w:rPr>
              <w:t>环境问题：</w:t>
            </w:r>
          </w:p>
          <w:p w14:paraId="00DCEBE6">
            <w:pPr>
              <w:rPr>
                <w:rFonts w:ascii="Times New Roman" w:hAnsi="Times New Roman" w:eastAsia="仿宋" w:cs="Times New Roman"/>
                <w:szCs w:val="21"/>
              </w:rPr>
            </w:pPr>
            <w:r>
              <w:rPr>
                <w:rFonts w:ascii="Times New Roman" w:hAnsi="Times New Roman" w:eastAsia="仿宋" w:cs="Times New Roman"/>
                <w:b/>
                <w:szCs w:val="21"/>
              </w:rPr>
              <w:t>万家庄街道、白芒铺镇：</w:t>
            </w:r>
            <w:r>
              <w:rPr>
                <w:rFonts w:ascii="Times New Roman" w:hAnsi="Times New Roman" w:eastAsia="仿宋" w:cs="Times New Roman"/>
                <w:kern w:val="0"/>
                <w:szCs w:val="21"/>
              </w:rPr>
              <w:t>无明显环境问题</w:t>
            </w:r>
            <w:r>
              <w:rPr>
                <w:rFonts w:ascii="Times New Roman" w:hAnsi="Times New Roman" w:eastAsia="仿宋" w:cs="Times New Roman"/>
                <w:szCs w:val="21"/>
              </w:rPr>
              <w:t>。</w:t>
            </w:r>
          </w:p>
          <w:p w14:paraId="4E0ECA60">
            <w:pPr>
              <w:rPr>
                <w:rFonts w:ascii="Times New Roman" w:hAnsi="Times New Roman" w:eastAsia="仿宋" w:cs="Times New Roman"/>
                <w:szCs w:val="21"/>
              </w:rPr>
            </w:pPr>
            <w:r>
              <w:rPr>
                <w:rFonts w:ascii="Times New Roman" w:hAnsi="Times New Roman" w:eastAsia="仿宋" w:cs="Times New Roman"/>
                <w:b/>
                <w:bCs/>
                <w:szCs w:val="21"/>
              </w:rPr>
              <w:t>祥霖铺镇：</w:t>
            </w:r>
            <w:r>
              <w:rPr>
                <w:rFonts w:ascii="Times New Roman" w:hAnsi="Times New Roman" w:eastAsia="仿宋" w:cs="Times New Roman"/>
                <w:szCs w:val="21"/>
              </w:rPr>
              <w:t>养殖业污染。</w:t>
            </w:r>
          </w:p>
          <w:p w14:paraId="35E2B27D">
            <w:pPr>
              <w:rPr>
                <w:rFonts w:ascii="Times New Roman" w:hAnsi="Times New Roman" w:eastAsia="仿宋" w:cs="Times New Roman"/>
                <w:szCs w:val="21"/>
              </w:rPr>
            </w:pPr>
            <w:r>
              <w:rPr>
                <w:rFonts w:ascii="Times New Roman" w:hAnsi="Times New Roman" w:eastAsia="仿宋" w:cs="Times New Roman"/>
                <w:b/>
                <w:bCs/>
                <w:szCs w:val="21"/>
              </w:rPr>
              <w:t>蚣坝镇：</w:t>
            </w:r>
            <w:r>
              <w:rPr>
                <w:rFonts w:ascii="Times New Roman" w:hAnsi="Times New Roman" w:eastAsia="仿宋" w:cs="Times New Roman"/>
                <w:szCs w:val="21"/>
              </w:rPr>
              <w:t>农业生产、农村生活垃圾，畜禽养殖污染，矿区重金属污染。</w:t>
            </w:r>
          </w:p>
          <w:p w14:paraId="1752B4D8">
            <w:pPr>
              <w:rPr>
                <w:rFonts w:ascii="Times New Roman" w:hAnsi="Times New Roman" w:eastAsia="仿宋" w:cs="Times New Roman"/>
                <w:szCs w:val="21"/>
              </w:rPr>
            </w:pPr>
            <w:r>
              <w:rPr>
                <w:rFonts w:ascii="Times New Roman" w:hAnsi="Times New Roman" w:eastAsia="仿宋" w:cs="Times New Roman"/>
                <w:b/>
                <w:bCs/>
                <w:szCs w:val="21"/>
              </w:rPr>
              <w:t>审章塘瑶族乡：</w:t>
            </w:r>
            <w:r>
              <w:rPr>
                <w:rFonts w:ascii="Times New Roman" w:hAnsi="Times New Roman" w:eastAsia="仿宋" w:cs="Times New Roman"/>
                <w:szCs w:val="21"/>
              </w:rPr>
              <w:t>矿产开发导致的历史遗留问题，垃圾焚烧发电厂大气污染。</w:t>
            </w:r>
          </w:p>
          <w:p w14:paraId="4B5D0812">
            <w:pPr>
              <w:rPr>
                <w:rFonts w:ascii="Times New Roman" w:hAnsi="Times New Roman" w:eastAsia="仿宋" w:cs="Times New Roman"/>
                <w:b/>
                <w:szCs w:val="21"/>
              </w:rPr>
            </w:pPr>
            <w:r>
              <w:rPr>
                <w:rFonts w:ascii="Times New Roman" w:hAnsi="Times New Roman" w:eastAsia="仿宋" w:cs="Times New Roman"/>
                <w:b/>
                <w:szCs w:val="21"/>
              </w:rPr>
              <w:t>环保目标：</w:t>
            </w:r>
          </w:p>
          <w:p w14:paraId="07ABBB97">
            <w:pPr>
              <w:rPr>
                <w:rFonts w:ascii="Times New Roman" w:hAnsi="Times New Roman" w:eastAsia="仿宋" w:cs="Times New Roman"/>
                <w:szCs w:val="21"/>
              </w:rPr>
            </w:pPr>
            <w:r>
              <w:rPr>
                <w:rFonts w:ascii="Times New Roman" w:hAnsi="Times New Roman" w:eastAsia="仿宋" w:cs="Times New Roman"/>
                <w:kern w:val="0"/>
                <w:szCs w:val="21"/>
              </w:rPr>
              <w:t>湖南潇水源湿地公园、湖南道县两河口县级自然保护区、永州市道县潇水饮用水水源保护区、湖南道县潇水县级湿地公园、月岩-周敦颐故里风景名胜区。</w:t>
            </w:r>
          </w:p>
        </w:tc>
      </w:tr>
      <w:tr w14:paraId="4335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29" w:type="dxa"/>
            <w:shd w:val="clear" w:color="auto" w:fill="auto"/>
            <w:vAlign w:val="center"/>
          </w:tcPr>
          <w:p w14:paraId="20E607E5">
            <w:pPr>
              <w:jc w:val="center"/>
              <w:rPr>
                <w:rFonts w:ascii="Times New Roman" w:hAnsi="Times New Roman" w:eastAsia="仿宋" w:cs="Times New Roman"/>
                <w:b/>
                <w:bCs/>
                <w:szCs w:val="21"/>
              </w:rPr>
            </w:pPr>
            <w:r>
              <w:rPr>
                <w:rFonts w:ascii="Times New Roman" w:hAnsi="Times New Roman" w:eastAsia="仿宋" w:cs="Times New Roman"/>
                <w:b/>
                <w:bCs/>
                <w:szCs w:val="21"/>
              </w:rPr>
              <w:t>主要属性</w:t>
            </w:r>
          </w:p>
        </w:tc>
        <w:tc>
          <w:tcPr>
            <w:tcW w:w="12808" w:type="dxa"/>
            <w:gridSpan w:val="11"/>
            <w:shd w:val="clear" w:color="auto" w:fill="auto"/>
          </w:tcPr>
          <w:p w14:paraId="35DD4B90">
            <w:pPr>
              <w:widowControl/>
              <w:rPr>
                <w:rFonts w:ascii="Times New Roman" w:hAnsi="Times New Roman" w:eastAsia="仿宋" w:cs="Times New Roman"/>
                <w:kern w:val="0"/>
                <w:szCs w:val="21"/>
              </w:rPr>
            </w:pPr>
            <w:r>
              <w:rPr>
                <w:rFonts w:ascii="Times New Roman" w:hAnsi="Times New Roman" w:eastAsia="仿宋" w:cs="Times New Roman"/>
                <w:b/>
                <w:bCs/>
                <w:szCs w:val="21"/>
              </w:rPr>
              <w:t>白芒铺镇：</w:t>
            </w:r>
          </w:p>
          <w:p w14:paraId="21DCD4BC">
            <w:pPr>
              <w:widowControl/>
              <w:rPr>
                <w:rFonts w:ascii="Times New Roman" w:hAnsi="Times New Roman" w:eastAsia="仿宋" w:cs="Times New Roman"/>
                <w:kern w:val="0"/>
                <w:szCs w:val="21"/>
              </w:rPr>
            </w:pPr>
            <w:r>
              <w:rPr>
                <w:rFonts w:ascii="Times New Roman" w:hAnsi="Times New Roman" w:eastAsia="仿宋" w:cs="Times New Roman"/>
                <w:kern w:val="0"/>
                <w:szCs w:val="21"/>
              </w:rPr>
              <w:t>一般生态空间（水土流失敏感区/水源涵养重要区/原生态红线）；水环境一般管控区；大气环境受体敏感重点管控区；农用地优先保护区/一般管控区/其他重点管控区；</w:t>
            </w:r>
          </w:p>
          <w:p w14:paraId="22CF8204">
            <w:pPr>
              <w:widowControl/>
              <w:rPr>
                <w:rFonts w:ascii="Times New Roman" w:hAnsi="Times New Roman" w:eastAsia="仿宋" w:cs="Times New Roman"/>
                <w:kern w:val="0"/>
                <w:szCs w:val="21"/>
              </w:rPr>
            </w:pPr>
            <w:r>
              <w:rPr>
                <w:rFonts w:ascii="Times New Roman" w:hAnsi="Times New Roman" w:eastAsia="仿宋" w:cs="Times New Roman"/>
                <w:b/>
                <w:bCs/>
                <w:szCs w:val="21"/>
              </w:rPr>
              <w:t>蚣坝镇：</w:t>
            </w:r>
          </w:p>
          <w:p w14:paraId="35B4414F">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生物多样性保护功能重要区/水土流失敏感区/水源涵养重要区/三区三线生态红线/湿地公园/原生态红线/水土保持功能重要区）；水环境一般管控区/水环境其他重点管控区/水环境优先保护区；大气环境优先保护区/大气环境受体敏感重点管控区；农用地优先保护区/一般管控区/其他重点管控区/建设用地重点管控区</w:t>
            </w:r>
          </w:p>
          <w:p w14:paraId="5382D0F3">
            <w:pPr>
              <w:widowControl/>
              <w:rPr>
                <w:rFonts w:ascii="Times New Roman" w:hAnsi="Times New Roman" w:eastAsia="仿宋" w:cs="Times New Roman"/>
                <w:kern w:val="0"/>
                <w:szCs w:val="21"/>
              </w:rPr>
            </w:pPr>
            <w:r>
              <w:rPr>
                <w:rFonts w:ascii="Times New Roman" w:hAnsi="Times New Roman" w:eastAsia="仿宋" w:cs="Times New Roman"/>
                <w:b/>
                <w:bCs/>
                <w:szCs w:val="21"/>
              </w:rPr>
              <w:t>上关街道：</w:t>
            </w:r>
          </w:p>
          <w:p w14:paraId="1EE56F0B">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生物多样性保护功能重要区/湿地公园/三区三线生态红线/原生态红线/水土流失敏感区）；水环境一般管控区/水环境优先保护区；大气环境弱扩散重点管控区/大气环境优先保护区/大气环境受体敏感重点管控区；农用地优先保护区/一般管控区/其他重点管控区；高污染燃料禁燃区</w:t>
            </w:r>
          </w:p>
          <w:p w14:paraId="596933AD">
            <w:pPr>
              <w:widowControl/>
              <w:rPr>
                <w:rFonts w:ascii="Times New Roman" w:hAnsi="Times New Roman" w:eastAsia="仿宋" w:cs="Times New Roman"/>
                <w:kern w:val="0"/>
                <w:szCs w:val="21"/>
              </w:rPr>
            </w:pPr>
            <w:r>
              <w:rPr>
                <w:rFonts w:ascii="Times New Roman" w:hAnsi="Times New Roman" w:eastAsia="仿宋" w:cs="Times New Roman"/>
                <w:b/>
                <w:bCs/>
                <w:szCs w:val="21"/>
              </w:rPr>
              <w:t>审章塘瑶族乡：</w:t>
            </w:r>
          </w:p>
          <w:p w14:paraId="5E89F7A9">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生物多样性保护功能重要区/水土保持功能重要区/水土流失敏感区/水源涵养重要区/三区三线生态红线/湿地公园/原生态红线）；水环境一般管控区/水环境其他重点管控区/水环境优先保护区；大气环境优先保护区/大气环境受体敏感重点管控区；农用地优先保护区/一般管控区/其他重点管控区/建设用地重点管控区</w:t>
            </w:r>
          </w:p>
          <w:p w14:paraId="6A66279B">
            <w:pPr>
              <w:widowControl/>
              <w:rPr>
                <w:rFonts w:ascii="Times New Roman" w:hAnsi="Times New Roman" w:eastAsia="仿宋" w:cs="Times New Roman"/>
                <w:kern w:val="0"/>
                <w:szCs w:val="21"/>
              </w:rPr>
            </w:pPr>
            <w:r>
              <w:rPr>
                <w:rFonts w:ascii="Times New Roman" w:hAnsi="Times New Roman" w:eastAsia="仿宋" w:cs="Times New Roman"/>
                <w:b/>
                <w:bCs/>
                <w:szCs w:val="21"/>
              </w:rPr>
              <w:t>万家庄街道：</w:t>
            </w:r>
          </w:p>
          <w:p w14:paraId="2597117E">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生物多样性保护功能重要区/湿地公园/原生态红线/水土流失敏感区/石漠化敏感区）；水环境一般管控区/水环境优先保护区；大气环境受体敏感重点管控区/大气环境优先保护区；农用地优先保护区/一般管控区/其他重点管控区/建设用地重点管控区；高污染燃料禁燃区</w:t>
            </w:r>
          </w:p>
          <w:p w14:paraId="618D544E">
            <w:pPr>
              <w:widowControl/>
              <w:rPr>
                <w:rFonts w:ascii="Times New Roman" w:hAnsi="Times New Roman" w:eastAsia="仿宋" w:cs="Times New Roman"/>
                <w:b/>
                <w:bCs/>
                <w:szCs w:val="21"/>
              </w:rPr>
            </w:pPr>
            <w:r>
              <w:rPr>
                <w:rFonts w:ascii="Times New Roman" w:hAnsi="Times New Roman" w:eastAsia="仿宋" w:cs="Times New Roman"/>
                <w:b/>
                <w:bCs/>
                <w:szCs w:val="21"/>
              </w:rPr>
              <w:t>祥霖铺镇：</w:t>
            </w:r>
          </w:p>
          <w:p w14:paraId="03F8048C">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生物多样性保护功能重要区/石漠化敏感区/水土保持功能重要区/水土流失敏感区/水源涵养重要区/三区三线生态红线/原生态红线/湿地公园）；水环境一般管控区/水环境优先保护区/水环境其他重点管控区；大气环境优先保护区/大气环境受体敏感重点管控区；农用地优先保护区/一般管控区/其他重点管控区/建设用地重点管控区</w:t>
            </w:r>
          </w:p>
          <w:p w14:paraId="35B3696E">
            <w:pPr>
              <w:widowControl/>
              <w:rPr>
                <w:rFonts w:ascii="Times New Roman" w:hAnsi="Times New Roman" w:eastAsia="仿宋" w:cs="Times New Roman"/>
                <w:kern w:val="0"/>
                <w:szCs w:val="21"/>
              </w:rPr>
            </w:pPr>
            <w:r>
              <w:rPr>
                <w:rFonts w:ascii="Times New Roman" w:hAnsi="Times New Roman" w:eastAsia="仿宋" w:cs="Times New Roman"/>
                <w:b/>
                <w:bCs/>
                <w:szCs w:val="21"/>
              </w:rPr>
              <w:t>营江街道：</w:t>
            </w:r>
            <w:r>
              <w:rPr>
                <w:rFonts w:ascii="Times New Roman" w:hAnsi="Times New Roman" w:eastAsia="仿宋" w:cs="Times New Roman"/>
                <w:kern w:val="0"/>
                <w:szCs w:val="21"/>
              </w:rPr>
              <w:t xml:space="preserve"> </w:t>
            </w:r>
          </w:p>
          <w:p w14:paraId="3DE4CE46">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风景名胜区/水土流失敏感区/水源涵养重要区/生物多样性保护功能重要区/原生态红线/三区三线生态红线）；水环境一般管控区；大气环境弱扩散重点管控区/大气环境优先保护区/大气环境受体敏感重点管控区；农用地优先保护区/一般管控区；高污染燃料禁燃区</w:t>
            </w:r>
          </w:p>
        </w:tc>
      </w:tr>
      <w:tr w14:paraId="218A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29" w:type="dxa"/>
            <w:shd w:val="clear" w:color="auto" w:fill="auto"/>
          </w:tcPr>
          <w:p w14:paraId="04615B58">
            <w:pPr>
              <w:jc w:val="center"/>
              <w:rPr>
                <w:rFonts w:ascii="Times New Roman" w:hAnsi="Times New Roman" w:eastAsia="仿宋" w:cs="Times New Roman"/>
                <w:b/>
                <w:bCs/>
                <w:szCs w:val="21"/>
              </w:rPr>
            </w:pPr>
            <w:r>
              <w:rPr>
                <w:rFonts w:ascii="Times New Roman" w:hAnsi="Times New Roman" w:eastAsia="仿宋" w:cs="Times New Roman"/>
                <w:b/>
                <w:bCs/>
                <w:szCs w:val="21"/>
              </w:rPr>
              <w:t>管控维度</w:t>
            </w:r>
          </w:p>
        </w:tc>
        <w:tc>
          <w:tcPr>
            <w:tcW w:w="9218" w:type="dxa"/>
            <w:gridSpan w:val="9"/>
            <w:shd w:val="clear" w:color="auto" w:fill="auto"/>
          </w:tcPr>
          <w:p w14:paraId="252723CE">
            <w:pPr>
              <w:jc w:val="center"/>
              <w:rPr>
                <w:rFonts w:ascii="Times New Roman" w:hAnsi="Times New Roman" w:eastAsia="仿宋" w:cs="Times New Roman"/>
                <w:b/>
                <w:bCs/>
                <w:szCs w:val="21"/>
              </w:rPr>
            </w:pPr>
            <w:r>
              <w:rPr>
                <w:rFonts w:ascii="Times New Roman" w:hAnsi="Times New Roman" w:eastAsia="仿宋" w:cs="Times New Roman"/>
                <w:b/>
                <w:bCs/>
                <w:szCs w:val="21"/>
              </w:rPr>
              <w:t>管控要求</w:t>
            </w:r>
          </w:p>
        </w:tc>
        <w:tc>
          <w:tcPr>
            <w:tcW w:w="3590" w:type="dxa"/>
            <w:gridSpan w:val="2"/>
            <w:shd w:val="clear" w:color="auto" w:fill="auto"/>
          </w:tcPr>
          <w:p w14:paraId="3477B5D5">
            <w:pPr>
              <w:jc w:val="center"/>
              <w:rPr>
                <w:rFonts w:ascii="Times New Roman" w:hAnsi="Times New Roman" w:eastAsia="仿宋" w:cs="Times New Roman"/>
                <w:b/>
                <w:bCs/>
                <w:szCs w:val="21"/>
              </w:rPr>
            </w:pPr>
            <w:r>
              <w:rPr>
                <w:rFonts w:ascii="Times New Roman" w:hAnsi="Times New Roman" w:eastAsia="仿宋" w:cs="Times New Roman"/>
                <w:b/>
                <w:bCs/>
                <w:szCs w:val="21"/>
              </w:rPr>
              <w:t>编制依据</w:t>
            </w:r>
          </w:p>
        </w:tc>
      </w:tr>
      <w:tr w14:paraId="5439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129" w:type="dxa"/>
            <w:shd w:val="clear" w:color="auto" w:fill="auto"/>
            <w:vAlign w:val="center"/>
          </w:tcPr>
          <w:p w14:paraId="64F9DC4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218" w:type="dxa"/>
            <w:gridSpan w:val="9"/>
            <w:shd w:val="clear" w:color="auto" w:fill="auto"/>
            <w:vAlign w:val="center"/>
          </w:tcPr>
          <w:p w14:paraId="09F8F06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（1.1）畜禽养殖产业布局应符合</w:t>
            </w:r>
            <w:r>
              <w:rPr>
                <w:rFonts w:ascii="Times New Roman" w:hAnsi="Times New Roman" w:eastAsia="仿宋" w:cs="Times New Roman"/>
                <w:kern w:val="0"/>
                <w:szCs w:val="21"/>
              </w:rPr>
              <w:t>《道县畜禽养殖污染防治规划（2021~2025 年）》</w:t>
            </w:r>
            <w:r>
              <w:rPr>
                <w:rFonts w:ascii="Times New Roman" w:hAnsi="Times New Roman" w:eastAsia="仿宋" w:cs="Times New Roman"/>
                <w:szCs w:val="21"/>
              </w:rPr>
              <w:t>，不符合的养殖场应按规定退出。</w:t>
            </w:r>
          </w:p>
        </w:tc>
        <w:tc>
          <w:tcPr>
            <w:tcW w:w="3590" w:type="dxa"/>
            <w:gridSpan w:val="2"/>
            <w:vMerge w:val="restart"/>
            <w:shd w:val="clear" w:color="auto" w:fill="auto"/>
          </w:tcPr>
          <w:p w14:paraId="22F9D264">
            <w:pPr>
              <w:rPr>
                <w:rFonts w:ascii="Times New Roman" w:hAnsi="Times New Roman" w:eastAsia="仿宋" w:cs="Times New Roman"/>
                <w:kern w:val="0"/>
                <w:szCs w:val="21"/>
              </w:rPr>
            </w:pPr>
            <w:r>
              <w:rPr>
                <w:rFonts w:ascii="Times New Roman" w:hAnsi="Times New Roman" w:eastAsia="仿宋" w:cs="Times New Roman"/>
                <w:kern w:val="0"/>
                <w:szCs w:val="21"/>
              </w:rPr>
              <w:t>（1.1）（2.4）《道县畜禽养殖污染防治规划（2021~2025 年）》；</w:t>
            </w:r>
          </w:p>
          <w:p w14:paraId="2A335600">
            <w:pPr>
              <w:rPr>
                <w:rFonts w:ascii="Times New Roman" w:hAnsi="Times New Roman" w:eastAsia="仿宋" w:cs="Times New Roman"/>
                <w:szCs w:val="21"/>
              </w:rPr>
            </w:pPr>
            <w:r>
              <w:rPr>
                <w:rFonts w:ascii="Times New Roman" w:hAnsi="Times New Roman" w:eastAsia="仿宋" w:cs="Times New Roman"/>
                <w:szCs w:val="21"/>
              </w:rPr>
              <w:t>（2.1）（2.2）（2.3）（3.1）（3.3）《2023 年道县污染防治攻坚战工作方案》；</w:t>
            </w:r>
          </w:p>
          <w:p w14:paraId="168AF0A1">
            <w:pPr>
              <w:rPr>
                <w:rFonts w:ascii="Times New Roman" w:hAnsi="Times New Roman" w:eastAsia="仿宋" w:cs="Times New Roman"/>
                <w:szCs w:val="21"/>
              </w:rPr>
            </w:pPr>
            <w:r>
              <w:rPr>
                <w:rFonts w:ascii="Times New Roman" w:hAnsi="Times New Roman" w:eastAsia="仿宋" w:cs="Times New Roman"/>
                <w:szCs w:val="21"/>
              </w:rPr>
              <w:t>（2.1）《关于湖南紫金钾业有限公司道县湘源锡伽多金属矿 1000 吨/天采选工程变更（道县湘源锡30 万吨/年钾多金属矿产资源开发项目）环境影响报告书的批复》（永环评〔2023〕8号）</w:t>
            </w:r>
            <w:bookmarkStart w:id="48" w:name="OLE_LINK1"/>
            <w:r>
              <w:rPr>
                <w:rFonts w:ascii="Times New Roman" w:hAnsi="Times New Roman" w:eastAsia="仿宋" w:cs="Times New Roman"/>
                <w:szCs w:val="21"/>
              </w:rPr>
              <w:t>；</w:t>
            </w:r>
          </w:p>
          <w:p w14:paraId="5A6E79E5">
            <w:pPr>
              <w:rPr>
                <w:rFonts w:ascii="Times New Roman" w:hAnsi="Times New Roman" w:eastAsia="仿宋" w:cs="Times New Roman"/>
                <w:szCs w:val="21"/>
              </w:rPr>
            </w:pPr>
            <w:r>
              <w:rPr>
                <w:rFonts w:ascii="Times New Roman" w:hAnsi="Times New Roman" w:eastAsia="仿宋" w:cs="Times New Roman"/>
                <w:szCs w:val="21"/>
              </w:rPr>
              <w:t>（2.2）（2.4）（3.2）《关于永州南部生活垃圾焚烧发电项目</w:t>
            </w:r>
            <w:bookmarkEnd w:id="48"/>
            <w:r>
              <w:rPr>
                <w:rFonts w:ascii="Times New Roman" w:hAnsi="Times New Roman" w:eastAsia="仿宋" w:cs="Times New Roman"/>
                <w:szCs w:val="21"/>
              </w:rPr>
              <w:t>环境影响报告书的批复》（永环评〔2020〕22号）；</w:t>
            </w:r>
          </w:p>
          <w:p w14:paraId="3286D753">
            <w:pPr>
              <w:tabs>
                <w:tab w:val="left" w:pos="1021"/>
              </w:tabs>
              <w:rPr>
                <w:rFonts w:ascii="Times New Roman" w:hAnsi="Times New Roman" w:eastAsia="仿宋" w:cs="Times New Roman"/>
                <w:szCs w:val="21"/>
              </w:rPr>
            </w:pPr>
            <w:r>
              <w:rPr>
                <w:rFonts w:ascii="Times New Roman" w:hAnsi="Times New Roman" w:eastAsia="仿宋" w:cs="Times New Roman"/>
                <w:color w:val="000000"/>
                <w:szCs w:val="21"/>
              </w:rPr>
              <w:t>（4.1.1）《道县人民政府关于划定高污染燃料禁燃区的通告》（道政发〔2021〕2号）；</w:t>
            </w:r>
          </w:p>
          <w:p w14:paraId="038F6753">
            <w:pPr>
              <w:rPr>
                <w:rFonts w:ascii="Times New Roman" w:hAnsi="Times New Roman" w:eastAsia="仿宋" w:cs="Times New Roman"/>
                <w:szCs w:val="21"/>
              </w:rPr>
            </w:pPr>
            <w:r>
              <w:rPr>
                <w:rFonts w:ascii="Times New Roman" w:hAnsi="Times New Roman" w:eastAsia="仿宋" w:cs="Times New Roman"/>
                <w:szCs w:val="21"/>
              </w:rPr>
              <w:t>（4.1.2）《道县国民经济和社会发展第十四个五年规划和二〇三五年远景目标纲要》；</w:t>
            </w:r>
          </w:p>
          <w:p w14:paraId="2A467AE8">
            <w:pPr>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6803BA66">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道县国土空间总体规划（2021-2035年）</w:t>
            </w:r>
            <w:r>
              <w:rPr>
                <w:rFonts w:ascii="Times New Roman" w:hAnsi="Times New Roman" w:eastAsia="仿宋" w:cs="Times New Roman"/>
                <w:szCs w:val="21"/>
              </w:rPr>
              <w:t>》。</w:t>
            </w:r>
          </w:p>
        </w:tc>
      </w:tr>
      <w:tr w14:paraId="719D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vAlign w:val="center"/>
          </w:tcPr>
          <w:p w14:paraId="2BEA0B7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218" w:type="dxa"/>
            <w:gridSpan w:val="9"/>
            <w:shd w:val="clear" w:color="auto" w:fill="auto"/>
            <w:vAlign w:val="center"/>
          </w:tcPr>
          <w:p w14:paraId="6949A290">
            <w:pPr>
              <w:ind w:firstLine="420" w:firstLineChars="200"/>
              <w:rPr>
                <w:rFonts w:ascii="Times New Roman" w:hAnsi="Times New Roman" w:eastAsia="仿宋" w:cs="Times New Roman"/>
                <w:szCs w:val="21"/>
              </w:rPr>
            </w:pPr>
            <w:r>
              <w:rPr>
                <w:rFonts w:ascii="Times New Roman" w:hAnsi="Times New Roman" w:eastAsia="仿宋" w:cs="Times New Roman"/>
                <w:szCs w:val="21"/>
              </w:rPr>
              <w:t>（2.1）大力实施乡镇污水管网建设改造攻坚行动，加快补齐管网短板。</w:t>
            </w:r>
            <w:r>
              <w:rPr>
                <w:rFonts w:ascii="Times New Roman" w:hAnsi="Times New Roman" w:eastAsia="仿宋" w:cs="Times New Roman"/>
                <w:bCs/>
                <w:szCs w:val="21"/>
              </w:rPr>
              <w:t>洪塘营乡：</w:t>
            </w:r>
            <w:r>
              <w:rPr>
                <w:rFonts w:ascii="Times New Roman" w:hAnsi="Times New Roman" w:eastAsia="仿宋" w:cs="Times New Roman"/>
                <w:szCs w:val="21"/>
              </w:rPr>
              <w:t>落实施工期水污染防治措施。按照“雨污分流、清污分流、污污分流”原则，优化废水回用设施，规范设置足够规模和容积的污水收集、处理设施，确保处理工艺处理规模满足要求。</w:t>
            </w:r>
          </w:p>
          <w:p w14:paraId="6E1CFC2D">
            <w:pPr>
              <w:ind w:firstLine="420" w:firstLineChars="200"/>
              <w:rPr>
                <w:rFonts w:ascii="Times New Roman" w:hAnsi="Times New Roman" w:eastAsia="仿宋" w:cs="Times New Roman"/>
                <w:szCs w:val="21"/>
              </w:rPr>
            </w:pPr>
            <w:r>
              <w:rPr>
                <w:rFonts w:ascii="Times New Roman" w:hAnsi="Times New Roman" w:eastAsia="仿宋" w:cs="Times New Roman"/>
                <w:szCs w:val="21"/>
              </w:rPr>
              <w:t>（2.2）</w:t>
            </w:r>
            <w:r>
              <w:rPr>
                <w:rFonts w:ascii="Times New Roman" w:hAnsi="Times New Roman" w:eastAsia="仿宋" w:cs="Times New Roman"/>
                <w:b/>
                <w:bCs/>
                <w:szCs w:val="21"/>
              </w:rPr>
              <w:t>审章塘瑶族乡：</w:t>
            </w:r>
            <w:r>
              <w:rPr>
                <w:rFonts w:ascii="Times New Roman" w:hAnsi="Times New Roman" w:eastAsia="仿宋" w:cs="Times New Roman"/>
                <w:szCs w:val="21"/>
              </w:rPr>
              <w:t>永州南部生活垃圾焚烧发电厂应当应当严格落实环评及其批复规定的各项污染防治和环境风险防范措施，加强污染源监测和信息公开。厂界外300m为环境防护距离，禁止新建医院、学校、集中居民区、行政办公和科研等环境敏感目标，并采取园林绿化等缓解环境影响的措施。严格控制炉膛焚烧温度、炉膛内烟气停留时间以及烟气中含氧量等运行参数，从源头上减少二噁英、氮氧化物等污染物的产生；严格控制恶臭气体无组织排放。</w:t>
            </w:r>
          </w:p>
          <w:p w14:paraId="32787917">
            <w:pPr>
              <w:ind w:firstLine="420" w:firstLineChars="200"/>
              <w:rPr>
                <w:rFonts w:ascii="Times New Roman" w:hAnsi="Times New Roman" w:eastAsia="仿宋" w:cs="Times New Roman"/>
                <w:szCs w:val="21"/>
              </w:rPr>
            </w:pPr>
            <w:r>
              <w:rPr>
                <w:rFonts w:ascii="Times New Roman" w:hAnsi="Times New Roman" w:eastAsia="仿宋" w:cs="Times New Roman"/>
                <w:szCs w:val="21"/>
              </w:rPr>
              <w:t>（2.3）着力提升乡镇生活垃圾治理水平，建立动态管控机制，发现问题，及时交办、整改。有序推进厨余垃圾处理。</w:t>
            </w:r>
          </w:p>
          <w:p w14:paraId="601CC17A">
            <w:pPr>
              <w:ind w:firstLine="420" w:firstLineChars="200"/>
              <w:rPr>
                <w:rFonts w:ascii="Times New Roman" w:hAnsi="Times New Roman" w:eastAsia="仿宋" w:cs="Times New Roman"/>
                <w:szCs w:val="21"/>
              </w:rPr>
            </w:pPr>
            <w:r>
              <w:rPr>
                <w:rFonts w:ascii="Times New Roman" w:hAnsi="Times New Roman" w:eastAsia="仿宋" w:cs="Times New Roman"/>
                <w:szCs w:val="21"/>
              </w:rPr>
              <w:t>（2.4）进一步配套完善规模养殖场粪污处理设施装备以及配套完善畜禽养殖专业户粪污处理设施装备，有效提高畜禽养殖场户的粪污资源化利用率。大力倡导发展生态养殖业，因地制宜地建设粪污收集、贮存、处理、利用设施，实现粪污资源化利用，从而促进畜禽养殖业的持续健康发展。</w:t>
            </w:r>
            <w:bookmarkStart w:id="49" w:name="_Hlk58575070"/>
          </w:p>
          <w:p w14:paraId="2FCE9ED8">
            <w:pPr>
              <w:ind w:firstLine="420" w:firstLineChars="200"/>
              <w:rPr>
                <w:rFonts w:ascii="Times New Roman" w:hAnsi="Times New Roman" w:eastAsia="仿宋" w:cs="Times New Roman"/>
                <w:szCs w:val="21"/>
              </w:rPr>
            </w:pPr>
            <w:r>
              <w:rPr>
                <w:rFonts w:ascii="Times New Roman" w:hAnsi="Times New Roman" w:eastAsia="仿宋" w:cs="Times New Roman"/>
                <w:szCs w:val="21"/>
              </w:rPr>
              <w:t>（2.5）</w:t>
            </w:r>
            <w:r>
              <w:rPr>
                <w:rFonts w:ascii="Times New Roman" w:hAnsi="Times New Roman" w:eastAsia="仿宋" w:cs="Times New Roman"/>
                <w:b/>
                <w:szCs w:val="21"/>
              </w:rPr>
              <w:t>营江街道：</w:t>
            </w:r>
            <w:r>
              <w:rPr>
                <w:rFonts w:ascii="Times New Roman" w:hAnsi="Times New Roman" w:eastAsia="仿宋" w:cs="Times New Roman"/>
                <w:szCs w:val="21"/>
              </w:rPr>
              <w:t>加强餐饮业燃料烟气及餐饮油烟防治。</w:t>
            </w:r>
            <w:bookmarkEnd w:id="49"/>
          </w:p>
        </w:tc>
        <w:tc>
          <w:tcPr>
            <w:tcW w:w="3590" w:type="dxa"/>
            <w:gridSpan w:val="2"/>
            <w:vMerge w:val="continue"/>
            <w:shd w:val="clear" w:color="auto" w:fill="auto"/>
          </w:tcPr>
          <w:p w14:paraId="201ECBF1">
            <w:pPr>
              <w:rPr>
                <w:rFonts w:ascii="Times New Roman" w:hAnsi="Times New Roman" w:eastAsia="仿宋" w:cs="Times New Roman"/>
                <w:szCs w:val="21"/>
              </w:rPr>
            </w:pPr>
          </w:p>
        </w:tc>
      </w:tr>
      <w:tr w14:paraId="087F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129" w:type="dxa"/>
            <w:shd w:val="clear" w:color="auto" w:fill="auto"/>
            <w:vAlign w:val="center"/>
          </w:tcPr>
          <w:p w14:paraId="4CDDC7B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218" w:type="dxa"/>
            <w:gridSpan w:val="9"/>
            <w:shd w:val="clear" w:color="auto" w:fill="auto"/>
            <w:vAlign w:val="center"/>
          </w:tcPr>
          <w:p w14:paraId="6E0B58DC">
            <w:pPr>
              <w:ind w:firstLine="420" w:firstLineChars="200"/>
              <w:rPr>
                <w:rFonts w:ascii="Times New Roman" w:hAnsi="Times New Roman" w:eastAsia="仿宋" w:cs="Times New Roman"/>
                <w:snapToGrid w:val="0"/>
                <w:kern w:val="0"/>
                <w:szCs w:val="21"/>
              </w:rPr>
            </w:pPr>
            <w:r>
              <w:rPr>
                <w:rFonts w:ascii="Times New Roman" w:hAnsi="Times New Roman" w:eastAsia="仿宋" w:cs="Times New Roman"/>
                <w:szCs w:val="21"/>
              </w:rPr>
              <w:t>（3.1）加强环境风险防控和应急管理。建立健全</w:t>
            </w:r>
            <w:r>
              <w:rPr>
                <w:rFonts w:ascii="Times New Roman" w:hAnsi="Times New Roman" w:eastAsia="仿宋" w:cs="Times New Roman"/>
                <w:snapToGrid w:val="0"/>
                <w:kern w:val="0"/>
                <w:szCs w:val="21"/>
              </w:rPr>
              <w:t>工矿企业和</w:t>
            </w:r>
            <w:r>
              <w:rPr>
                <w:rFonts w:ascii="Times New Roman" w:hAnsi="Times New Roman" w:eastAsia="仿宋" w:cs="Times New Roman"/>
                <w:szCs w:val="21"/>
              </w:rPr>
              <w:t>流域水污染事件应急体系。</w:t>
            </w:r>
          </w:p>
          <w:p w14:paraId="274AF282">
            <w:pPr>
              <w:ind w:firstLine="420" w:firstLineChars="200"/>
              <w:rPr>
                <w:rFonts w:ascii="Times New Roman" w:hAnsi="Times New Roman" w:eastAsia="仿宋" w:cs="Times New Roman"/>
                <w:szCs w:val="21"/>
              </w:rPr>
            </w:pPr>
            <w:r>
              <w:rPr>
                <w:rFonts w:ascii="Times New Roman" w:hAnsi="Times New Roman" w:eastAsia="仿宋" w:cs="Times New Roman"/>
                <w:snapToGrid w:val="0"/>
                <w:kern w:val="0"/>
                <w:szCs w:val="21"/>
              </w:rPr>
              <w:t>（3.2）</w:t>
            </w:r>
            <w:r>
              <w:rPr>
                <w:rFonts w:ascii="Times New Roman" w:hAnsi="Times New Roman" w:eastAsia="仿宋" w:cs="Times New Roman"/>
                <w:szCs w:val="21"/>
              </w:rPr>
              <w:t>永州南部生活垃圾焚烧发电厂应针对可能发生的突发环境事件，建立应急联动机制和环境风险事故应急预案，强化应急教育和应急演练，防止发生事故造成的次生环境危害。强化对危险化学品运输、储存、生产及使用全过程的管理，科学布设预警设施、事故应急设施（物料泄漏截流设施、风险事故池等），配套拦污、切换等处理设施，防止非正常工况和事故状态下环境风险排放。</w:t>
            </w:r>
          </w:p>
          <w:p w14:paraId="2C6DBAD1">
            <w:pPr>
              <w:ind w:firstLine="420" w:firstLineChars="200"/>
              <w:rPr>
                <w:rFonts w:ascii="Times New Roman" w:hAnsi="Times New Roman" w:eastAsia="仿宋" w:cs="Times New Roman"/>
                <w:szCs w:val="21"/>
              </w:rPr>
            </w:pPr>
            <w:r>
              <w:rPr>
                <w:rFonts w:ascii="Times New Roman" w:hAnsi="Times New Roman" w:eastAsia="仿宋" w:cs="Times New Roman"/>
                <w:snapToGrid w:val="0"/>
                <w:kern w:val="0"/>
                <w:szCs w:val="21"/>
              </w:rPr>
              <w:t>（3.3）防治地下水污</w:t>
            </w:r>
            <w:r>
              <w:rPr>
                <w:rFonts w:ascii="Times New Roman" w:hAnsi="Times New Roman" w:eastAsia="仿宋" w:cs="Times New Roman"/>
                <w:szCs w:val="21"/>
              </w:rPr>
              <w:t>染。矿山开采区应进行必要的防渗处理。加快加油站地下油罐的双层罐更新或完成防渗池设置。</w:t>
            </w:r>
          </w:p>
        </w:tc>
        <w:tc>
          <w:tcPr>
            <w:tcW w:w="3590" w:type="dxa"/>
            <w:gridSpan w:val="2"/>
            <w:vMerge w:val="continue"/>
            <w:shd w:val="clear" w:color="auto" w:fill="auto"/>
          </w:tcPr>
          <w:p w14:paraId="53B9B9AA">
            <w:pPr>
              <w:rPr>
                <w:rFonts w:ascii="Times New Roman" w:hAnsi="Times New Roman" w:eastAsia="仿宋" w:cs="Times New Roman"/>
                <w:szCs w:val="21"/>
              </w:rPr>
            </w:pPr>
          </w:p>
        </w:tc>
      </w:tr>
      <w:tr w14:paraId="784E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129" w:type="dxa"/>
            <w:shd w:val="clear" w:color="auto" w:fill="auto"/>
            <w:vAlign w:val="center"/>
          </w:tcPr>
          <w:p w14:paraId="09F977A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218" w:type="dxa"/>
            <w:gridSpan w:val="9"/>
            <w:shd w:val="clear" w:color="auto" w:fill="auto"/>
            <w:vAlign w:val="center"/>
          </w:tcPr>
          <w:p w14:paraId="1D35A195">
            <w:pPr>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20605BE">
            <w:pPr>
              <w:ind w:firstLine="420" w:firstLineChars="200"/>
              <w:rPr>
                <w:rFonts w:ascii="Times New Roman" w:hAnsi="Times New Roman" w:eastAsia="仿宋" w:cs="Times New Roman"/>
                <w:szCs w:val="21"/>
              </w:rPr>
            </w:pPr>
            <w:r>
              <w:rPr>
                <w:rFonts w:ascii="Times New Roman" w:hAnsi="Times New Roman" w:eastAsia="仿宋" w:cs="Times New Roman"/>
                <w:szCs w:val="21"/>
              </w:rPr>
              <w:t>（4.1.1）</w:t>
            </w:r>
            <w:r>
              <w:rPr>
                <w:rFonts w:ascii="Times New Roman" w:hAnsi="Times New Roman" w:eastAsia="仿宋" w:cs="Times New Roman"/>
                <w:b/>
                <w:bCs/>
                <w:szCs w:val="21"/>
              </w:rPr>
              <w:t>上关街道、万家庄街道：</w:t>
            </w:r>
            <w:r>
              <w:rPr>
                <w:rFonts w:ascii="Times New Roman" w:hAnsi="Times New Roman" w:eastAsia="仿宋" w:cs="Times New Roman"/>
                <w:szCs w:val="21"/>
              </w:rPr>
              <w:t>高污染燃料禁燃区执行《道县人民政府关于划定高污染燃料禁燃区的通告》（</w:t>
            </w:r>
            <w:r>
              <w:rPr>
                <w:rFonts w:ascii="Times New Roman" w:hAnsi="Times New Roman" w:eastAsia="仿宋" w:cs="Times New Roman"/>
                <w:color w:val="000000"/>
                <w:szCs w:val="21"/>
              </w:rPr>
              <w:t>道政发〔2021〕2号</w:t>
            </w:r>
            <w:r>
              <w:rPr>
                <w:rFonts w:ascii="Times New Roman" w:hAnsi="Times New Roman" w:eastAsia="仿宋" w:cs="Times New Roman"/>
                <w:szCs w:val="21"/>
              </w:rPr>
              <w:t>），禁止新建、扩建燃用高污染燃料的锅炉、炉窑、炉灶等燃烧设施（集中供热、电厂锅炉除外）；禁止销售、使用高污染燃料。</w:t>
            </w:r>
          </w:p>
          <w:p w14:paraId="2141069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（4.1.2）积极发展风电、光伏、生物质等可再生能源，继续加大对风电的开发力度。加快祥霖铺等风电场项目建设，推进垃圾焚烧发电、光伏发电站、屋顶光伏发电、地源热泵等新能源项目。</w:t>
            </w:r>
          </w:p>
          <w:p w14:paraId="3E3F88F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79338CC">
            <w:pPr>
              <w:tabs>
                <w:tab w:val="left" w:pos="1021"/>
              </w:tabs>
              <w:ind w:firstLine="420" w:firstLineChars="200"/>
              <w:rPr>
                <w:rFonts w:ascii="Times New Roman" w:hAnsi="Times New Roman" w:eastAsia="仿宋" w:cs="Times New Roman"/>
                <w:kern w:val="0"/>
                <w:szCs w:val="21"/>
                <w:lang w:bidi="ar"/>
              </w:rPr>
            </w:pPr>
            <w:r>
              <w:rPr>
                <w:rFonts w:ascii="Times New Roman" w:hAnsi="Times New Roman" w:eastAsia="仿宋" w:cs="Times New Roman"/>
                <w:szCs w:val="21"/>
              </w:rPr>
              <w:t>（4.2.1）</w:t>
            </w:r>
            <w:r>
              <w:rPr>
                <w:rFonts w:ascii="Times New Roman" w:hAnsi="Times New Roman" w:eastAsia="仿宋" w:cs="Times New Roman"/>
                <w:kern w:val="0"/>
                <w:szCs w:val="21"/>
                <w:lang w:bidi="ar"/>
              </w:rPr>
              <w:t>到2025年，道县指标应符合相应行政区域的管控要求，道县用水总量达32958万m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，农业用水总量控制在27867万m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，万元地区生产总值用水量、万元工业增加值用水量分别比2020年降低12.88%、8.87%，农田灌溉水有效利用系数为0.586。</w:t>
            </w:r>
          </w:p>
          <w:p w14:paraId="787579EB">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2BDC8357">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规划到2035 年，全县耕地保有量不低于4.40万公顷（其中</w:t>
            </w:r>
            <w:r>
              <w:rPr>
                <w:rFonts w:ascii="Times New Roman" w:hAnsi="Times New Roman" w:eastAsia="仿宋" w:cs="Times New Roman"/>
                <w:szCs w:val="21"/>
              </w:rPr>
              <w:t>万家庄街道、祥霖铺镇、营江街道、白芒铺镇、蚣坝镇、上关街道、审章塘瑶族乡分别</w:t>
            </w:r>
            <w:r>
              <w:rPr>
                <w:rFonts w:ascii="Times New Roman" w:hAnsi="Times New Roman" w:eastAsia="仿宋" w:cs="Times New Roman"/>
                <w:kern w:val="0"/>
                <w:szCs w:val="21"/>
              </w:rPr>
              <w:t>为1173.33、5904.43、1761.22、2475.39、3595.18、1606.75、1713.62</w:t>
            </w:r>
            <w:r>
              <w:rPr>
                <w:rFonts w:ascii="Times New Roman" w:hAnsi="Times New Roman" w:eastAsia="仿宋" w:cs="Times New Roman"/>
                <w:kern w:val="0"/>
                <w:szCs w:val="21"/>
              </w:rPr>
              <w:tab/>
            </w:r>
            <w:r>
              <w:rPr>
                <w:rFonts w:ascii="Times New Roman" w:hAnsi="Times New Roman" w:eastAsia="仿宋" w:cs="Times New Roman"/>
                <w:kern w:val="0"/>
                <w:szCs w:val="21"/>
              </w:rPr>
              <w:t>公顷），永久基本农田保护面积不低于4.06万公顷（其中</w:t>
            </w:r>
            <w:r>
              <w:rPr>
                <w:rFonts w:ascii="Times New Roman" w:hAnsi="Times New Roman" w:eastAsia="仿宋" w:cs="Times New Roman"/>
                <w:szCs w:val="21"/>
              </w:rPr>
              <w:t>万家庄街道、祥霖铺镇、营江街道、白芒铺镇、蚣坝镇、上关街道、审章塘瑶族乡分别</w:t>
            </w:r>
            <w:r>
              <w:rPr>
                <w:rFonts w:ascii="Times New Roman" w:hAnsi="Times New Roman" w:eastAsia="仿宋" w:cs="Times New Roman"/>
                <w:kern w:val="0"/>
                <w:szCs w:val="21"/>
              </w:rPr>
              <w:t>为727.30、5679.82、1554.68、2378.92、3445.97、1292.66、1617.48公顷），全县生态保护红线面积不低于44930.26公顷；全县划定城镇开发边界4077.86公顷，划定城镇发展区 4386.37公顷，乡村发展区125445.17公顷，矿产能源发展区696.49公顷。</w:t>
            </w:r>
          </w:p>
        </w:tc>
        <w:tc>
          <w:tcPr>
            <w:tcW w:w="3590" w:type="dxa"/>
            <w:gridSpan w:val="2"/>
            <w:vMerge w:val="continue"/>
            <w:shd w:val="clear" w:color="auto" w:fill="auto"/>
          </w:tcPr>
          <w:p w14:paraId="6CF0EEDF">
            <w:pPr>
              <w:rPr>
                <w:rFonts w:ascii="Times New Roman" w:hAnsi="Times New Roman" w:eastAsia="仿宋" w:cs="Times New Roman"/>
                <w:szCs w:val="21"/>
              </w:rPr>
            </w:pPr>
          </w:p>
        </w:tc>
      </w:tr>
    </w:tbl>
    <w:p w14:paraId="18ACF961">
      <w:pPr>
        <w:pStyle w:val="19"/>
        <w:spacing w:after="0"/>
        <w:rPr>
          <w:rFonts w:eastAsia="仿宋"/>
          <w:szCs w:val="21"/>
        </w:rPr>
      </w:pPr>
    </w:p>
    <w:p w14:paraId="09CE64D9">
      <w:pPr>
        <w:pStyle w:val="19"/>
        <w:spacing w:after="0"/>
        <w:rPr>
          <w:rFonts w:eastAsia="仿宋"/>
          <w:szCs w:val="21"/>
        </w:rPr>
      </w:pPr>
    </w:p>
    <w:p w14:paraId="5A0FA325">
      <w:pPr>
        <w:pStyle w:val="19"/>
        <w:spacing w:after="0"/>
        <w:rPr>
          <w:rFonts w:eastAsia="仿宋"/>
          <w:szCs w:val="21"/>
        </w:rPr>
      </w:pPr>
    </w:p>
    <w:p w14:paraId="7DBB48E0">
      <w:pPr>
        <w:pStyle w:val="19"/>
        <w:spacing w:after="0"/>
        <w:rPr>
          <w:rFonts w:eastAsia="仿宋"/>
          <w:szCs w:val="21"/>
        </w:rPr>
      </w:pPr>
    </w:p>
    <w:p w14:paraId="37BF1E1F">
      <w:pPr>
        <w:pStyle w:val="19"/>
        <w:spacing w:after="0"/>
        <w:ind w:left="0" w:leftChars="0" w:firstLine="0" w:firstLineChars="0"/>
        <w:rPr>
          <w:rFonts w:eastAsia="仿宋"/>
          <w:szCs w:val="21"/>
        </w:rPr>
      </w:pPr>
    </w:p>
    <w:p w14:paraId="5DFB17D8">
      <w:pPr>
        <w:pStyle w:val="19"/>
        <w:spacing w:after="0"/>
        <w:rPr>
          <w:rFonts w:eastAsia="仿宋"/>
          <w:szCs w:val="21"/>
        </w:rPr>
      </w:pPr>
    </w:p>
    <w:p w14:paraId="00EC8A78">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4F299811">
      <w:pPr>
        <w:pStyle w:val="19"/>
        <w:spacing w:after="0"/>
        <w:rPr>
          <w:rFonts w:eastAsia="仿宋"/>
          <w:szCs w:val="21"/>
        </w:rPr>
      </w:pPr>
    </w:p>
    <w:p w14:paraId="35EBE7C9">
      <w:pPr>
        <w:spacing w:line="348" w:lineRule="auto"/>
        <w:jc w:val="center"/>
        <w:outlineLvl w:val="0"/>
        <w:rPr>
          <w:rFonts w:ascii="Times New Roman" w:hAnsi="Times New Roman" w:eastAsia="仿宋" w:cs="Times New Roman"/>
          <w:b/>
          <w:szCs w:val="21"/>
        </w:rPr>
      </w:pPr>
      <w:bookmarkStart w:id="50" w:name="_Toc160709116"/>
      <w:r>
        <w:rPr>
          <w:rFonts w:ascii="Times New Roman" w:hAnsi="Times New Roman" w:eastAsia="仿宋" w:cs="Times New Roman"/>
          <w:b/>
          <w:szCs w:val="21"/>
        </w:rPr>
        <w:t>7  江永县</w:t>
      </w:r>
      <w:bookmarkEnd w:id="50"/>
    </w:p>
    <w:tbl>
      <w:tblPr>
        <w:tblStyle w:val="20"/>
        <w:tblW w:w="14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709"/>
        <w:gridCol w:w="1458"/>
        <w:gridCol w:w="992"/>
        <w:gridCol w:w="1055"/>
        <w:gridCol w:w="1579"/>
        <w:gridCol w:w="2004"/>
        <w:gridCol w:w="850"/>
        <w:gridCol w:w="2610"/>
      </w:tblGrid>
      <w:tr w14:paraId="049F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BDB96D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3FC6851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4" w:type="dxa"/>
            <w:gridSpan w:val="3"/>
            <w:vAlign w:val="center"/>
          </w:tcPr>
          <w:p w14:paraId="4FD1219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458" w:type="dxa"/>
            <w:vMerge w:val="restart"/>
            <w:vAlign w:val="center"/>
          </w:tcPr>
          <w:p w14:paraId="4B18D52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486E287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5ADB549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79" w:type="dxa"/>
            <w:vMerge w:val="restart"/>
            <w:vAlign w:val="center"/>
          </w:tcPr>
          <w:p w14:paraId="0260483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854" w:type="dxa"/>
            <w:gridSpan w:val="2"/>
            <w:vMerge w:val="restart"/>
            <w:vAlign w:val="center"/>
          </w:tcPr>
          <w:p w14:paraId="71DBC6B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10" w:type="dxa"/>
            <w:vMerge w:val="restart"/>
            <w:vAlign w:val="center"/>
          </w:tcPr>
          <w:p w14:paraId="6C52AC1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768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3B7C583">
            <w:pPr>
              <w:widowControl/>
              <w:rPr>
                <w:rFonts w:ascii="Times New Roman" w:hAnsi="Times New Roman" w:eastAsia="仿宋" w:cs="Times New Roman"/>
                <w:kern w:val="0"/>
                <w:szCs w:val="21"/>
              </w:rPr>
            </w:pPr>
          </w:p>
        </w:tc>
        <w:tc>
          <w:tcPr>
            <w:tcW w:w="851" w:type="dxa"/>
            <w:vMerge w:val="continue"/>
            <w:vAlign w:val="center"/>
          </w:tcPr>
          <w:p w14:paraId="2C20734A">
            <w:pPr>
              <w:widowControl/>
              <w:rPr>
                <w:rFonts w:ascii="Times New Roman" w:hAnsi="Times New Roman" w:eastAsia="仿宋" w:cs="Times New Roman"/>
                <w:kern w:val="0"/>
                <w:szCs w:val="21"/>
              </w:rPr>
            </w:pPr>
          </w:p>
        </w:tc>
        <w:tc>
          <w:tcPr>
            <w:tcW w:w="425" w:type="dxa"/>
            <w:vAlign w:val="center"/>
          </w:tcPr>
          <w:p w14:paraId="7B21E0A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0" w:type="dxa"/>
            <w:vAlign w:val="center"/>
          </w:tcPr>
          <w:p w14:paraId="710B0EE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09" w:type="dxa"/>
            <w:vAlign w:val="center"/>
          </w:tcPr>
          <w:p w14:paraId="0579820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458" w:type="dxa"/>
            <w:vMerge w:val="continue"/>
            <w:vAlign w:val="center"/>
          </w:tcPr>
          <w:p w14:paraId="387565D1">
            <w:pPr>
              <w:widowControl/>
              <w:rPr>
                <w:rFonts w:ascii="Times New Roman" w:hAnsi="Times New Roman" w:eastAsia="仿宋" w:cs="Times New Roman"/>
                <w:kern w:val="0"/>
                <w:szCs w:val="21"/>
              </w:rPr>
            </w:pPr>
          </w:p>
        </w:tc>
        <w:tc>
          <w:tcPr>
            <w:tcW w:w="992" w:type="dxa"/>
            <w:vMerge w:val="continue"/>
            <w:vAlign w:val="center"/>
          </w:tcPr>
          <w:p w14:paraId="66517D50">
            <w:pPr>
              <w:widowControl/>
              <w:rPr>
                <w:rFonts w:ascii="Times New Roman" w:hAnsi="Times New Roman" w:eastAsia="仿宋" w:cs="Times New Roman"/>
                <w:kern w:val="0"/>
                <w:szCs w:val="21"/>
              </w:rPr>
            </w:pPr>
          </w:p>
        </w:tc>
        <w:tc>
          <w:tcPr>
            <w:tcW w:w="1055" w:type="dxa"/>
            <w:vMerge w:val="continue"/>
            <w:vAlign w:val="center"/>
          </w:tcPr>
          <w:p w14:paraId="2595ED9C">
            <w:pPr>
              <w:widowControl/>
              <w:rPr>
                <w:rFonts w:ascii="Times New Roman" w:hAnsi="Times New Roman" w:eastAsia="仿宋" w:cs="Times New Roman"/>
                <w:kern w:val="0"/>
                <w:szCs w:val="21"/>
              </w:rPr>
            </w:pPr>
          </w:p>
        </w:tc>
        <w:tc>
          <w:tcPr>
            <w:tcW w:w="1579" w:type="dxa"/>
            <w:vMerge w:val="continue"/>
            <w:vAlign w:val="center"/>
          </w:tcPr>
          <w:p w14:paraId="60BF859E">
            <w:pPr>
              <w:widowControl/>
              <w:rPr>
                <w:rFonts w:ascii="Times New Roman" w:hAnsi="Times New Roman" w:eastAsia="仿宋" w:cs="Times New Roman"/>
                <w:kern w:val="0"/>
                <w:szCs w:val="21"/>
              </w:rPr>
            </w:pPr>
          </w:p>
        </w:tc>
        <w:tc>
          <w:tcPr>
            <w:tcW w:w="2854" w:type="dxa"/>
            <w:gridSpan w:val="2"/>
            <w:vMerge w:val="continue"/>
            <w:vAlign w:val="center"/>
          </w:tcPr>
          <w:p w14:paraId="0E0A0BBC">
            <w:pPr>
              <w:widowControl/>
              <w:rPr>
                <w:rFonts w:ascii="Times New Roman" w:hAnsi="Times New Roman" w:eastAsia="仿宋" w:cs="Times New Roman"/>
                <w:kern w:val="0"/>
                <w:szCs w:val="21"/>
              </w:rPr>
            </w:pPr>
          </w:p>
        </w:tc>
        <w:tc>
          <w:tcPr>
            <w:tcW w:w="2610" w:type="dxa"/>
            <w:vMerge w:val="continue"/>
            <w:vAlign w:val="center"/>
          </w:tcPr>
          <w:p w14:paraId="47B07788">
            <w:pPr>
              <w:widowControl/>
              <w:rPr>
                <w:rFonts w:ascii="Times New Roman" w:hAnsi="Times New Roman" w:eastAsia="仿宋" w:cs="Times New Roman"/>
                <w:kern w:val="0"/>
                <w:szCs w:val="21"/>
              </w:rPr>
            </w:pPr>
          </w:p>
        </w:tc>
      </w:tr>
      <w:tr w14:paraId="5E53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219814BE">
            <w:pPr>
              <w:widowControl/>
              <w:rPr>
                <w:rFonts w:ascii="Times New Roman" w:hAnsi="Times New Roman" w:eastAsia="仿宋" w:cs="Times New Roman"/>
                <w:kern w:val="0"/>
                <w:szCs w:val="21"/>
              </w:rPr>
            </w:pPr>
            <w:r>
              <w:rPr>
                <w:rFonts w:ascii="Times New Roman" w:hAnsi="Times New Roman" w:eastAsia="仿宋" w:cs="Times New Roman"/>
                <w:kern w:val="0"/>
                <w:szCs w:val="21"/>
              </w:rPr>
              <w:t>ZH43112510001</w:t>
            </w:r>
          </w:p>
        </w:tc>
        <w:tc>
          <w:tcPr>
            <w:tcW w:w="851" w:type="dxa"/>
            <w:vAlign w:val="center"/>
          </w:tcPr>
          <w:p w14:paraId="3E9C4D3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兰溪瑶族乡</w:t>
            </w:r>
          </w:p>
        </w:tc>
        <w:tc>
          <w:tcPr>
            <w:tcW w:w="425" w:type="dxa"/>
            <w:vAlign w:val="center"/>
          </w:tcPr>
          <w:p w14:paraId="2EF04D6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0" w:type="dxa"/>
            <w:vAlign w:val="center"/>
          </w:tcPr>
          <w:p w14:paraId="68C8A75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709" w:type="dxa"/>
            <w:vAlign w:val="center"/>
          </w:tcPr>
          <w:p w14:paraId="699DB0B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1458" w:type="dxa"/>
            <w:vAlign w:val="center"/>
          </w:tcPr>
          <w:p w14:paraId="0768A0E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1AF976DC">
            <w:pPr>
              <w:widowControl/>
              <w:jc w:val="center"/>
              <w:rPr>
                <w:rFonts w:ascii="Times New Roman" w:hAnsi="Times New Roman" w:eastAsia="仿宋" w:cs="Times New Roman"/>
                <w:kern w:val="0"/>
                <w:szCs w:val="21"/>
              </w:rPr>
            </w:pPr>
            <w:r>
              <w:rPr>
                <w:rFonts w:ascii="Times New Roman" w:hAnsi="Times New Roman" w:eastAsia="仿宋" w:cs="Times New Roman"/>
                <w:szCs w:val="21"/>
              </w:rPr>
              <w:t>64.36</w:t>
            </w:r>
          </w:p>
        </w:tc>
        <w:tc>
          <w:tcPr>
            <w:tcW w:w="1055" w:type="dxa"/>
            <w:vAlign w:val="center"/>
          </w:tcPr>
          <w:p w14:paraId="565BDEF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兰溪瑶族乡</w:t>
            </w:r>
          </w:p>
        </w:tc>
        <w:tc>
          <w:tcPr>
            <w:tcW w:w="1579" w:type="dxa"/>
            <w:vAlign w:val="center"/>
          </w:tcPr>
          <w:p w14:paraId="07280A8B">
            <w:pPr>
              <w:widowControl/>
              <w:jc w:val="center"/>
              <w:rPr>
                <w:rFonts w:ascii="Times New Roman" w:hAnsi="Times New Roman" w:eastAsia="仿宋" w:cs="Times New Roman"/>
                <w:kern w:val="0"/>
                <w:szCs w:val="21"/>
              </w:rPr>
            </w:pPr>
            <w:r>
              <w:rPr>
                <w:rFonts w:ascii="Times New Roman" w:hAnsi="Times New Roman" w:eastAsia="仿宋" w:cs="Times New Roman"/>
                <w:szCs w:val="21"/>
              </w:rPr>
              <w:t>重点生态功能区/历史文化资源富集区</w:t>
            </w:r>
          </w:p>
        </w:tc>
        <w:tc>
          <w:tcPr>
            <w:tcW w:w="2854" w:type="dxa"/>
            <w:gridSpan w:val="2"/>
            <w:vAlign w:val="center"/>
          </w:tcPr>
          <w:p w14:paraId="0011A78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农业、林业、旅游业。</w:t>
            </w:r>
          </w:p>
        </w:tc>
        <w:tc>
          <w:tcPr>
            <w:tcW w:w="2610" w:type="dxa"/>
            <w:vAlign w:val="center"/>
          </w:tcPr>
          <w:p w14:paraId="79024B2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79C5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6DDF23A">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2953" w:type="dxa"/>
            <w:gridSpan w:val="11"/>
            <w:vAlign w:val="center"/>
          </w:tcPr>
          <w:p w14:paraId="0717F6A3">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生物多样性保护功能重要区/水源涵养重要区/水土流失敏感区/原生态红线/石漠化敏感区/水土保持功能重要区）；水环境一般管控区；大气环境受体敏感重点管控区；农用地优先保护区/其他重点管控区/一般管控区</w:t>
            </w:r>
          </w:p>
        </w:tc>
      </w:tr>
      <w:tr w14:paraId="257A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62DAE2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9493" w:type="dxa"/>
            <w:gridSpan w:val="9"/>
            <w:vAlign w:val="center"/>
          </w:tcPr>
          <w:p w14:paraId="18B7C9B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3460" w:type="dxa"/>
            <w:gridSpan w:val="2"/>
            <w:vAlign w:val="center"/>
          </w:tcPr>
          <w:p w14:paraId="09A84A2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6A5C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4D9088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493" w:type="dxa"/>
            <w:gridSpan w:val="9"/>
            <w:vAlign w:val="center"/>
          </w:tcPr>
          <w:p w14:paraId="55BD406A">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（1.1）产业准入应符合“江永县产业准入负面清单”的规定。积极推进农业产业基地建设。</w:t>
            </w:r>
          </w:p>
          <w:p w14:paraId="1A97BE76">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tc>
        <w:tc>
          <w:tcPr>
            <w:tcW w:w="3460" w:type="dxa"/>
            <w:gridSpan w:val="2"/>
            <w:vMerge w:val="restart"/>
            <w:vAlign w:val="center"/>
          </w:tcPr>
          <w:p w14:paraId="720970B6">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355063DA">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3050221F">
            <w:pPr>
              <w:widowControl/>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45C1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5F736A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493" w:type="dxa"/>
            <w:gridSpan w:val="9"/>
            <w:vAlign w:val="center"/>
          </w:tcPr>
          <w:p w14:paraId="39CE2CD3">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（2.1）严禁秸秆、生活垃圾露天焚烧。</w:t>
            </w:r>
          </w:p>
        </w:tc>
        <w:tc>
          <w:tcPr>
            <w:tcW w:w="3460" w:type="dxa"/>
            <w:gridSpan w:val="2"/>
            <w:vMerge w:val="continue"/>
            <w:vAlign w:val="center"/>
          </w:tcPr>
          <w:p w14:paraId="1208FC05">
            <w:pPr>
              <w:widowControl/>
              <w:rPr>
                <w:rFonts w:ascii="Times New Roman" w:hAnsi="Times New Roman" w:eastAsia="仿宋" w:cs="Times New Roman"/>
                <w:kern w:val="0"/>
                <w:szCs w:val="21"/>
              </w:rPr>
            </w:pPr>
          </w:p>
        </w:tc>
      </w:tr>
      <w:tr w14:paraId="54F4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69A7BE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493" w:type="dxa"/>
            <w:gridSpan w:val="9"/>
            <w:vAlign w:val="center"/>
          </w:tcPr>
          <w:p w14:paraId="10E5E373">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szCs w:val="21"/>
              </w:rPr>
              <w:t>执行湖南省总体要求、永州市基本要求中与环境风险防控有关的规定。</w:t>
            </w:r>
          </w:p>
        </w:tc>
        <w:tc>
          <w:tcPr>
            <w:tcW w:w="3460" w:type="dxa"/>
            <w:gridSpan w:val="2"/>
            <w:vMerge w:val="continue"/>
            <w:vAlign w:val="center"/>
          </w:tcPr>
          <w:p w14:paraId="72E6C23E">
            <w:pPr>
              <w:widowControl/>
              <w:rPr>
                <w:rFonts w:ascii="Times New Roman" w:hAnsi="Times New Roman" w:eastAsia="仿宋" w:cs="Times New Roman"/>
                <w:kern w:val="0"/>
                <w:szCs w:val="21"/>
              </w:rPr>
            </w:pPr>
          </w:p>
        </w:tc>
      </w:tr>
      <w:tr w14:paraId="432D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04BAF7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493" w:type="dxa"/>
            <w:gridSpan w:val="9"/>
            <w:vAlign w:val="center"/>
          </w:tcPr>
          <w:p w14:paraId="04EB59CF">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36765983">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（4.2）到2025年，江永县用水总量目标为14923万m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3460" w:type="dxa"/>
            <w:gridSpan w:val="2"/>
            <w:vMerge w:val="continue"/>
            <w:vAlign w:val="center"/>
          </w:tcPr>
          <w:p w14:paraId="3992EA38">
            <w:pPr>
              <w:widowControl/>
              <w:rPr>
                <w:rFonts w:ascii="Times New Roman" w:hAnsi="Times New Roman" w:eastAsia="仿宋" w:cs="Times New Roman"/>
                <w:kern w:val="0"/>
                <w:szCs w:val="21"/>
              </w:rPr>
            </w:pPr>
          </w:p>
        </w:tc>
      </w:tr>
    </w:tbl>
    <w:p w14:paraId="206FCD28">
      <w:pPr>
        <w:jc w:val="left"/>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仿宋" w:cs="Times New Roman"/>
          <w:b/>
          <w:szCs w:val="21"/>
        </w:rPr>
        <w:br w:type="page"/>
      </w:r>
    </w:p>
    <w:tbl>
      <w:tblPr>
        <w:tblStyle w:val="20"/>
        <w:tblW w:w="14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838"/>
        <w:gridCol w:w="425"/>
        <w:gridCol w:w="426"/>
        <w:gridCol w:w="425"/>
        <w:gridCol w:w="1134"/>
        <w:gridCol w:w="1134"/>
        <w:gridCol w:w="1276"/>
        <w:gridCol w:w="1134"/>
        <w:gridCol w:w="1275"/>
        <w:gridCol w:w="1257"/>
        <w:gridCol w:w="2629"/>
      </w:tblGrid>
      <w:tr w14:paraId="66C9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DE5BB9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838" w:type="dxa"/>
            <w:vMerge w:val="restart"/>
            <w:vAlign w:val="center"/>
          </w:tcPr>
          <w:p w14:paraId="36BCA44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3"/>
            <w:vAlign w:val="center"/>
          </w:tcPr>
          <w:p w14:paraId="1CA228D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68AB151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6F10155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6" w:type="dxa"/>
            <w:vMerge w:val="restart"/>
            <w:vAlign w:val="center"/>
          </w:tcPr>
          <w:p w14:paraId="3E70018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34" w:type="dxa"/>
            <w:vMerge w:val="restart"/>
            <w:vAlign w:val="center"/>
          </w:tcPr>
          <w:p w14:paraId="6079E3F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532" w:type="dxa"/>
            <w:gridSpan w:val="2"/>
            <w:vMerge w:val="restart"/>
            <w:vAlign w:val="center"/>
          </w:tcPr>
          <w:p w14:paraId="055CF44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29" w:type="dxa"/>
            <w:vMerge w:val="restart"/>
            <w:vAlign w:val="center"/>
          </w:tcPr>
          <w:p w14:paraId="5638D38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6670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C124DC9">
            <w:pPr>
              <w:widowControl/>
              <w:rPr>
                <w:rFonts w:ascii="Times New Roman" w:hAnsi="Times New Roman" w:eastAsia="仿宋" w:cs="Times New Roman"/>
                <w:kern w:val="0"/>
                <w:szCs w:val="21"/>
              </w:rPr>
            </w:pPr>
          </w:p>
        </w:tc>
        <w:tc>
          <w:tcPr>
            <w:tcW w:w="1838" w:type="dxa"/>
            <w:vMerge w:val="continue"/>
            <w:vAlign w:val="center"/>
          </w:tcPr>
          <w:p w14:paraId="6E487398">
            <w:pPr>
              <w:widowControl/>
              <w:rPr>
                <w:rFonts w:ascii="Times New Roman" w:hAnsi="Times New Roman" w:eastAsia="仿宋" w:cs="Times New Roman"/>
                <w:kern w:val="0"/>
                <w:szCs w:val="21"/>
              </w:rPr>
            </w:pPr>
          </w:p>
        </w:tc>
        <w:tc>
          <w:tcPr>
            <w:tcW w:w="425" w:type="dxa"/>
            <w:vAlign w:val="center"/>
          </w:tcPr>
          <w:p w14:paraId="42F20C3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6" w:type="dxa"/>
            <w:vAlign w:val="center"/>
          </w:tcPr>
          <w:p w14:paraId="1CE1644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4D51A0E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04D2E518">
            <w:pPr>
              <w:widowControl/>
              <w:rPr>
                <w:rFonts w:ascii="Times New Roman" w:hAnsi="Times New Roman" w:eastAsia="仿宋" w:cs="Times New Roman"/>
                <w:kern w:val="0"/>
                <w:szCs w:val="21"/>
              </w:rPr>
            </w:pPr>
          </w:p>
        </w:tc>
        <w:tc>
          <w:tcPr>
            <w:tcW w:w="1134" w:type="dxa"/>
            <w:vMerge w:val="continue"/>
            <w:vAlign w:val="center"/>
          </w:tcPr>
          <w:p w14:paraId="793C1F4C">
            <w:pPr>
              <w:widowControl/>
              <w:rPr>
                <w:rFonts w:ascii="Times New Roman" w:hAnsi="Times New Roman" w:eastAsia="仿宋" w:cs="Times New Roman"/>
                <w:kern w:val="0"/>
                <w:szCs w:val="21"/>
              </w:rPr>
            </w:pPr>
          </w:p>
        </w:tc>
        <w:tc>
          <w:tcPr>
            <w:tcW w:w="1276" w:type="dxa"/>
            <w:vMerge w:val="continue"/>
            <w:vAlign w:val="center"/>
          </w:tcPr>
          <w:p w14:paraId="59D5F040">
            <w:pPr>
              <w:widowControl/>
              <w:rPr>
                <w:rFonts w:ascii="Times New Roman" w:hAnsi="Times New Roman" w:eastAsia="仿宋" w:cs="Times New Roman"/>
                <w:kern w:val="0"/>
                <w:szCs w:val="21"/>
              </w:rPr>
            </w:pPr>
          </w:p>
        </w:tc>
        <w:tc>
          <w:tcPr>
            <w:tcW w:w="1134" w:type="dxa"/>
            <w:vMerge w:val="continue"/>
            <w:vAlign w:val="center"/>
          </w:tcPr>
          <w:p w14:paraId="3566D0ED">
            <w:pPr>
              <w:widowControl/>
              <w:rPr>
                <w:rFonts w:ascii="Times New Roman" w:hAnsi="Times New Roman" w:eastAsia="仿宋" w:cs="Times New Roman"/>
                <w:kern w:val="0"/>
                <w:szCs w:val="21"/>
              </w:rPr>
            </w:pPr>
          </w:p>
        </w:tc>
        <w:tc>
          <w:tcPr>
            <w:tcW w:w="2532" w:type="dxa"/>
            <w:gridSpan w:val="2"/>
            <w:vMerge w:val="continue"/>
            <w:vAlign w:val="center"/>
          </w:tcPr>
          <w:p w14:paraId="51499C69">
            <w:pPr>
              <w:widowControl/>
              <w:rPr>
                <w:rFonts w:ascii="Times New Roman" w:hAnsi="Times New Roman" w:eastAsia="仿宋" w:cs="Times New Roman"/>
                <w:kern w:val="0"/>
                <w:szCs w:val="21"/>
              </w:rPr>
            </w:pPr>
          </w:p>
        </w:tc>
        <w:tc>
          <w:tcPr>
            <w:tcW w:w="2629" w:type="dxa"/>
            <w:vMerge w:val="continue"/>
            <w:vAlign w:val="center"/>
          </w:tcPr>
          <w:p w14:paraId="1862099A">
            <w:pPr>
              <w:widowControl/>
              <w:rPr>
                <w:rFonts w:ascii="Times New Roman" w:hAnsi="Times New Roman" w:eastAsia="仿宋" w:cs="Times New Roman"/>
                <w:kern w:val="0"/>
                <w:szCs w:val="21"/>
              </w:rPr>
            </w:pPr>
          </w:p>
        </w:tc>
      </w:tr>
      <w:tr w14:paraId="723D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512D29CD">
            <w:pPr>
              <w:widowControl/>
              <w:rPr>
                <w:rFonts w:ascii="Times New Roman" w:hAnsi="Times New Roman" w:eastAsia="仿宋" w:cs="Times New Roman"/>
                <w:kern w:val="0"/>
                <w:szCs w:val="21"/>
              </w:rPr>
            </w:pPr>
            <w:r>
              <w:rPr>
                <w:rFonts w:ascii="Times New Roman" w:hAnsi="Times New Roman" w:eastAsia="仿宋" w:cs="Times New Roman"/>
                <w:kern w:val="0"/>
                <w:szCs w:val="21"/>
              </w:rPr>
              <w:t>ZH43112510002</w:t>
            </w:r>
          </w:p>
        </w:tc>
        <w:tc>
          <w:tcPr>
            <w:tcW w:w="1838" w:type="dxa"/>
            <w:vAlign w:val="center"/>
          </w:tcPr>
          <w:p w14:paraId="7AB6D3E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上江圩镇/松柏瑶族乡</w:t>
            </w:r>
          </w:p>
        </w:tc>
        <w:tc>
          <w:tcPr>
            <w:tcW w:w="425" w:type="dxa"/>
            <w:vAlign w:val="center"/>
          </w:tcPr>
          <w:p w14:paraId="169BC1C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501DD1E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425" w:type="dxa"/>
            <w:vAlign w:val="center"/>
          </w:tcPr>
          <w:p w14:paraId="72A5382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1134" w:type="dxa"/>
            <w:vAlign w:val="center"/>
          </w:tcPr>
          <w:p w14:paraId="4EF459A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134" w:type="dxa"/>
            <w:vAlign w:val="center"/>
          </w:tcPr>
          <w:p w14:paraId="3856BE64">
            <w:pPr>
              <w:widowControl/>
              <w:jc w:val="center"/>
              <w:rPr>
                <w:rFonts w:ascii="Times New Roman" w:hAnsi="Times New Roman" w:eastAsia="仿宋" w:cs="Times New Roman"/>
                <w:kern w:val="0"/>
                <w:szCs w:val="21"/>
              </w:rPr>
            </w:pPr>
            <w:r>
              <w:rPr>
                <w:rFonts w:ascii="Times New Roman" w:hAnsi="Times New Roman" w:eastAsia="仿宋" w:cs="Times New Roman"/>
                <w:szCs w:val="21"/>
              </w:rPr>
              <w:t>321.42</w:t>
            </w:r>
          </w:p>
        </w:tc>
        <w:tc>
          <w:tcPr>
            <w:tcW w:w="1276" w:type="dxa"/>
            <w:vAlign w:val="center"/>
          </w:tcPr>
          <w:p w14:paraId="0933C47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上江圩镇/松柏瑶族乡</w:t>
            </w:r>
          </w:p>
        </w:tc>
        <w:tc>
          <w:tcPr>
            <w:tcW w:w="1134" w:type="dxa"/>
            <w:vAlign w:val="center"/>
          </w:tcPr>
          <w:p w14:paraId="10445FE7">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上江圩镇：</w:t>
            </w:r>
            <w:r>
              <w:rPr>
                <w:rFonts w:ascii="Times New Roman" w:hAnsi="Times New Roman" w:eastAsia="仿宋" w:cs="Times New Roman"/>
                <w:kern w:val="0"/>
                <w:szCs w:val="21"/>
              </w:rPr>
              <w:t>农产品主产区/历史文化资源富集区；</w:t>
            </w:r>
          </w:p>
          <w:p w14:paraId="4BE9032B">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松柏瑶族乡：</w:t>
            </w:r>
            <w:r>
              <w:rPr>
                <w:rFonts w:ascii="Times New Roman" w:hAnsi="Times New Roman" w:eastAsia="仿宋" w:cs="Times New Roman"/>
                <w:kern w:val="0"/>
                <w:szCs w:val="21"/>
              </w:rPr>
              <w:t>重点生态功能区</w:t>
            </w:r>
          </w:p>
        </w:tc>
        <w:tc>
          <w:tcPr>
            <w:tcW w:w="2532" w:type="dxa"/>
            <w:gridSpan w:val="2"/>
            <w:vAlign w:val="center"/>
          </w:tcPr>
          <w:p w14:paraId="1F26768E">
            <w:pPr>
              <w:pStyle w:val="8"/>
              <w:jc w:val="center"/>
              <w:rPr>
                <w:rFonts w:eastAsia="仿宋"/>
                <w:sz w:val="21"/>
                <w:szCs w:val="21"/>
              </w:rPr>
            </w:pPr>
            <w:r>
              <w:rPr>
                <w:rFonts w:eastAsia="仿宋"/>
                <w:sz w:val="21"/>
                <w:szCs w:val="21"/>
              </w:rPr>
              <w:t>农业、养殖业、旅游业、光伏风电、建材、矿山开采、石灰和石膏制造、有色金属采选。</w:t>
            </w:r>
          </w:p>
        </w:tc>
        <w:tc>
          <w:tcPr>
            <w:tcW w:w="2629" w:type="dxa"/>
            <w:vAlign w:val="center"/>
          </w:tcPr>
          <w:p w14:paraId="142EB947">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749F63C8">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湖南江永永明河国家湿地公园等。</w:t>
            </w:r>
          </w:p>
        </w:tc>
      </w:tr>
      <w:tr w14:paraId="2A83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653AAD8">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2953" w:type="dxa"/>
            <w:gridSpan w:val="11"/>
            <w:vAlign w:val="center"/>
          </w:tcPr>
          <w:p w14:paraId="14586F85">
            <w:pPr>
              <w:widowControl/>
              <w:rPr>
                <w:rFonts w:ascii="Times New Roman" w:hAnsi="Times New Roman" w:eastAsia="仿宋" w:cs="Times New Roman"/>
                <w:szCs w:val="21"/>
              </w:rPr>
            </w:pPr>
            <w:r>
              <w:rPr>
                <w:rFonts w:ascii="Times New Roman" w:hAnsi="Times New Roman" w:eastAsia="仿宋" w:cs="Times New Roman"/>
                <w:b/>
                <w:bCs/>
                <w:szCs w:val="21"/>
              </w:rPr>
              <w:t>上江圩镇：</w:t>
            </w:r>
          </w:p>
          <w:p w14:paraId="5F04CEC0">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生物多样性保护功能重要区/三区三线生态红线/湿地公园/水土流失敏感区/水土保持功能重要区/原生态红线）；水环境优先保护区/水环境其他重点管控区；大气环境优先保护区/大气环境受体敏感重点管控区；农用地优先保护区/建设用地重点管控区/其他重点管控区/一般管控区</w:t>
            </w:r>
          </w:p>
          <w:p w14:paraId="62618D5A">
            <w:pPr>
              <w:widowControl/>
              <w:rPr>
                <w:rFonts w:ascii="Times New Roman" w:hAnsi="Times New Roman" w:eastAsia="仿宋" w:cs="Times New Roman"/>
                <w:kern w:val="0"/>
                <w:szCs w:val="21"/>
              </w:rPr>
            </w:pPr>
            <w:r>
              <w:rPr>
                <w:rFonts w:ascii="Times New Roman" w:hAnsi="Times New Roman" w:eastAsia="仿宋" w:cs="Times New Roman"/>
                <w:b/>
                <w:bCs/>
                <w:szCs w:val="21"/>
              </w:rPr>
              <w:t>松柏瑶族乡：</w:t>
            </w:r>
          </w:p>
          <w:p w14:paraId="1F9EF952">
            <w:pPr>
              <w:widowControl/>
              <w:rPr>
                <w:rFonts w:ascii="Times New Roman" w:hAnsi="Times New Roman" w:eastAsia="仿宋" w:cs="Times New Roman"/>
                <w:szCs w:val="21"/>
              </w:rPr>
            </w:pPr>
            <w:r>
              <w:rPr>
                <w:rFonts w:ascii="Times New Roman" w:hAnsi="Times New Roman" w:eastAsia="仿宋" w:cs="Times New Roman"/>
                <w:szCs w:val="21"/>
              </w:rPr>
              <w:t>红线/一般生态空间（生物多样性保护功能重要区/水源涵养重要区/三区三线生态红线/水土保持功能重要区/原生态红线/水土流失敏感区/湿地公园）；水环境优先保护区/水环境其他重点管控区/水环境一般管控区；大气环境优先保护区/大气环境受体敏感重点管控区；农用地优先保护区/其他重点管控区/一般管控区</w:t>
            </w:r>
          </w:p>
        </w:tc>
      </w:tr>
      <w:tr w14:paraId="66BB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13C90E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9067" w:type="dxa"/>
            <w:gridSpan w:val="9"/>
            <w:vAlign w:val="center"/>
          </w:tcPr>
          <w:p w14:paraId="73E899B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3886" w:type="dxa"/>
            <w:gridSpan w:val="2"/>
            <w:vAlign w:val="center"/>
          </w:tcPr>
          <w:p w14:paraId="4A87BA4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0EA1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134" w:type="dxa"/>
            <w:vAlign w:val="center"/>
          </w:tcPr>
          <w:p w14:paraId="506A8FF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067" w:type="dxa"/>
            <w:gridSpan w:val="9"/>
            <w:vAlign w:val="center"/>
          </w:tcPr>
          <w:p w14:paraId="13B009F9">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（1.1）产业准入应符合“江永县产业准入负面清单”的规定。积极推进农业产业基地建设。</w:t>
            </w:r>
          </w:p>
          <w:p w14:paraId="78482B49">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tc>
        <w:tc>
          <w:tcPr>
            <w:tcW w:w="3886" w:type="dxa"/>
            <w:gridSpan w:val="2"/>
            <w:vMerge w:val="restart"/>
            <w:vAlign w:val="center"/>
          </w:tcPr>
          <w:p w14:paraId="6DAE36F2">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179ED6DE">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12226995">
            <w:pPr>
              <w:widowControl/>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4CEB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134" w:type="dxa"/>
            <w:vAlign w:val="center"/>
          </w:tcPr>
          <w:p w14:paraId="7A39A34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067" w:type="dxa"/>
            <w:gridSpan w:val="9"/>
            <w:vAlign w:val="center"/>
          </w:tcPr>
          <w:p w14:paraId="2CEAD5DE">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（2.1）严禁秸秆、生活垃圾露天焚烧。</w:t>
            </w:r>
          </w:p>
        </w:tc>
        <w:tc>
          <w:tcPr>
            <w:tcW w:w="3886" w:type="dxa"/>
            <w:gridSpan w:val="2"/>
            <w:vMerge w:val="continue"/>
            <w:vAlign w:val="center"/>
          </w:tcPr>
          <w:p w14:paraId="7ECE4CB6">
            <w:pPr>
              <w:widowControl/>
              <w:rPr>
                <w:rFonts w:ascii="Times New Roman" w:hAnsi="Times New Roman" w:eastAsia="仿宋" w:cs="Times New Roman"/>
                <w:kern w:val="0"/>
                <w:szCs w:val="21"/>
              </w:rPr>
            </w:pPr>
          </w:p>
        </w:tc>
      </w:tr>
      <w:tr w14:paraId="3FCB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076987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067" w:type="dxa"/>
            <w:gridSpan w:val="9"/>
            <w:vAlign w:val="center"/>
          </w:tcPr>
          <w:p w14:paraId="7396F6BD">
            <w:pPr>
              <w:widowControl/>
              <w:ind w:firstLine="420" w:firstLineChars="200"/>
              <w:rPr>
                <w:rFonts w:ascii="Times New Roman" w:hAnsi="Times New Roman" w:eastAsia="仿宋" w:cs="Times New Roman"/>
                <w:strike/>
                <w:kern w:val="0"/>
                <w:szCs w:val="21"/>
              </w:rPr>
            </w:pPr>
            <w:r>
              <w:rPr>
                <w:rFonts w:ascii="Times New Roman" w:hAnsi="Times New Roman" w:eastAsia="仿宋" w:cs="Times New Roman"/>
                <w:kern w:val="0"/>
                <w:szCs w:val="21"/>
              </w:rPr>
              <w:t>（3.1）</w:t>
            </w:r>
            <w:r>
              <w:rPr>
                <w:rFonts w:ascii="Times New Roman" w:hAnsi="Times New Roman" w:eastAsia="仿宋" w:cs="Times New Roman"/>
                <w:szCs w:val="21"/>
              </w:rPr>
              <w:t>执行湖南省总体要求、永州市基本要求中与环境风险防控有关的规定。</w:t>
            </w:r>
          </w:p>
        </w:tc>
        <w:tc>
          <w:tcPr>
            <w:tcW w:w="3886" w:type="dxa"/>
            <w:gridSpan w:val="2"/>
            <w:vMerge w:val="continue"/>
            <w:vAlign w:val="center"/>
          </w:tcPr>
          <w:p w14:paraId="0C402880">
            <w:pPr>
              <w:widowControl/>
              <w:rPr>
                <w:rFonts w:ascii="Times New Roman" w:hAnsi="Times New Roman" w:eastAsia="仿宋" w:cs="Times New Roman"/>
                <w:kern w:val="0"/>
                <w:szCs w:val="21"/>
              </w:rPr>
            </w:pPr>
          </w:p>
        </w:tc>
      </w:tr>
      <w:tr w14:paraId="4C6E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D65B1B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067" w:type="dxa"/>
            <w:gridSpan w:val="9"/>
            <w:vAlign w:val="center"/>
          </w:tcPr>
          <w:p w14:paraId="330D1F29">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49A1624E">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（4.2）到2025年，江永县用水总量目标为14923万m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3886" w:type="dxa"/>
            <w:gridSpan w:val="2"/>
            <w:vMerge w:val="continue"/>
            <w:vAlign w:val="center"/>
          </w:tcPr>
          <w:p w14:paraId="4672ABB1">
            <w:pPr>
              <w:widowControl/>
              <w:rPr>
                <w:rFonts w:ascii="Times New Roman" w:hAnsi="Times New Roman" w:eastAsia="仿宋" w:cs="Times New Roman"/>
                <w:kern w:val="0"/>
                <w:szCs w:val="21"/>
              </w:rPr>
            </w:pPr>
          </w:p>
        </w:tc>
      </w:tr>
    </w:tbl>
    <w:p w14:paraId="3DCFE1AA">
      <w:pPr>
        <w:jc w:val="left"/>
        <w:rPr>
          <w:rFonts w:ascii="Times New Roman" w:hAnsi="Times New Roman" w:eastAsia="仿宋" w:cs="Times New Roman"/>
          <w:b/>
          <w:szCs w:val="21"/>
        </w:rPr>
      </w:pPr>
    </w:p>
    <w:p w14:paraId="5544BA51">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579"/>
        <w:gridCol w:w="1720"/>
        <w:gridCol w:w="992"/>
        <w:gridCol w:w="2752"/>
      </w:tblGrid>
      <w:tr w14:paraId="5659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61A9DEC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19A5FF4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67DC074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1C10D53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4221FBA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25EE237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79" w:type="dxa"/>
            <w:vMerge w:val="restart"/>
            <w:vAlign w:val="center"/>
          </w:tcPr>
          <w:p w14:paraId="38B91E9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712" w:type="dxa"/>
            <w:gridSpan w:val="2"/>
            <w:vMerge w:val="restart"/>
            <w:vAlign w:val="center"/>
          </w:tcPr>
          <w:p w14:paraId="669E0DE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752" w:type="dxa"/>
            <w:vMerge w:val="restart"/>
            <w:vAlign w:val="center"/>
          </w:tcPr>
          <w:p w14:paraId="3865215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21B1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0BA5804A">
            <w:pPr>
              <w:widowControl/>
              <w:rPr>
                <w:rFonts w:ascii="Times New Roman" w:hAnsi="Times New Roman" w:eastAsia="仿宋" w:cs="Times New Roman"/>
                <w:kern w:val="0"/>
                <w:szCs w:val="21"/>
              </w:rPr>
            </w:pPr>
          </w:p>
        </w:tc>
        <w:tc>
          <w:tcPr>
            <w:tcW w:w="851" w:type="dxa"/>
            <w:vMerge w:val="continue"/>
            <w:vAlign w:val="center"/>
          </w:tcPr>
          <w:p w14:paraId="5509652F">
            <w:pPr>
              <w:widowControl/>
              <w:rPr>
                <w:rFonts w:ascii="Times New Roman" w:hAnsi="Times New Roman" w:eastAsia="仿宋" w:cs="Times New Roman"/>
                <w:kern w:val="0"/>
                <w:szCs w:val="21"/>
              </w:rPr>
            </w:pPr>
          </w:p>
        </w:tc>
        <w:tc>
          <w:tcPr>
            <w:tcW w:w="425" w:type="dxa"/>
            <w:vAlign w:val="center"/>
          </w:tcPr>
          <w:p w14:paraId="305DC8B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66529DC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2465B4A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26080C7A">
            <w:pPr>
              <w:widowControl/>
              <w:rPr>
                <w:rFonts w:ascii="Times New Roman" w:hAnsi="Times New Roman" w:eastAsia="仿宋" w:cs="Times New Roman"/>
                <w:kern w:val="0"/>
                <w:szCs w:val="21"/>
              </w:rPr>
            </w:pPr>
          </w:p>
        </w:tc>
        <w:tc>
          <w:tcPr>
            <w:tcW w:w="992" w:type="dxa"/>
            <w:vMerge w:val="continue"/>
            <w:vAlign w:val="center"/>
          </w:tcPr>
          <w:p w14:paraId="459BFF36">
            <w:pPr>
              <w:widowControl/>
              <w:rPr>
                <w:rFonts w:ascii="Times New Roman" w:hAnsi="Times New Roman" w:eastAsia="仿宋" w:cs="Times New Roman"/>
                <w:kern w:val="0"/>
                <w:szCs w:val="21"/>
              </w:rPr>
            </w:pPr>
          </w:p>
        </w:tc>
        <w:tc>
          <w:tcPr>
            <w:tcW w:w="1055" w:type="dxa"/>
            <w:vMerge w:val="continue"/>
            <w:vAlign w:val="center"/>
          </w:tcPr>
          <w:p w14:paraId="207E3E17">
            <w:pPr>
              <w:widowControl/>
              <w:rPr>
                <w:rFonts w:ascii="Times New Roman" w:hAnsi="Times New Roman" w:eastAsia="仿宋" w:cs="Times New Roman"/>
                <w:kern w:val="0"/>
                <w:szCs w:val="21"/>
              </w:rPr>
            </w:pPr>
          </w:p>
        </w:tc>
        <w:tc>
          <w:tcPr>
            <w:tcW w:w="1579" w:type="dxa"/>
            <w:vMerge w:val="continue"/>
            <w:vAlign w:val="center"/>
          </w:tcPr>
          <w:p w14:paraId="64AEE0F5">
            <w:pPr>
              <w:widowControl/>
              <w:rPr>
                <w:rFonts w:ascii="Times New Roman" w:hAnsi="Times New Roman" w:eastAsia="仿宋" w:cs="Times New Roman"/>
                <w:kern w:val="0"/>
                <w:szCs w:val="21"/>
              </w:rPr>
            </w:pPr>
          </w:p>
        </w:tc>
        <w:tc>
          <w:tcPr>
            <w:tcW w:w="2712" w:type="dxa"/>
            <w:gridSpan w:val="2"/>
            <w:vMerge w:val="continue"/>
            <w:vAlign w:val="center"/>
          </w:tcPr>
          <w:p w14:paraId="26220FE4">
            <w:pPr>
              <w:widowControl/>
              <w:rPr>
                <w:rFonts w:ascii="Times New Roman" w:hAnsi="Times New Roman" w:eastAsia="仿宋" w:cs="Times New Roman"/>
                <w:kern w:val="0"/>
                <w:szCs w:val="21"/>
              </w:rPr>
            </w:pPr>
          </w:p>
        </w:tc>
        <w:tc>
          <w:tcPr>
            <w:tcW w:w="2752" w:type="dxa"/>
            <w:vMerge w:val="continue"/>
            <w:vAlign w:val="center"/>
          </w:tcPr>
          <w:p w14:paraId="3D8EA835">
            <w:pPr>
              <w:widowControl/>
              <w:rPr>
                <w:rFonts w:ascii="Times New Roman" w:hAnsi="Times New Roman" w:eastAsia="仿宋" w:cs="Times New Roman"/>
                <w:kern w:val="0"/>
                <w:szCs w:val="21"/>
              </w:rPr>
            </w:pPr>
          </w:p>
        </w:tc>
      </w:tr>
      <w:tr w14:paraId="5E39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2963D23D">
            <w:pPr>
              <w:widowControl/>
              <w:rPr>
                <w:rFonts w:ascii="Times New Roman" w:hAnsi="Times New Roman" w:eastAsia="仿宋" w:cs="Times New Roman"/>
                <w:kern w:val="0"/>
                <w:szCs w:val="21"/>
              </w:rPr>
            </w:pPr>
            <w:r>
              <w:rPr>
                <w:rFonts w:ascii="Times New Roman" w:hAnsi="Times New Roman" w:eastAsia="仿宋" w:cs="Times New Roman"/>
                <w:kern w:val="0"/>
                <w:szCs w:val="21"/>
              </w:rPr>
              <w:t>ZH43112510003</w:t>
            </w:r>
          </w:p>
        </w:tc>
        <w:tc>
          <w:tcPr>
            <w:tcW w:w="851" w:type="dxa"/>
            <w:vAlign w:val="center"/>
          </w:tcPr>
          <w:p w14:paraId="175938A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源口瑶族乡</w:t>
            </w:r>
          </w:p>
        </w:tc>
        <w:tc>
          <w:tcPr>
            <w:tcW w:w="425" w:type="dxa"/>
            <w:vAlign w:val="center"/>
          </w:tcPr>
          <w:p w14:paraId="4792FE1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43121D1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780" w:type="dxa"/>
            <w:vAlign w:val="center"/>
          </w:tcPr>
          <w:p w14:paraId="627DC85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1134" w:type="dxa"/>
            <w:vAlign w:val="center"/>
          </w:tcPr>
          <w:p w14:paraId="0F7CCCF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3411A90A">
            <w:pPr>
              <w:widowControl/>
              <w:jc w:val="center"/>
              <w:rPr>
                <w:rFonts w:ascii="Times New Roman" w:hAnsi="Times New Roman" w:eastAsia="仿宋" w:cs="Times New Roman"/>
                <w:kern w:val="0"/>
                <w:szCs w:val="21"/>
              </w:rPr>
            </w:pPr>
            <w:r>
              <w:rPr>
                <w:rFonts w:ascii="Times New Roman" w:hAnsi="Times New Roman" w:eastAsia="仿宋" w:cs="Times New Roman"/>
                <w:szCs w:val="21"/>
              </w:rPr>
              <w:t>203.24</w:t>
            </w:r>
          </w:p>
        </w:tc>
        <w:tc>
          <w:tcPr>
            <w:tcW w:w="1055" w:type="dxa"/>
            <w:vAlign w:val="center"/>
          </w:tcPr>
          <w:p w14:paraId="19DDD63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源口瑶族乡</w:t>
            </w:r>
          </w:p>
        </w:tc>
        <w:tc>
          <w:tcPr>
            <w:tcW w:w="1579" w:type="dxa"/>
            <w:vAlign w:val="center"/>
          </w:tcPr>
          <w:p w14:paraId="58BD4EB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重点生态功能区</w:t>
            </w:r>
          </w:p>
        </w:tc>
        <w:tc>
          <w:tcPr>
            <w:tcW w:w="2712" w:type="dxa"/>
            <w:gridSpan w:val="2"/>
            <w:vAlign w:val="center"/>
          </w:tcPr>
          <w:p w14:paraId="6551CCD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农业、林业、养殖业、矿山开采、风电及食品加工业。</w:t>
            </w:r>
          </w:p>
        </w:tc>
        <w:tc>
          <w:tcPr>
            <w:tcW w:w="2752" w:type="dxa"/>
            <w:vAlign w:val="center"/>
          </w:tcPr>
          <w:p w14:paraId="1C8FFD7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tc>
      </w:tr>
      <w:tr w14:paraId="5A46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568927D">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2953" w:type="dxa"/>
            <w:gridSpan w:val="11"/>
            <w:vAlign w:val="center"/>
          </w:tcPr>
          <w:p w14:paraId="482F1EBB">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自然保护区/水源涵养重要区/三区三线生态红线/水土保持功能重要区/生物多样性保护功能重要区/水土流失敏感区/原生态红线）；水环境其他重点管控区/水环境一般管控区；大气环境优先保护区/大气环境受体敏感重点管控区；农用地优先保护区/建设用地重点管控区/其他重点管控区/一般管控区</w:t>
            </w:r>
          </w:p>
        </w:tc>
      </w:tr>
      <w:tr w14:paraId="282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21DF8D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9209" w:type="dxa"/>
            <w:gridSpan w:val="9"/>
            <w:vAlign w:val="center"/>
          </w:tcPr>
          <w:p w14:paraId="35C7498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3744" w:type="dxa"/>
            <w:gridSpan w:val="2"/>
            <w:vAlign w:val="center"/>
          </w:tcPr>
          <w:p w14:paraId="63E6A88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0855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C01C52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209" w:type="dxa"/>
            <w:gridSpan w:val="9"/>
            <w:vAlign w:val="center"/>
          </w:tcPr>
          <w:p w14:paraId="671D76BF">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（1.1）产业准入应符合“江永县产业准入负面清单”的规定。积极推进农业产业基地建设。</w:t>
            </w:r>
          </w:p>
          <w:p w14:paraId="2CFFD95D">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p w14:paraId="7852781E">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（1.3）湖南江永源口自然保护区：执行《湖南省江永源口省级自然保护区管理实施办法》。</w:t>
            </w:r>
          </w:p>
        </w:tc>
        <w:tc>
          <w:tcPr>
            <w:tcW w:w="3744" w:type="dxa"/>
            <w:gridSpan w:val="2"/>
            <w:vMerge w:val="restart"/>
            <w:vAlign w:val="center"/>
          </w:tcPr>
          <w:p w14:paraId="4F905299">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32636CF2">
            <w:pPr>
              <w:widowControl/>
              <w:rPr>
                <w:rFonts w:ascii="Times New Roman" w:hAnsi="Times New Roman" w:eastAsia="仿宋" w:cs="Times New Roman"/>
                <w:kern w:val="0"/>
                <w:szCs w:val="21"/>
              </w:rPr>
            </w:pPr>
            <w:r>
              <w:rPr>
                <w:rFonts w:ascii="Times New Roman" w:hAnsi="Times New Roman" w:eastAsia="仿宋" w:cs="Times New Roman"/>
                <w:kern w:val="0"/>
                <w:szCs w:val="21"/>
              </w:rPr>
              <w:t>（1.3）《湖南省江永源口省级自然保护区管理实施办法》；</w:t>
            </w:r>
          </w:p>
          <w:p w14:paraId="311F798E">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01A51CC9">
            <w:pPr>
              <w:widowControl/>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0EA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9A3B25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209" w:type="dxa"/>
            <w:gridSpan w:val="9"/>
            <w:vAlign w:val="center"/>
          </w:tcPr>
          <w:p w14:paraId="31FE8F7A">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（2.1）严禁秸秆、生活垃圾露天焚烧。</w:t>
            </w:r>
          </w:p>
        </w:tc>
        <w:tc>
          <w:tcPr>
            <w:tcW w:w="3744" w:type="dxa"/>
            <w:gridSpan w:val="2"/>
            <w:vMerge w:val="continue"/>
            <w:vAlign w:val="center"/>
          </w:tcPr>
          <w:p w14:paraId="572EABF8">
            <w:pPr>
              <w:widowControl/>
              <w:rPr>
                <w:rFonts w:ascii="Times New Roman" w:hAnsi="Times New Roman" w:eastAsia="仿宋" w:cs="Times New Roman"/>
                <w:kern w:val="0"/>
                <w:szCs w:val="21"/>
              </w:rPr>
            </w:pPr>
          </w:p>
        </w:tc>
      </w:tr>
      <w:tr w14:paraId="4469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44C700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209" w:type="dxa"/>
            <w:gridSpan w:val="9"/>
            <w:vAlign w:val="center"/>
          </w:tcPr>
          <w:p w14:paraId="33FB5A02">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（3.1）铅锌矿开采区应进行必要的防渗处理。</w:t>
            </w:r>
          </w:p>
        </w:tc>
        <w:tc>
          <w:tcPr>
            <w:tcW w:w="3744" w:type="dxa"/>
            <w:gridSpan w:val="2"/>
            <w:vMerge w:val="continue"/>
            <w:vAlign w:val="center"/>
          </w:tcPr>
          <w:p w14:paraId="725B53DE">
            <w:pPr>
              <w:widowControl/>
              <w:rPr>
                <w:rFonts w:ascii="Times New Roman" w:hAnsi="Times New Roman" w:eastAsia="仿宋" w:cs="Times New Roman"/>
                <w:kern w:val="0"/>
                <w:szCs w:val="21"/>
              </w:rPr>
            </w:pPr>
          </w:p>
        </w:tc>
      </w:tr>
      <w:tr w14:paraId="1F24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2708C5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209" w:type="dxa"/>
            <w:gridSpan w:val="9"/>
            <w:vAlign w:val="center"/>
          </w:tcPr>
          <w:p w14:paraId="4C9F82BB">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0B14EE1D">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（4.2）到2025年，江永县用水总量目标为14923万m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3744" w:type="dxa"/>
            <w:gridSpan w:val="2"/>
            <w:vMerge w:val="continue"/>
            <w:vAlign w:val="center"/>
          </w:tcPr>
          <w:p w14:paraId="33254E2A">
            <w:pPr>
              <w:widowControl/>
              <w:rPr>
                <w:rFonts w:ascii="Times New Roman" w:hAnsi="Times New Roman" w:eastAsia="仿宋" w:cs="Times New Roman"/>
                <w:kern w:val="0"/>
                <w:szCs w:val="21"/>
              </w:rPr>
            </w:pPr>
          </w:p>
        </w:tc>
      </w:tr>
    </w:tbl>
    <w:p w14:paraId="3D72721D">
      <w:pPr>
        <w:jc w:val="left"/>
        <w:rPr>
          <w:rFonts w:ascii="Times New Roman" w:hAnsi="Times New Roman" w:eastAsia="仿宋" w:cs="Times New Roman"/>
          <w:b/>
          <w:szCs w:val="21"/>
        </w:rPr>
      </w:pPr>
    </w:p>
    <w:p w14:paraId="30D6F34F">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tbl>
      <w:tblPr>
        <w:tblStyle w:val="20"/>
        <w:tblW w:w="14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579"/>
        <w:gridCol w:w="1578"/>
        <w:gridCol w:w="1257"/>
        <w:gridCol w:w="2629"/>
      </w:tblGrid>
      <w:tr w14:paraId="09C4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41AE9C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1C7F1BE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2420FB0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202CE57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67422B4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单元面积（km2）</w:t>
            </w:r>
          </w:p>
        </w:tc>
        <w:tc>
          <w:tcPr>
            <w:tcW w:w="1055" w:type="dxa"/>
            <w:vMerge w:val="restart"/>
            <w:vAlign w:val="center"/>
          </w:tcPr>
          <w:p w14:paraId="48BAA42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79" w:type="dxa"/>
            <w:vMerge w:val="restart"/>
            <w:vAlign w:val="center"/>
          </w:tcPr>
          <w:p w14:paraId="52DBEA2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835" w:type="dxa"/>
            <w:gridSpan w:val="2"/>
            <w:vMerge w:val="restart"/>
            <w:vAlign w:val="center"/>
          </w:tcPr>
          <w:p w14:paraId="057CC6F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29" w:type="dxa"/>
            <w:vMerge w:val="restart"/>
            <w:vAlign w:val="center"/>
          </w:tcPr>
          <w:p w14:paraId="3D839DB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B06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3D1087B">
            <w:pPr>
              <w:widowControl/>
              <w:rPr>
                <w:rFonts w:ascii="Times New Roman" w:hAnsi="Times New Roman" w:eastAsia="仿宋" w:cs="Times New Roman"/>
                <w:kern w:val="0"/>
                <w:szCs w:val="21"/>
              </w:rPr>
            </w:pPr>
          </w:p>
        </w:tc>
        <w:tc>
          <w:tcPr>
            <w:tcW w:w="851" w:type="dxa"/>
            <w:vMerge w:val="continue"/>
            <w:vAlign w:val="center"/>
          </w:tcPr>
          <w:p w14:paraId="5204E325">
            <w:pPr>
              <w:widowControl/>
              <w:rPr>
                <w:rFonts w:ascii="Times New Roman" w:hAnsi="Times New Roman" w:eastAsia="仿宋" w:cs="Times New Roman"/>
                <w:kern w:val="0"/>
                <w:szCs w:val="21"/>
              </w:rPr>
            </w:pPr>
          </w:p>
        </w:tc>
        <w:tc>
          <w:tcPr>
            <w:tcW w:w="425" w:type="dxa"/>
            <w:vAlign w:val="center"/>
          </w:tcPr>
          <w:p w14:paraId="6097F78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3CAD47B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1FA9753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0D716F7C">
            <w:pPr>
              <w:widowControl/>
              <w:rPr>
                <w:rFonts w:ascii="Times New Roman" w:hAnsi="Times New Roman" w:eastAsia="仿宋" w:cs="Times New Roman"/>
                <w:kern w:val="0"/>
                <w:szCs w:val="21"/>
              </w:rPr>
            </w:pPr>
          </w:p>
        </w:tc>
        <w:tc>
          <w:tcPr>
            <w:tcW w:w="992" w:type="dxa"/>
            <w:vMerge w:val="continue"/>
            <w:vAlign w:val="center"/>
          </w:tcPr>
          <w:p w14:paraId="16289FCA">
            <w:pPr>
              <w:widowControl/>
              <w:rPr>
                <w:rFonts w:ascii="Times New Roman" w:hAnsi="Times New Roman" w:eastAsia="仿宋" w:cs="Times New Roman"/>
                <w:kern w:val="0"/>
                <w:szCs w:val="21"/>
              </w:rPr>
            </w:pPr>
          </w:p>
        </w:tc>
        <w:tc>
          <w:tcPr>
            <w:tcW w:w="1055" w:type="dxa"/>
            <w:vMerge w:val="continue"/>
            <w:vAlign w:val="center"/>
          </w:tcPr>
          <w:p w14:paraId="2DB893E3">
            <w:pPr>
              <w:widowControl/>
              <w:rPr>
                <w:rFonts w:ascii="Times New Roman" w:hAnsi="Times New Roman" w:eastAsia="仿宋" w:cs="Times New Roman"/>
                <w:kern w:val="0"/>
                <w:szCs w:val="21"/>
              </w:rPr>
            </w:pPr>
          </w:p>
        </w:tc>
        <w:tc>
          <w:tcPr>
            <w:tcW w:w="1579" w:type="dxa"/>
            <w:vMerge w:val="continue"/>
            <w:vAlign w:val="center"/>
          </w:tcPr>
          <w:p w14:paraId="7C5B9823">
            <w:pPr>
              <w:widowControl/>
              <w:rPr>
                <w:rFonts w:ascii="Times New Roman" w:hAnsi="Times New Roman" w:eastAsia="仿宋" w:cs="Times New Roman"/>
                <w:kern w:val="0"/>
                <w:szCs w:val="21"/>
              </w:rPr>
            </w:pPr>
          </w:p>
        </w:tc>
        <w:tc>
          <w:tcPr>
            <w:tcW w:w="2835" w:type="dxa"/>
            <w:gridSpan w:val="2"/>
            <w:vMerge w:val="continue"/>
            <w:vAlign w:val="center"/>
          </w:tcPr>
          <w:p w14:paraId="138E03AA">
            <w:pPr>
              <w:widowControl/>
              <w:rPr>
                <w:rFonts w:ascii="Times New Roman" w:hAnsi="Times New Roman" w:eastAsia="仿宋" w:cs="Times New Roman"/>
                <w:kern w:val="0"/>
                <w:szCs w:val="21"/>
              </w:rPr>
            </w:pPr>
          </w:p>
        </w:tc>
        <w:tc>
          <w:tcPr>
            <w:tcW w:w="2629" w:type="dxa"/>
            <w:vMerge w:val="continue"/>
            <w:vAlign w:val="center"/>
          </w:tcPr>
          <w:p w14:paraId="043DBCAA">
            <w:pPr>
              <w:widowControl/>
              <w:rPr>
                <w:rFonts w:ascii="Times New Roman" w:hAnsi="Times New Roman" w:eastAsia="仿宋" w:cs="Times New Roman"/>
                <w:kern w:val="0"/>
                <w:szCs w:val="21"/>
              </w:rPr>
            </w:pPr>
          </w:p>
        </w:tc>
      </w:tr>
      <w:tr w14:paraId="4577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630F17CD">
            <w:pPr>
              <w:widowControl/>
              <w:rPr>
                <w:rFonts w:ascii="Times New Roman" w:hAnsi="Times New Roman" w:eastAsia="仿宋" w:cs="Times New Roman"/>
                <w:kern w:val="0"/>
                <w:szCs w:val="21"/>
              </w:rPr>
            </w:pPr>
            <w:r>
              <w:rPr>
                <w:rFonts w:ascii="Times New Roman" w:hAnsi="Times New Roman" w:eastAsia="仿宋" w:cs="Times New Roman"/>
                <w:kern w:val="0"/>
                <w:szCs w:val="21"/>
              </w:rPr>
              <w:t>ZH43112510004</w:t>
            </w:r>
          </w:p>
        </w:tc>
        <w:tc>
          <w:tcPr>
            <w:tcW w:w="851" w:type="dxa"/>
            <w:vAlign w:val="center"/>
          </w:tcPr>
          <w:p w14:paraId="4FAE851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千家峒瑶族乡/潇浦镇</w:t>
            </w:r>
          </w:p>
        </w:tc>
        <w:tc>
          <w:tcPr>
            <w:tcW w:w="425" w:type="dxa"/>
            <w:vAlign w:val="center"/>
          </w:tcPr>
          <w:p w14:paraId="54644FF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4C36A69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780" w:type="dxa"/>
            <w:vAlign w:val="center"/>
          </w:tcPr>
          <w:p w14:paraId="5F3EF90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1134" w:type="dxa"/>
            <w:vAlign w:val="center"/>
          </w:tcPr>
          <w:p w14:paraId="4FE72C8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92" w:type="dxa"/>
            <w:vAlign w:val="center"/>
          </w:tcPr>
          <w:p w14:paraId="4B50A6DC">
            <w:pPr>
              <w:widowControl/>
              <w:jc w:val="center"/>
              <w:rPr>
                <w:rFonts w:ascii="Times New Roman" w:hAnsi="Times New Roman" w:eastAsia="仿宋" w:cs="Times New Roman"/>
                <w:kern w:val="0"/>
                <w:szCs w:val="21"/>
              </w:rPr>
            </w:pPr>
            <w:r>
              <w:rPr>
                <w:rFonts w:ascii="Times New Roman" w:hAnsi="Times New Roman" w:eastAsia="仿宋" w:cs="Times New Roman"/>
                <w:szCs w:val="21"/>
              </w:rPr>
              <w:t>491.94</w:t>
            </w:r>
          </w:p>
        </w:tc>
        <w:tc>
          <w:tcPr>
            <w:tcW w:w="1055" w:type="dxa"/>
            <w:vAlign w:val="center"/>
          </w:tcPr>
          <w:p w14:paraId="25A11D0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千家峒瑶族乡/潇浦镇</w:t>
            </w:r>
          </w:p>
        </w:tc>
        <w:tc>
          <w:tcPr>
            <w:tcW w:w="1579" w:type="dxa"/>
            <w:vAlign w:val="center"/>
          </w:tcPr>
          <w:p w14:paraId="2F1F14AE">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千家峒瑶族乡：</w:t>
            </w:r>
            <w:r>
              <w:rPr>
                <w:rFonts w:ascii="Times New Roman" w:hAnsi="Times New Roman" w:eastAsia="仿宋" w:cs="Times New Roman"/>
                <w:kern w:val="0"/>
                <w:szCs w:val="21"/>
              </w:rPr>
              <w:t>重点生态功能区；</w:t>
            </w:r>
          </w:p>
          <w:p w14:paraId="137BBB26">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潇浦镇：</w:t>
            </w:r>
            <w:r>
              <w:rPr>
                <w:rFonts w:ascii="Times New Roman" w:hAnsi="Times New Roman" w:eastAsia="仿宋" w:cs="Times New Roman"/>
                <w:kern w:val="0"/>
                <w:szCs w:val="21"/>
              </w:rPr>
              <w:t>城市化地区/历史文化资源富集区</w:t>
            </w:r>
          </w:p>
        </w:tc>
        <w:tc>
          <w:tcPr>
            <w:tcW w:w="2835" w:type="dxa"/>
            <w:gridSpan w:val="2"/>
            <w:vAlign w:val="center"/>
          </w:tcPr>
          <w:p w14:paraId="7E9D4C16">
            <w:pPr>
              <w:pStyle w:val="8"/>
              <w:jc w:val="center"/>
              <w:rPr>
                <w:rFonts w:eastAsia="仿宋"/>
                <w:sz w:val="21"/>
                <w:szCs w:val="21"/>
              </w:rPr>
            </w:pPr>
            <w:r>
              <w:rPr>
                <w:rFonts w:eastAsia="仿宋"/>
                <w:sz w:val="21"/>
                <w:szCs w:val="21"/>
              </w:rPr>
              <w:t>农业、林业、旅游业、建材、养殖业、食品加工业、风电。</w:t>
            </w:r>
          </w:p>
        </w:tc>
        <w:tc>
          <w:tcPr>
            <w:tcW w:w="2629" w:type="dxa"/>
            <w:vAlign w:val="center"/>
          </w:tcPr>
          <w:p w14:paraId="0FD7D1D4">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1AAF026B">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湖南江永永明河国家湿地公园等。</w:t>
            </w:r>
          </w:p>
        </w:tc>
      </w:tr>
      <w:tr w14:paraId="6917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0628592">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2953" w:type="dxa"/>
            <w:gridSpan w:val="11"/>
            <w:vAlign w:val="center"/>
          </w:tcPr>
          <w:p w14:paraId="2A7D3C3E">
            <w:pPr>
              <w:widowControl/>
              <w:rPr>
                <w:rFonts w:ascii="Times New Roman" w:hAnsi="Times New Roman" w:eastAsia="仿宋" w:cs="Times New Roman"/>
                <w:b/>
                <w:bCs/>
                <w:szCs w:val="21"/>
              </w:rPr>
            </w:pPr>
            <w:r>
              <w:rPr>
                <w:rFonts w:ascii="Times New Roman" w:hAnsi="Times New Roman" w:eastAsia="仿宋" w:cs="Times New Roman"/>
                <w:b/>
                <w:bCs/>
                <w:kern w:val="0"/>
                <w:szCs w:val="21"/>
              </w:rPr>
              <w:t>千家峒瑶族乡</w:t>
            </w:r>
            <w:r>
              <w:rPr>
                <w:rFonts w:ascii="Times New Roman" w:hAnsi="Times New Roman" w:eastAsia="仿宋" w:cs="Times New Roman"/>
                <w:b/>
                <w:bCs/>
                <w:szCs w:val="21"/>
              </w:rPr>
              <w:t>：</w:t>
            </w:r>
          </w:p>
          <w:p w14:paraId="36B7FACC">
            <w:pPr>
              <w:widowControl/>
              <w:rPr>
                <w:rFonts w:ascii="Times New Roman" w:hAnsi="Times New Roman" w:eastAsia="仿宋" w:cs="Times New Roman"/>
                <w:szCs w:val="21"/>
              </w:rPr>
            </w:pPr>
            <w:r>
              <w:rPr>
                <w:rFonts w:ascii="Times New Roman" w:hAnsi="Times New Roman" w:eastAsia="仿宋" w:cs="Times New Roman"/>
                <w:szCs w:val="21"/>
              </w:rPr>
              <w:t>红线/一般生态空间（自然保护区/水源涵养重要区/森林公园/三区三线生态红线/湿地公园/生物多样性保护功能重要区/水土流失敏感区/水土保持功能重要区/原生态红线/石漠化敏感区）；水环境优先保护区/水环境一般管控区；大气环境优先保护区/大气环境受体敏感重点管控区；农用地优先保护区/一般管控区</w:t>
            </w:r>
          </w:p>
          <w:p w14:paraId="290EBAE4">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潇浦镇</w:t>
            </w:r>
            <w:r>
              <w:rPr>
                <w:rFonts w:ascii="Times New Roman" w:hAnsi="Times New Roman" w:eastAsia="仿宋" w:cs="Times New Roman"/>
                <w:b/>
                <w:bCs/>
                <w:szCs w:val="21"/>
              </w:rPr>
              <w:t>：</w:t>
            </w:r>
          </w:p>
          <w:p w14:paraId="3758906E">
            <w:pPr>
              <w:widowControl/>
              <w:rPr>
                <w:rFonts w:ascii="Times New Roman" w:hAnsi="Times New Roman" w:eastAsia="仿宋" w:cs="Times New Roman"/>
                <w:szCs w:val="21"/>
              </w:rPr>
            </w:pPr>
            <w:r>
              <w:rPr>
                <w:rFonts w:ascii="Times New Roman" w:hAnsi="Times New Roman" w:eastAsia="仿宋" w:cs="Times New Roman"/>
                <w:szCs w:val="21"/>
              </w:rPr>
              <w:t>红线/一般生态空间（三区三线生态红线/水源涵养重要区/生物多样性保护功能重要区/水土保持功能重要区/湿地公园/水土流失敏感区/原生态红线/森林公园/石漠化敏感区）；水环境优先保护区/水环境工业污染重点管控区/水环境城镇生活污染重点管控区/水环境一般管控区；大气环境优先保护区/大气环境高排放重点管控区/大气环境受体敏感重点管控区；农用地优先保护区/建设用地重点管控区/其他重点管控区/一般管控区</w:t>
            </w:r>
          </w:p>
        </w:tc>
      </w:tr>
      <w:tr w14:paraId="3417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814A37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9067" w:type="dxa"/>
            <w:gridSpan w:val="9"/>
            <w:vAlign w:val="center"/>
          </w:tcPr>
          <w:p w14:paraId="2C4060F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3886" w:type="dxa"/>
            <w:gridSpan w:val="2"/>
            <w:vAlign w:val="center"/>
          </w:tcPr>
          <w:p w14:paraId="728C86D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44C4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34" w:type="dxa"/>
            <w:vAlign w:val="center"/>
          </w:tcPr>
          <w:p w14:paraId="71104BF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067" w:type="dxa"/>
            <w:gridSpan w:val="9"/>
            <w:vAlign w:val="center"/>
          </w:tcPr>
          <w:p w14:paraId="7AB5EEC6">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（1.1）产业准入应符合“江永县产业准入负面清单”的规定。积极推进农业产业基地建设。</w:t>
            </w:r>
          </w:p>
          <w:p w14:paraId="3E35DD1C">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tc>
        <w:tc>
          <w:tcPr>
            <w:tcW w:w="3886" w:type="dxa"/>
            <w:gridSpan w:val="2"/>
            <w:vMerge w:val="restart"/>
            <w:vAlign w:val="center"/>
          </w:tcPr>
          <w:p w14:paraId="5E44E58E">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436AA9A6">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4E8E37FD">
            <w:pPr>
              <w:widowControl/>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746D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45C611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067" w:type="dxa"/>
            <w:gridSpan w:val="9"/>
            <w:vAlign w:val="center"/>
          </w:tcPr>
          <w:p w14:paraId="498ACF2E">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（2.1）严禁秸秆、生活垃圾露天焚烧。</w:t>
            </w:r>
          </w:p>
        </w:tc>
        <w:tc>
          <w:tcPr>
            <w:tcW w:w="3886" w:type="dxa"/>
            <w:gridSpan w:val="2"/>
            <w:vMerge w:val="continue"/>
            <w:vAlign w:val="center"/>
          </w:tcPr>
          <w:p w14:paraId="4859E8D0">
            <w:pPr>
              <w:widowControl/>
              <w:rPr>
                <w:rFonts w:ascii="Times New Roman" w:hAnsi="Times New Roman" w:eastAsia="仿宋" w:cs="Times New Roman"/>
                <w:kern w:val="0"/>
                <w:szCs w:val="21"/>
              </w:rPr>
            </w:pPr>
          </w:p>
        </w:tc>
      </w:tr>
      <w:tr w14:paraId="7E84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813091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067" w:type="dxa"/>
            <w:gridSpan w:val="9"/>
            <w:vAlign w:val="center"/>
          </w:tcPr>
          <w:p w14:paraId="127A9314">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szCs w:val="21"/>
              </w:rPr>
              <w:t>执行湖南省总体要求、永州市基本要求中与环境风险防控有关的规定。</w:t>
            </w:r>
          </w:p>
        </w:tc>
        <w:tc>
          <w:tcPr>
            <w:tcW w:w="3886" w:type="dxa"/>
            <w:gridSpan w:val="2"/>
            <w:vMerge w:val="continue"/>
            <w:vAlign w:val="center"/>
          </w:tcPr>
          <w:p w14:paraId="3BAEB0E4">
            <w:pPr>
              <w:widowControl/>
              <w:rPr>
                <w:rFonts w:ascii="Times New Roman" w:hAnsi="Times New Roman" w:eastAsia="仿宋" w:cs="Times New Roman"/>
                <w:kern w:val="0"/>
                <w:szCs w:val="21"/>
              </w:rPr>
            </w:pPr>
          </w:p>
        </w:tc>
      </w:tr>
      <w:tr w14:paraId="607F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B10BE6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067" w:type="dxa"/>
            <w:gridSpan w:val="9"/>
            <w:vAlign w:val="center"/>
          </w:tcPr>
          <w:p w14:paraId="01FEB661">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787BF236">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（4.2）到2025年，江永县用水总量目标为14923万m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3886" w:type="dxa"/>
            <w:gridSpan w:val="2"/>
            <w:vMerge w:val="continue"/>
            <w:vAlign w:val="center"/>
          </w:tcPr>
          <w:p w14:paraId="360D72CE">
            <w:pPr>
              <w:widowControl/>
              <w:rPr>
                <w:rFonts w:ascii="Times New Roman" w:hAnsi="Times New Roman" w:eastAsia="仿宋" w:cs="Times New Roman"/>
                <w:kern w:val="0"/>
                <w:szCs w:val="21"/>
              </w:rPr>
            </w:pPr>
          </w:p>
        </w:tc>
      </w:tr>
    </w:tbl>
    <w:p w14:paraId="27EDD4A1">
      <w:pPr>
        <w:rPr>
          <w:rFonts w:ascii="Times New Roman" w:hAnsi="Times New Roman" w:eastAsia="仿宋" w:cs="Times New Roman"/>
          <w:szCs w:val="21"/>
        </w:rPr>
      </w:pPr>
    </w:p>
    <w:p w14:paraId="36A67219">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2D07A177">
      <w:pPr>
        <w:rPr>
          <w:rFonts w:ascii="Times New Roman" w:hAnsi="Times New Roman" w:eastAsia="仿宋" w:cs="Times New Roman"/>
          <w:szCs w:val="21"/>
        </w:rPr>
      </w:pPr>
    </w:p>
    <w:tbl>
      <w:tblPr>
        <w:tblStyle w:val="20"/>
        <w:tblW w:w="14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673"/>
        <w:gridCol w:w="780"/>
        <w:gridCol w:w="1134"/>
        <w:gridCol w:w="992"/>
        <w:gridCol w:w="1055"/>
        <w:gridCol w:w="1579"/>
        <w:gridCol w:w="2835"/>
        <w:gridCol w:w="19"/>
        <w:gridCol w:w="2610"/>
      </w:tblGrid>
      <w:tr w14:paraId="610B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9F0E56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4829FAF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878" w:type="dxa"/>
            <w:gridSpan w:val="3"/>
            <w:vAlign w:val="center"/>
          </w:tcPr>
          <w:p w14:paraId="4ED0058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134" w:type="dxa"/>
            <w:vMerge w:val="restart"/>
            <w:vAlign w:val="center"/>
          </w:tcPr>
          <w:p w14:paraId="3F3274E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92" w:type="dxa"/>
            <w:vMerge w:val="restart"/>
            <w:vAlign w:val="center"/>
          </w:tcPr>
          <w:p w14:paraId="0963718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55" w:type="dxa"/>
            <w:vMerge w:val="restart"/>
            <w:vAlign w:val="center"/>
          </w:tcPr>
          <w:p w14:paraId="4E28FD0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79" w:type="dxa"/>
            <w:vMerge w:val="restart"/>
            <w:vAlign w:val="center"/>
          </w:tcPr>
          <w:p w14:paraId="6764443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835" w:type="dxa"/>
            <w:vMerge w:val="restart"/>
            <w:vAlign w:val="center"/>
          </w:tcPr>
          <w:p w14:paraId="5A20E80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629" w:type="dxa"/>
            <w:gridSpan w:val="2"/>
            <w:vMerge w:val="restart"/>
            <w:vAlign w:val="center"/>
          </w:tcPr>
          <w:p w14:paraId="7A90620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7D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3D421290">
            <w:pPr>
              <w:widowControl/>
              <w:rPr>
                <w:rFonts w:ascii="Times New Roman" w:hAnsi="Times New Roman" w:eastAsia="仿宋" w:cs="Times New Roman"/>
                <w:kern w:val="0"/>
                <w:szCs w:val="21"/>
              </w:rPr>
            </w:pPr>
          </w:p>
        </w:tc>
        <w:tc>
          <w:tcPr>
            <w:tcW w:w="851" w:type="dxa"/>
            <w:vMerge w:val="continue"/>
            <w:vAlign w:val="center"/>
          </w:tcPr>
          <w:p w14:paraId="334A86BF">
            <w:pPr>
              <w:widowControl/>
              <w:rPr>
                <w:rFonts w:ascii="Times New Roman" w:hAnsi="Times New Roman" w:eastAsia="仿宋" w:cs="Times New Roman"/>
                <w:kern w:val="0"/>
                <w:szCs w:val="21"/>
              </w:rPr>
            </w:pPr>
          </w:p>
        </w:tc>
        <w:tc>
          <w:tcPr>
            <w:tcW w:w="425" w:type="dxa"/>
            <w:vAlign w:val="center"/>
          </w:tcPr>
          <w:p w14:paraId="647B4FC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673" w:type="dxa"/>
            <w:vAlign w:val="center"/>
          </w:tcPr>
          <w:p w14:paraId="461434B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80" w:type="dxa"/>
            <w:vAlign w:val="center"/>
          </w:tcPr>
          <w:p w14:paraId="6A1BFBC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134" w:type="dxa"/>
            <w:vMerge w:val="continue"/>
            <w:vAlign w:val="center"/>
          </w:tcPr>
          <w:p w14:paraId="5AAFCBC8">
            <w:pPr>
              <w:widowControl/>
              <w:rPr>
                <w:rFonts w:ascii="Times New Roman" w:hAnsi="Times New Roman" w:eastAsia="仿宋" w:cs="Times New Roman"/>
                <w:kern w:val="0"/>
                <w:szCs w:val="21"/>
              </w:rPr>
            </w:pPr>
          </w:p>
        </w:tc>
        <w:tc>
          <w:tcPr>
            <w:tcW w:w="992" w:type="dxa"/>
            <w:vMerge w:val="continue"/>
            <w:vAlign w:val="center"/>
          </w:tcPr>
          <w:p w14:paraId="4810753C">
            <w:pPr>
              <w:widowControl/>
              <w:rPr>
                <w:rFonts w:ascii="Times New Roman" w:hAnsi="Times New Roman" w:eastAsia="仿宋" w:cs="Times New Roman"/>
                <w:kern w:val="0"/>
                <w:szCs w:val="21"/>
              </w:rPr>
            </w:pPr>
          </w:p>
        </w:tc>
        <w:tc>
          <w:tcPr>
            <w:tcW w:w="1055" w:type="dxa"/>
            <w:vMerge w:val="continue"/>
            <w:vAlign w:val="center"/>
          </w:tcPr>
          <w:p w14:paraId="4BD1EBF6">
            <w:pPr>
              <w:widowControl/>
              <w:rPr>
                <w:rFonts w:ascii="Times New Roman" w:hAnsi="Times New Roman" w:eastAsia="仿宋" w:cs="Times New Roman"/>
                <w:kern w:val="0"/>
                <w:szCs w:val="21"/>
              </w:rPr>
            </w:pPr>
          </w:p>
        </w:tc>
        <w:tc>
          <w:tcPr>
            <w:tcW w:w="1579" w:type="dxa"/>
            <w:vMerge w:val="continue"/>
            <w:vAlign w:val="center"/>
          </w:tcPr>
          <w:p w14:paraId="1E81986C">
            <w:pPr>
              <w:widowControl/>
              <w:rPr>
                <w:rFonts w:ascii="Times New Roman" w:hAnsi="Times New Roman" w:eastAsia="仿宋" w:cs="Times New Roman"/>
                <w:kern w:val="0"/>
                <w:szCs w:val="21"/>
              </w:rPr>
            </w:pPr>
          </w:p>
        </w:tc>
        <w:tc>
          <w:tcPr>
            <w:tcW w:w="2835" w:type="dxa"/>
            <w:vMerge w:val="continue"/>
            <w:vAlign w:val="center"/>
          </w:tcPr>
          <w:p w14:paraId="751466D1">
            <w:pPr>
              <w:widowControl/>
              <w:rPr>
                <w:rFonts w:ascii="Times New Roman" w:hAnsi="Times New Roman" w:eastAsia="仿宋" w:cs="Times New Roman"/>
                <w:kern w:val="0"/>
                <w:szCs w:val="21"/>
              </w:rPr>
            </w:pPr>
          </w:p>
        </w:tc>
        <w:tc>
          <w:tcPr>
            <w:tcW w:w="2629" w:type="dxa"/>
            <w:gridSpan w:val="2"/>
            <w:vMerge w:val="continue"/>
            <w:vAlign w:val="center"/>
          </w:tcPr>
          <w:p w14:paraId="710E731F">
            <w:pPr>
              <w:widowControl/>
              <w:rPr>
                <w:rFonts w:ascii="Times New Roman" w:hAnsi="Times New Roman" w:eastAsia="仿宋" w:cs="Times New Roman"/>
                <w:kern w:val="0"/>
                <w:szCs w:val="21"/>
              </w:rPr>
            </w:pPr>
          </w:p>
        </w:tc>
      </w:tr>
      <w:tr w14:paraId="544E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5B695688">
            <w:pPr>
              <w:widowControl/>
              <w:rPr>
                <w:rFonts w:ascii="Times New Roman" w:hAnsi="Times New Roman" w:eastAsia="仿宋" w:cs="Times New Roman"/>
                <w:kern w:val="0"/>
                <w:szCs w:val="21"/>
              </w:rPr>
            </w:pPr>
            <w:r>
              <w:rPr>
                <w:rFonts w:ascii="Times New Roman" w:hAnsi="Times New Roman" w:eastAsia="仿宋" w:cs="Times New Roman"/>
                <w:kern w:val="0"/>
                <w:szCs w:val="21"/>
              </w:rPr>
              <w:t>ZH43112520001</w:t>
            </w:r>
          </w:p>
        </w:tc>
        <w:tc>
          <w:tcPr>
            <w:tcW w:w="851" w:type="dxa"/>
            <w:vAlign w:val="center"/>
          </w:tcPr>
          <w:p w14:paraId="742EAEF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潇浦镇/松柏瑶族乡</w:t>
            </w:r>
          </w:p>
        </w:tc>
        <w:tc>
          <w:tcPr>
            <w:tcW w:w="425" w:type="dxa"/>
            <w:vAlign w:val="center"/>
          </w:tcPr>
          <w:p w14:paraId="25C680B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673" w:type="dxa"/>
            <w:vAlign w:val="center"/>
          </w:tcPr>
          <w:p w14:paraId="15EB1A7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780" w:type="dxa"/>
            <w:vAlign w:val="center"/>
          </w:tcPr>
          <w:p w14:paraId="7AC6EC1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1134" w:type="dxa"/>
            <w:vAlign w:val="center"/>
          </w:tcPr>
          <w:p w14:paraId="360FE15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重点保护单元</w:t>
            </w:r>
          </w:p>
        </w:tc>
        <w:tc>
          <w:tcPr>
            <w:tcW w:w="992" w:type="dxa"/>
            <w:vAlign w:val="center"/>
          </w:tcPr>
          <w:p w14:paraId="0E9F935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79.20</w:t>
            </w:r>
          </w:p>
        </w:tc>
        <w:tc>
          <w:tcPr>
            <w:tcW w:w="1055" w:type="dxa"/>
            <w:vAlign w:val="center"/>
          </w:tcPr>
          <w:p w14:paraId="27FD319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潇浦镇/松柏瑶族乡</w:t>
            </w:r>
          </w:p>
        </w:tc>
        <w:tc>
          <w:tcPr>
            <w:tcW w:w="1579" w:type="dxa"/>
            <w:vAlign w:val="center"/>
          </w:tcPr>
          <w:p w14:paraId="083979A1">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潇浦镇：</w:t>
            </w:r>
            <w:r>
              <w:rPr>
                <w:rFonts w:ascii="Times New Roman" w:hAnsi="Times New Roman" w:eastAsia="仿宋" w:cs="Times New Roman"/>
                <w:kern w:val="0"/>
                <w:szCs w:val="21"/>
              </w:rPr>
              <w:t>城市化地区/历史文化资源富集区；</w:t>
            </w:r>
          </w:p>
          <w:p w14:paraId="717CA3F8">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松柏瑶族乡：</w:t>
            </w:r>
            <w:r>
              <w:rPr>
                <w:rFonts w:ascii="Times New Roman" w:hAnsi="Times New Roman" w:eastAsia="仿宋" w:cs="Times New Roman"/>
                <w:kern w:val="0"/>
                <w:szCs w:val="21"/>
              </w:rPr>
              <w:t>重点生态功能区</w:t>
            </w:r>
          </w:p>
        </w:tc>
        <w:tc>
          <w:tcPr>
            <w:tcW w:w="2835" w:type="dxa"/>
            <w:vAlign w:val="center"/>
          </w:tcPr>
          <w:p w14:paraId="29BE1CA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农业、林业、旅游业、养殖业、光伏风电、建材、食品加工业。</w:t>
            </w:r>
          </w:p>
        </w:tc>
        <w:tc>
          <w:tcPr>
            <w:tcW w:w="2629" w:type="dxa"/>
            <w:gridSpan w:val="2"/>
            <w:vAlign w:val="center"/>
          </w:tcPr>
          <w:p w14:paraId="75B26578">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446EFE9A">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湖南江永永明河国家湿地公园等。</w:t>
            </w:r>
          </w:p>
        </w:tc>
      </w:tr>
      <w:tr w14:paraId="6921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DA3E632">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2953" w:type="dxa"/>
            <w:gridSpan w:val="11"/>
            <w:vAlign w:val="center"/>
          </w:tcPr>
          <w:p w14:paraId="27646FA4">
            <w:pPr>
              <w:widowControl/>
              <w:rPr>
                <w:rFonts w:ascii="Times New Roman" w:hAnsi="Times New Roman" w:eastAsia="仿宋" w:cs="Times New Roman"/>
                <w:szCs w:val="21"/>
              </w:rPr>
            </w:pPr>
            <w:r>
              <w:rPr>
                <w:rFonts w:ascii="Times New Roman" w:hAnsi="Times New Roman" w:eastAsia="仿宋" w:cs="Times New Roman"/>
                <w:b/>
                <w:bCs/>
                <w:szCs w:val="21"/>
              </w:rPr>
              <w:t>潇浦镇：</w:t>
            </w:r>
          </w:p>
          <w:p w14:paraId="51F85435">
            <w:pPr>
              <w:widowControl/>
              <w:rPr>
                <w:rFonts w:ascii="Times New Roman" w:hAnsi="Times New Roman" w:eastAsia="仿宋" w:cs="Times New Roman"/>
                <w:szCs w:val="21"/>
              </w:rPr>
            </w:pPr>
            <w:r>
              <w:rPr>
                <w:rFonts w:ascii="Times New Roman" w:hAnsi="Times New Roman" w:eastAsia="仿宋" w:cs="Times New Roman"/>
                <w:szCs w:val="21"/>
              </w:rPr>
              <w:t>红线/一般生态空间（三区三线生态红线/水源涵养重要区/生物多样性保护功能重要区/水土保持功能重要区/湿地公园/水土流失敏感区/原生态红线/森林公园/石漠化敏感区）；水环境优先保护区/水环境工业污染重点管控区/水环境城镇生活污染重点管控区/水环境一般管控区；大气环境优先保护区/大气环境高排放重点管控区/大气环境受体敏感重点管控区；农用地优先保护区/建设用地重点管控区/其他重点管控区/一般管控区</w:t>
            </w:r>
          </w:p>
          <w:p w14:paraId="428B1AE5">
            <w:pPr>
              <w:widowControl/>
              <w:rPr>
                <w:rFonts w:ascii="Times New Roman" w:hAnsi="Times New Roman" w:eastAsia="仿宋" w:cs="Times New Roman"/>
                <w:kern w:val="0"/>
                <w:szCs w:val="21"/>
              </w:rPr>
            </w:pPr>
            <w:r>
              <w:rPr>
                <w:rFonts w:ascii="Times New Roman" w:hAnsi="Times New Roman" w:eastAsia="仿宋" w:cs="Times New Roman"/>
                <w:b/>
                <w:bCs/>
                <w:szCs w:val="21"/>
              </w:rPr>
              <w:t>松柏瑶族乡：</w:t>
            </w:r>
          </w:p>
          <w:p w14:paraId="1A531F2B">
            <w:pPr>
              <w:widowControl/>
              <w:rPr>
                <w:rFonts w:ascii="Times New Roman" w:hAnsi="Times New Roman" w:eastAsia="仿宋" w:cs="Times New Roman"/>
                <w:szCs w:val="21"/>
              </w:rPr>
            </w:pPr>
            <w:r>
              <w:rPr>
                <w:rFonts w:ascii="Times New Roman" w:hAnsi="Times New Roman" w:eastAsia="仿宋" w:cs="Times New Roman"/>
                <w:szCs w:val="21"/>
              </w:rPr>
              <w:t>红线/一般生态空间（生物多样性保护功能重要区/水源涵养重要区/三区三线生态红线/水土保持功能重要区/原生态红线/水土流失敏感区/湿地公园）；水环境优先保护区/水环境其他重点管控区/水环境一般管控区；大气环境优先保护区/大气环境受体敏感重点管控区；农用地优先保护区/其他重点管控区/一般管控区</w:t>
            </w:r>
          </w:p>
        </w:tc>
      </w:tr>
      <w:tr w14:paraId="39B1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3E0AAD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10343" w:type="dxa"/>
            <w:gridSpan w:val="10"/>
            <w:vAlign w:val="center"/>
          </w:tcPr>
          <w:p w14:paraId="5119EBF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2610" w:type="dxa"/>
            <w:vAlign w:val="center"/>
          </w:tcPr>
          <w:p w14:paraId="0D73ECA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1830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134" w:type="dxa"/>
            <w:vAlign w:val="center"/>
          </w:tcPr>
          <w:p w14:paraId="6DE3FBA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10343" w:type="dxa"/>
            <w:gridSpan w:val="10"/>
            <w:vAlign w:val="center"/>
          </w:tcPr>
          <w:p w14:paraId="5FEC10AA">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w:t>
            </w:r>
          </w:p>
          <w:p w14:paraId="53A13447">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p w14:paraId="4EB25EE3">
            <w:pPr>
              <w:ind w:firstLine="420" w:firstLineChars="200"/>
              <w:rPr>
                <w:rFonts w:ascii="Times New Roman" w:hAnsi="Times New Roman" w:eastAsia="仿宋" w:cs="Times New Roman"/>
                <w:szCs w:val="21"/>
              </w:rPr>
            </w:pPr>
            <w:r>
              <w:rPr>
                <w:rFonts w:ascii="Times New Roman" w:hAnsi="Times New Roman" w:eastAsia="仿宋" w:cs="Times New Roman"/>
                <w:szCs w:val="21"/>
              </w:rPr>
              <w:t>（1.3）江永工业集中区调区扩区原则上不应超出省级主管部门确定的拓展空间；对园区外的现有企业加强环境监管，确保污染物达标排放。</w:t>
            </w:r>
          </w:p>
        </w:tc>
        <w:tc>
          <w:tcPr>
            <w:tcW w:w="2610" w:type="dxa"/>
            <w:vMerge w:val="restart"/>
            <w:vAlign w:val="center"/>
          </w:tcPr>
          <w:p w14:paraId="62200A95">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25EB256D">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0398C91B">
            <w:pPr>
              <w:widowControl/>
              <w:rPr>
                <w:rFonts w:ascii="Times New Roman" w:hAnsi="Times New Roman" w:eastAsia="仿宋" w:cs="Times New Roman"/>
                <w:b/>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1925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7131EF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10343" w:type="dxa"/>
            <w:gridSpan w:val="10"/>
            <w:vAlign w:val="center"/>
          </w:tcPr>
          <w:p w14:paraId="712F5A34">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（2.1）在城市建成区及郊区严禁任何单位和个人燃放烟花爆竹，露天焚烧农作物秸秆和垃圾。</w:t>
            </w:r>
          </w:p>
        </w:tc>
        <w:tc>
          <w:tcPr>
            <w:tcW w:w="2610" w:type="dxa"/>
            <w:vMerge w:val="continue"/>
            <w:vAlign w:val="center"/>
          </w:tcPr>
          <w:p w14:paraId="09162A02">
            <w:pPr>
              <w:widowControl/>
              <w:rPr>
                <w:rFonts w:ascii="Times New Roman" w:hAnsi="Times New Roman" w:eastAsia="仿宋" w:cs="Times New Roman"/>
                <w:kern w:val="0"/>
                <w:szCs w:val="21"/>
              </w:rPr>
            </w:pPr>
          </w:p>
        </w:tc>
      </w:tr>
      <w:tr w14:paraId="7683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32F93E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10343" w:type="dxa"/>
            <w:gridSpan w:val="10"/>
            <w:vAlign w:val="center"/>
          </w:tcPr>
          <w:p w14:paraId="470DC2C3">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b/>
                <w:bCs/>
                <w:kern w:val="0"/>
                <w:szCs w:val="21"/>
              </w:rPr>
              <w:t>潇浦镇：</w:t>
            </w:r>
            <w:r>
              <w:rPr>
                <w:rFonts w:ascii="Times New Roman" w:hAnsi="Times New Roman" w:eastAsia="仿宋" w:cs="Times New Roman"/>
                <w:kern w:val="0"/>
                <w:szCs w:val="21"/>
              </w:rPr>
              <w:t>建立集中式饮用水源污染应急预案和安全保障体系。对威胁饮用水水源地安全的重点排污企业要逐一建立应急预案。</w:t>
            </w:r>
          </w:p>
        </w:tc>
        <w:tc>
          <w:tcPr>
            <w:tcW w:w="2610" w:type="dxa"/>
            <w:vMerge w:val="continue"/>
            <w:vAlign w:val="center"/>
          </w:tcPr>
          <w:p w14:paraId="0BDA6B51">
            <w:pPr>
              <w:widowControl/>
              <w:rPr>
                <w:rFonts w:ascii="Times New Roman" w:hAnsi="Times New Roman" w:eastAsia="仿宋" w:cs="Times New Roman"/>
                <w:kern w:val="0"/>
                <w:szCs w:val="21"/>
              </w:rPr>
            </w:pPr>
          </w:p>
        </w:tc>
      </w:tr>
      <w:tr w14:paraId="0A43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DDAE9B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10343" w:type="dxa"/>
            <w:gridSpan w:val="10"/>
            <w:vAlign w:val="center"/>
          </w:tcPr>
          <w:p w14:paraId="5CE564BD">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5D2DD5FA">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（4.2）到2025年，江永县用水总量目标为14923万m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2610" w:type="dxa"/>
            <w:vMerge w:val="continue"/>
            <w:vAlign w:val="center"/>
          </w:tcPr>
          <w:p w14:paraId="28795B69">
            <w:pPr>
              <w:widowControl/>
              <w:rPr>
                <w:rFonts w:ascii="Times New Roman" w:hAnsi="Times New Roman" w:eastAsia="仿宋" w:cs="Times New Roman"/>
                <w:kern w:val="0"/>
                <w:szCs w:val="21"/>
              </w:rPr>
            </w:pPr>
          </w:p>
        </w:tc>
      </w:tr>
    </w:tbl>
    <w:p w14:paraId="475AF0C6">
      <w:pPr>
        <w:rPr>
          <w:rFonts w:ascii="Times New Roman" w:hAnsi="Times New Roman" w:eastAsia="仿宋" w:cs="Times New Roman"/>
          <w:szCs w:val="21"/>
        </w:rPr>
      </w:pPr>
    </w:p>
    <w:p w14:paraId="14331BD4">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7755F44D">
      <w:pPr>
        <w:rPr>
          <w:rFonts w:ascii="Times New Roman" w:hAnsi="Times New Roman" w:eastAsia="仿宋" w:cs="Times New Roman"/>
          <w:szCs w:val="21"/>
        </w:rPr>
      </w:pPr>
    </w:p>
    <w:tbl>
      <w:tblPr>
        <w:tblStyle w:val="20"/>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425"/>
        <w:gridCol w:w="425"/>
        <w:gridCol w:w="425"/>
        <w:gridCol w:w="709"/>
        <w:gridCol w:w="1134"/>
        <w:gridCol w:w="1276"/>
        <w:gridCol w:w="1134"/>
        <w:gridCol w:w="1420"/>
        <w:gridCol w:w="282"/>
        <w:gridCol w:w="4677"/>
      </w:tblGrid>
      <w:tr w14:paraId="7DA0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A0698A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29" w:type="dxa"/>
            <w:vMerge w:val="restart"/>
            <w:vAlign w:val="center"/>
          </w:tcPr>
          <w:p w14:paraId="168AC50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5" w:type="dxa"/>
            <w:gridSpan w:val="3"/>
            <w:vAlign w:val="center"/>
          </w:tcPr>
          <w:p w14:paraId="1A510CD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08048FD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134" w:type="dxa"/>
            <w:vMerge w:val="restart"/>
            <w:vAlign w:val="center"/>
          </w:tcPr>
          <w:p w14:paraId="14177E8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6" w:type="dxa"/>
            <w:vMerge w:val="restart"/>
            <w:vAlign w:val="center"/>
          </w:tcPr>
          <w:p w14:paraId="0C5EB77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134" w:type="dxa"/>
            <w:vMerge w:val="restart"/>
            <w:vAlign w:val="center"/>
          </w:tcPr>
          <w:p w14:paraId="2793D65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702" w:type="dxa"/>
            <w:gridSpan w:val="2"/>
            <w:vMerge w:val="restart"/>
            <w:vAlign w:val="center"/>
          </w:tcPr>
          <w:p w14:paraId="0669AE3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4677" w:type="dxa"/>
            <w:vMerge w:val="restart"/>
            <w:vAlign w:val="center"/>
          </w:tcPr>
          <w:p w14:paraId="27F50AF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1BBF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75DBA91">
            <w:pPr>
              <w:widowControl/>
              <w:rPr>
                <w:rFonts w:ascii="Times New Roman" w:hAnsi="Times New Roman" w:eastAsia="仿宋" w:cs="Times New Roman"/>
                <w:kern w:val="0"/>
                <w:szCs w:val="21"/>
              </w:rPr>
            </w:pPr>
          </w:p>
        </w:tc>
        <w:tc>
          <w:tcPr>
            <w:tcW w:w="1129" w:type="dxa"/>
            <w:vMerge w:val="continue"/>
            <w:vAlign w:val="center"/>
          </w:tcPr>
          <w:p w14:paraId="3A341824">
            <w:pPr>
              <w:widowControl/>
              <w:rPr>
                <w:rFonts w:ascii="Times New Roman" w:hAnsi="Times New Roman" w:eastAsia="仿宋" w:cs="Times New Roman"/>
                <w:kern w:val="0"/>
                <w:szCs w:val="21"/>
              </w:rPr>
            </w:pPr>
          </w:p>
        </w:tc>
        <w:tc>
          <w:tcPr>
            <w:tcW w:w="425" w:type="dxa"/>
            <w:vAlign w:val="center"/>
          </w:tcPr>
          <w:p w14:paraId="072949B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1B6C625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425" w:type="dxa"/>
            <w:vAlign w:val="center"/>
          </w:tcPr>
          <w:p w14:paraId="2BCE03E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27251CAF">
            <w:pPr>
              <w:widowControl/>
              <w:rPr>
                <w:rFonts w:ascii="Times New Roman" w:hAnsi="Times New Roman" w:eastAsia="仿宋" w:cs="Times New Roman"/>
                <w:kern w:val="0"/>
                <w:szCs w:val="21"/>
              </w:rPr>
            </w:pPr>
          </w:p>
        </w:tc>
        <w:tc>
          <w:tcPr>
            <w:tcW w:w="1134" w:type="dxa"/>
            <w:vMerge w:val="continue"/>
            <w:vAlign w:val="center"/>
          </w:tcPr>
          <w:p w14:paraId="712886D6">
            <w:pPr>
              <w:widowControl/>
              <w:rPr>
                <w:rFonts w:ascii="Times New Roman" w:hAnsi="Times New Roman" w:eastAsia="仿宋" w:cs="Times New Roman"/>
                <w:kern w:val="0"/>
                <w:szCs w:val="21"/>
              </w:rPr>
            </w:pPr>
          </w:p>
        </w:tc>
        <w:tc>
          <w:tcPr>
            <w:tcW w:w="1276" w:type="dxa"/>
            <w:vMerge w:val="continue"/>
            <w:vAlign w:val="center"/>
          </w:tcPr>
          <w:p w14:paraId="66080E03">
            <w:pPr>
              <w:widowControl/>
              <w:rPr>
                <w:rFonts w:ascii="Times New Roman" w:hAnsi="Times New Roman" w:eastAsia="仿宋" w:cs="Times New Roman"/>
                <w:kern w:val="0"/>
                <w:szCs w:val="21"/>
              </w:rPr>
            </w:pPr>
          </w:p>
        </w:tc>
        <w:tc>
          <w:tcPr>
            <w:tcW w:w="1134" w:type="dxa"/>
            <w:vMerge w:val="continue"/>
            <w:vAlign w:val="center"/>
          </w:tcPr>
          <w:p w14:paraId="662026BE">
            <w:pPr>
              <w:widowControl/>
              <w:rPr>
                <w:rFonts w:ascii="Times New Roman" w:hAnsi="Times New Roman" w:eastAsia="仿宋" w:cs="Times New Roman"/>
                <w:kern w:val="0"/>
                <w:szCs w:val="21"/>
              </w:rPr>
            </w:pPr>
          </w:p>
        </w:tc>
        <w:tc>
          <w:tcPr>
            <w:tcW w:w="1702" w:type="dxa"/>
            <w:gridSpan w:val="2"/>
            <w:vMerge w:val="continue"/>
            <w:vAlign w:val="center"/>
          </w:tcPr>
          <w:p w14:paraId="732CCAFA">
            <w:pPr>
              <w:widowControl/>
              <w:rPr>
                <w:rFonts w:ascii="Times New Roman" w:hAnsi="Times New Roman" w:eastAsia="仿宋" w:cs="Times New Roman"/>
                <w:kern w:val="0"/>
                <w:szCs w:val="21"/>
              </w:rPr>
            </w:pPr>
          </w:p>
        </w:tc>
        <w:tc>
          <w:tcPr>
            <w:tcW w:w="4677" w:type="dxa"/>
            <w:vMerge w:val="continue"/>
            <w:vAlign w:val="center"/>
          </w:tcPr>
          <w:p w14:paraId="351040AC">
            <w:pPr>
              <w:widowControl/>
              <w:rPr>
                <w:rFonts w:ascii="Times New Roman" w:hAnsi="Times New Roman" w:eastAsia="仿宋" w:cs="Times New Roman"/>
                <w:kern w:val="0"/>
                <w:szCs w:val="21"/>
              </w:rPr>
            </w:pPr>
          </w:p>
        </w:tc>
      </w:tr>
      <w:tr w14:paraId="3CAE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5117C25F">
            <w:pPr>
              <w:widowControl/>
              <w:rPr>
                <w:rFonts w:ascii="Times New Roman" w:hAnsi="Times New Roman" w:eastAsia="仿宋" w:cs="Times New Roman"/>
                <w:kern w:val="0"/>
                <w:szCs w:val="21"/>
              </w:rPr>
            </w:pPr>
            <w:bookmarkStart w:id="51" w:name="_Hlk58575221"/>
            <w:r>
              <w:rPr>
                <w:rFonts w:ascii="Times New Roman" w:hAnsi="Times New Roman" w:eastAsia="仿宋" w:cs="Times New Roman"/>
                <w:szCs w:val="21"/>
              </w:rPr>
              <w:t>ZH43112530001</w:t>
            </w:r>
            <w:bookmarkEnd w:id="51"/>
          </w:p>
        </w:tc>
        <w:tc>
          <w:tcPr>
            <w:tcW w:w="1129" w:type="dxa"/>
            <w:vAlign w:val="center"/>
          </w:tcPr>
          <w:p w14:paraId="7C7634C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粗石江镇/桃川镇/夏层铺镇/回龙圩镇</w:t>
            </w:r>
          </w:p>
        </w:tc>
        <w:tc>
          <w:tcPr>
            <w:tcW w:w="425" w:type="dxa"/>
            <w:vAlign w:val="center"/>
          </w:tcPr>
          <w:p w14:paraId="5073D26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175D041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永州市</w:t>
            </w:r>
          </w:p>
        </w:tc>
        <w:tc>
          <w:tcPr>
            <w:tcW w:w="425" w:type="dxa"/>
            <w:vAlign w:val="center"/>
          </w:tcPr>
          <w:p w14:paraId="2486266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江永县</w:t>
            </w:r>
          </w:p>
        </w:tc>
        <w:tc>
          <w:tcPr>
            <w:tcW w:w="709" w:type="dxa"/>
            <w:vAlign w:val="center"/>
          </w:tcPr>
          <w:p w14:paraId="1C38D0D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134" w:type="dxa"/>
            <w:vAlign w:val="center"/>
          </w:tcPr>
          <w:p w14:paraId="3444871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467.05</w:t>
            </w:r>
          </w:p>
        </w:tc>
        <w:tc>
          <w:tcPr>
            <w:tcW w:w="1276" w:type="dxa"/>
            <w:vAlign w:val="center"/>
          </w:tcPr>
          <w:p w14:paraId="15F00C6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粗石江镇/桃川镇/夏层铺镇/回龙圩镇</w:t>
            </w:r>
          </w:p>
        </w:tc>
        <w:tc>
          <w:tcPr>
            <w:tcW w:w="1134" w:type="dxa"/>
            <w:vAlign w:val="center"/>
          </w:tcPr>
          <w:p w14:paraId="485327B3">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粗石江镇：</w:t>
            </w:r>
            <w:r>
              <w:rPr>
                <w:rFonts w:ascii="Times New Roman" w:hAnsi="Times New Roman" w:eastAsia="仿宋" w:cs="Times New Roman"/>
                <w:kern w:val="0"/>
                <w:szCs w:val="21"/>
              </w:rPr>
              <w:t>重点生态功能区；</w:t>
            </w:r>
          </w:p>
          <w:p w14:paraId="53F62EDA">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桃川镇/回龙圩镇：</w:t>
            </w:r>
            <w:r>
              <w:rPr>
                <w:rFonts w:ascii="Times New Roman" w:hAnsi="Times New Roman" w:eastAsia="仿宋" w:cs="Times New Roman"/>
                <w:kern w:val="0"/>
                <w:szCs w:val="21"/>
              </w:rPr>
              <w:t>城市化地区；</w:t>
            </w:r>
          </w:p>
          <w:p w14:paraId="6DF25A21">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夏层铺镇：</w:t>
            </w:r>
            <w:r>
              <w:rPr>
                <w:rFonts w:ascii="Times New Roman" w:hAnsi="Times New Roman" w:eastAsia="仿宋" w:cs="Times New Roman"/>
                <w:kern w:val="0"/>
                <w:szCs w:val="21"/>
              </w:rPr>
              <w:t>重点生态功能区/历史文化资源富集区</w:t>
            </w:r>
          </w:p>
        </w:tc>
        <w:tc>
          <w:tcPr>
            <w:tcW w:w="1702" w:type="dxa"/>
            <w:gridSpan w:val="2"/>
            <w:vAlign w:val="center"/>
          </w:tcPr>
          <w:p w14:paraId="45ABA509">
            <w:pPr>
              <w:widowControl/>
              <w:jc w:val="center"/>
              <w:rPr>
                <w:rFonts w:ascii="Times New Roman" w:hAnsi="Times New Roman" w:eastAsia="仿宋" w:cs="Times New Roman"/>
                <w:kern w:val="0"/>
                <w:szCs w:val="21"/>
              </w:rPr>
            </w:pPr>
            <w:r>
              <w:rPr>
                <w:rFonts w:ascii="Times New Roman" w:hAnsi="Times New Roman" w:eastAsia="仿宋" w:cs="Times New Roman"/>
                <w:b/>
                <w:kern w:val="0"/>
                <w:szCs w:val="21"/>
              </w:rPr>
              <w:t>粗石江镇/桃川镇/夏层铺镇</w:t>
            </w:r>
            <w:r>
              <w:rPr>
                <w:rFonts w:ascii="Times New Roman" w:hAnsi="Times New Roman" w:eastAsia="仿宋" w:cs="Times New Roman"/>
                <w:kern w:val="0"/>
                <w:szCs w:val="21"/>
              </w:rPr>
              <w:t>：农业、养殖业、旅游业、风电、建材、食品加工业、矿山开采、石灰和石膏制造、风电。</w:t>
            </w:r>
          </w:p>
          <w:p w14:paraId="742DF4C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回龙圩镇：</w:t>
            </w:r>
            <w:r>
              <w:rPr>
                <w:rFonts w:ascii="Times New Roman" w:hAnsi="Times New Roman" w:eastAsia="仿宋" w:cs="Times New Roman"/>
                <w:kern w:val="0"/>
                <w:szCs w:val="21"/>
              </w:rPr>
              <w:t>农业、养殖业、旅游业、风电、光伏、储能、建材、采矿、农产业加工、小微企业</w:t>
            </w:r>
          </w:p>
        </w:tc>
        <w:tc>
          <w:tcPr>
            <w:tcW w:w="4677" w:type="dxa"/>
            <w:vAlign w:val="center"/>
          </w:tcPr>
          <w:p w14:paraId="7143D499">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粗石江镇：</w:t>
            </w:r>
            <w:r>
              <w:rPr>
                <w:rFonts w:ascii="Times New Roman" w:hAnsi="Times New Roman" w:eastAsia="仿宋" w:cs="Times New Roman"/>
                <w:kern w:val="0"/>
                <w:szCs w:val="21"/>
              </w:rPr>
              <w:t>无明显环境问题。</w:t>
            </w:r>
          </w:p>
          <w:p w14:paraId="5E97061B">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桃川镇：</w:t>
            </w:r>
            <w:r>
              <w:rPr>
                <w:rFonts w:ascii="Times New Roman" w:hAnsi="Times New Roman" w:eastAsia="仿宋" w:cs="Times New Roman"/>
                <w:kern w:val="0"/>
                <w:szCs w:val="21"/>
              </w:rPr>
              <w:t>非凡化工搬迁后遗留场地存在污染风险。</w:t>
            </w:r>
          </w:p>
          <w:p w14:paraId="631EF1A1">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夏层铺镇：</w:t>
            </w:r>
            <w:r>
              <w:rPr>
                <w:rFonts w:ascii="Times New Roman" w:hAnsi="Times New Roman" w:eastAsia="仿宋" w:cs="Times New Roman"/>
                <w:kern w:val="0"/>
                <w:szCs w:val="21"/>
              </w:rPr>
              <w:t>甘棠河富营养化。</w:t>
            </w:r>
          </w:p>
          <w:p w14:paraId="6B6E2656">
            <w:pPr>
              <w:widowControl/>
              <w:rPr>
                <w:rFonts w:ascii="Times New Roman" w:hAnsi="Times New Roman" w:eastAsia="仿宋" w:cs="Times New Roman"/>
                <w:kern w:val="0"/>
                <w:szCs w:val="21"/>
              </w:rPr>
            </w:pPr>
            <w:r>
              <w:rPr>
                <w:rFonts w:ascii="Times New Roman" w:hAnsi="Times New Roman" w:eastAsia="仿宋" w:cs="Times New Roman"/>
                <w:b/>
                <w:bCs/>
                <w:szCs w:val="21"/>
              </w:rPr>
              <w:t>回龙圩镇：</w:t>
            </w:r>
            <w:r>
              <w:rPr>
                <w:rFonts w:ascii="Times New Roman" w:hAnsi="Times New Roman" w:eastAsia="仿宋" w:cs="Times New Roman"/>
                <w:kern w:val="0"/>
                <w:szCs w:val="21"/>
              </w:rPr>
              <w:t>农业面源污染。</w:t>
            </w:r>
          </w:p>
        </w:tc>
      </w:tr>
      <w:tr w14:paraId="41DD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B2F0BCF">
            <w:pPr>
              <w:widowControl/>
              <w:rPr>
                <w:rFonts w:ascii="Times New Roman" w:hAnsi="Times New Roman" w:eastAsia="仿宋" w:cs="Times New Roman"/>
                <w:kern w:val="0"/>
                <w:szCs w:val="21"/>
              </w:rPr>
            </w:pPr>
            <w:r>
              <w:rPr>
                <w:rFonts w:ascii="Times New Roman" w:hAnsi="Times New Roman" w:eastAsia="仿宋" w:cs="Times New Roman"/>
                <w:b/>
                <w:kern w:val="0"/>
                <w:szCs w:val="21"/>
              </w:rPr>
              <w:t>主要属性</w:t>
            </w:r>
          </w:p>
        </w:tc>
        <w:tc>
          <w:tcPr>
            <w:tcW w:w="13036" w:type="dxa"/>
            <w:gridSpan w:val="11"/>
            <w:vAlign w:val="center"/>
          </w:tcPr>
          <w:p w14:paraId="3EAAD5EB">
            <w:pPr>
              <w:pStyle w:val="8"/>
              <w:spacing w:after="0"/>
              <w:rPr>
                <w:rFonts w:eastAsia="仿宋"/>
                <w:sz w:val="21"/>
                <w:szCs w:val="21"/>
              </w:rPr>
            </w:pPr>
            <w:r>
              <w:rPr>
                <w:rFonts w:eastAsia="仿宋"/>
                <w:b/>
                <w:bCs/>
                <w:sz w:val="21"/>
                <w:szCs w:val="21"/>
              </w:rPr>
              <w:t>粗石江镇：</w:t>
            </w:r>
          </w:p>
          <w:p w14:paraId="4DEF083C">
            <w:pPr>
              <w:pStyle w:val="8"/>
              <w:spacing w:after="0"/>
              <w:rPr>
                <w:rFonts w:eastAsia="仿宋"/>
                <w:sz w:val="21"/>
                <w:szCs w:val="21"/>
              </w:rPr>
            </w:pPr>
            <w:r>
              <w:rPr>
                <w:rFonts w:eastAsia="仿宋"/>
                <w:sz w:val="21"/>
                <w:szCs w:val="21"/>
              </w:rPr>
              <w:t>红线/一般生态空间（三区三线生态红线/水源涵养重要区/森林公园/水土流失敏感区）；水环境一般管控区；大气环境优先保护区/大气环境受体敏感重点管控区；农用地优先保护区/一般管控区</w:t>
            </w:r>
          </w:p>
          <w:p w14:paraId="31748865">
            <w:pPr>
              <w:pStyle w:val="8"/>
              <w:spacing w:after="0"/>
              <w:rPr>
                <w:rFonts w:eastAsia="仿宋"/>
                <w:sz w:val="21"/>
                <w:szCs w:val="21"/>
              </w:rPr>
            </w:pPr>
            <w:r>
              <w:rPr>
                <w:rFonts w:eastAsia="仿宋"/>
                <w:b/>
                <w:bCs/>
                <w:sz w:val="21"/>
                <w:szCs w:val="21"/>
              </w:rPr>
              <w:t>桃川镇：</w:t>
            </w:r>
          </w:p>
          <w:p w14:paraId="2C0E14D1">
            <w:pPr>
              <w:pStyle w:val="8"/>
              <w:spacing w:after="0"/>
              <w:rPr>
                <w:rFonts w:eastAsia="仿宋"/>
                <w:sz w:val="21"/>
                <w:szCs w:val="21"/>
              </w:rPr>
            </w:pPr>
            <w:r>
              <w:rPr>
                <w:rFonts w:eastAsia="仿宋"/>
                <w:sz w:val="21"/>
                <w:szCs w:val="21"/>
              </w:rPr>
              <w:t>红线/一般生态空间（森林公园/水源涵养重要区/三区三线生态红线/生物多样性保护功能重要区/水土保持功能重要区/水土流失敏感区/原生态红线/石漠化敏感区）；水环境一般管控区；大气环境优先保护区/大气环境受体敏感重点管控区；农用地优先保护区/建设用地重点管控区/其他重点管控区/一般管控区</w:t>
            </w:r>
          </w:p>
          <w:p w14:paraId="00B2F208">
            <w:pPr>
              <w:pStyle w:val="8"/>
              <w:spacing w:after="0"/>
              <w:rPr>
                <w:rFonts w:eastAsia="仿宋"/>
                <w:sz w:val="21"/>
                <w:szCs w:val="21"/>
              </w:rPr>
            </w:pPr>
            <w:r>
              <w:rPr>
                <w:rFonts w:eastAsia="仿宋"/>
                <w:b/>
                <w:bCs/>
                <w:sz w:val="21"/>
                <w:szCs w:val="21"/>
              </w:rPr>
              <w:t>夏层铺镇：</w:t>
            </w:r>
          </w:p>
          <w:p w14:paraId="71AF03CC">
            <w:pPr>
              <w:pStyle w:val="8"/>
              <w:spacing w:after="0"/>
              <w:rPr>
                <w:rFonts w:eastAsia="仿宋"/>
                <w:sz w:val="21"/>
                <w:szCs w:val="21"/>
              </w:rPr>
            </w:pPr>
            <w:r>
              <w:rPr>
                <w:rFonts w:eastAsia="仿宋"/>
                <w:sz w:val="21"/>
                <w:szCs w:val="21"/>
              </w:rPr>
              <w:t>红线/一般生态空间（水源涵养重要区/三区三线生态红线/生物多样性保护功能重要区/水土流失敏感区/原生态红线/水土保持功能重要区/森林公园/石漠化敏感区/湿地公园）；水环境一般管控区；大气环境优先保护区/大气环境受体敏感重点管控区；农用地优先保护区/其他重点管控区/一般管控区</w:t>
            </w:r>
          </w:p>
          <w:p w14:paraId="7F3067BF">
            <w:pPr>
              <w:pStyle w:val="8"/>
              <w:spacing w:after="0"/>
              <w:rPr>
                <w:rFonts w:eastAsia="仿宋"/>
                <w:sz w:val="21"/>
                <w:szCs w:val="21"/>
              </w:rPr>
            </w:pPr>
            <w:r>
              <w:rPr>
                <w:rFonts w:eastAsia="仿宋"/>
                <w:b/>
                <w:bCs/>
                <w:sz w:val="21"/>
                <w:szCs w:val="21"/>
              </w:rPr>
              <w:t>回龙圩镇：</w:t>
            </w:r>
            <w:r>
              <w:rPr>
                <w:rFonts w:eastAsia="仿宋"/>
                <w:sz w:val="21"/>
                <w:szCs w:val="21"/>
              </w:rPr>
              <w:t>红线/一般生态空间（三区三线生态红线/水源涵养重要区/森林公园/生物多样性保护功能重要区/水土流失敏感区/原生态红线/水土保持功能重要区/石漠化敏感区）；水环境一般管控区；大气环境优先保护区/大气环境受体敏感重点管控区；农用地优先保护区/其他重点管控区/一般管控区</w:t>
            </w:r>
          </w:p>
        </w:tc>
      </w:tr>
      <w:tr w14:paraId="74C5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3041EA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管控维度</w:t>
            </w:r>
          </w:p>
        </w:tc>
        <w:tc>
          <w:tcPr>
            <w:tcW w:w="8077" w:type="dxa"/>
            <w:gridSpan w:val="9"/>
            <w:vAlign w:val="center"/>
          </w:tcPr>
          <w:p w14:paraId="46C198B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管控要求</w:t>
            </w:r>
          </w:p>
        </w:tc>
        <w:tc>
          <w:tcPr>
            <w:tcW w:w="4959" w:type="dxa"/>
            <w:gridSpan w:val="2"/>
            <w:vAlign w:val="center"/>
          </w:tcPr>
          <w:p w14:paraId="5461579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编制依据</w:t>
            </w:r>
          </w:p>
        </w:tc>
      </w:tr>
      <w:tr w14:paraId="004E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2DFB6E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77" w:type="dxa"/>
            <w:gridSpan w:val="9"/>
            <w:vAlign w:val="center"/>
          </w:tcPr>
          <w:p w14:paraId="294B1B60">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（1.1）产业准入应符合“江永县产业准入负面清单”的规定。积极推进农业产业基地建设。</w:t>
            </w:r>
          </w:p>
          <w:p w14:paraId="5DAB46B0">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（1.2）畜禽养殖产业布局应符合《江永县畜禽规模养殖“三区”划定方案》。</w:t>
            </w:r>
          </w:p>
        </w:tc>
        <w:tc>
          <w:tcPr>
            <w:tcW w:w="4959" w:type="dxa"/>
            <w:gridSpan w:val="2"/>
            <w:vMerge w:val="restart"/>
            <w:vAlign w:val="center"/>
          </w:tcPr>
          <w:p w14:paraId="1F3C8745">
            <w:pPr>
              <w:widowControl/>
              <w:rPr>
                <w:rFonts w:ascii="Times New Roman" w:hAnsi="Times New Roman" w:eastAsia="仿宋" w:cs="Times New Roman"/>
                <w:kern w:val="0"/>
                <w:szCs w:val="21"/>
              </w:rPr>
            </w:pPr>
            <w:r>
              <w:rPr>
                <w:rFonts w:ascii="Times New Roman" w:hAnsi="Times New Roman" w:eastAsia="仿宋" w:cs="Times New Roman"/>
                <w:kern w:val="0"/>
                <w:szCs w:val="21"/>
              </w:rPr>
              <w:t>（1.2）江永县人民政府办公室关于印发《江永县畜禽规模养殖“三区”划定方案》的通知（江永政办发〔2020〕1号）；</w:t>
            </w:r>
          </w:p>
          <w:p w14:paraId="2A729799">
            <w:pPr>
              <w:widowControl/>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《2023年江永县大气污染防治攻坚行动工作方案》；</w:t>
            </w:r>
          </w:p>
          <w:p w14:paraId="26F23285">
            <w:pPr>
              <w:widowControl/>
              <w:rPr>
                <w:rFonts w:ascii="Times New Roman" w:hAnsi="Times New Roman" w:eastAsia="仿宋" w:cs="Times New Roman"/>
                <w:szCs w:val="21"/>
              </w:rPr>
            </w:pPr>
            <w:r>
              <w:rPr>
                <w:rFonts w:ascii="Times New Roman" w:hAnsi="Times New Roman" w:eastAsia="仿宋" w:cs="Times New Roman"/>
                <w:szCs w:val="21"/>
              </w:rPr>
              <w:t>（2.4）《2023年江永县大气污染防治攻坚行动工作方案》；</w:t>
            </w:r>
          </w:p>
          <w:p w14:paraId="7245791D">
            <w:pPr>
              <w:widowControl/>
              <w:rPr>
                <w:rFonts w:ascii="Times New Roman" w:hAnsi="Times New Roman" w:eastAsia="仿宋" w:cs="Times New Roman"/>
                <w:szCs w:val="21"/>
              </w:rPr>
            </w:pPr>
            <w:r>
              <w:rPr>
                <w:rFonts w:ascii="Times New Roman" w:hAnsi="Times New Roman" w:eastAsia="仿宋" w:cs="Times New Roman"/>
                <w:szCs w:val="21"/>
              </w:rPr>
              <w:t>（2.5）《2023年江永县大气污染防治攻坚行动工作方案》；</w:t>
            </w:r>
          </w:p>
          <w:p w14:paraId="175530BF">
            <w:pPr>
              <w:widowControl/>
              <w:rPr>
                <w:rFonts w:ascii="Times New Roman" w:hAnsi="Times New Roman" w:eastAsia="仿宋" w:cs="Times New Roman"/>
                <w:szCs w:val="21"/>
              </w:rPr>
            </w:pPr>
            <w:r>
              <w:rPr>
                <w:rFonts w:ascii="Times New Roman" w:hAnsi="Times New Roman" w:eastAsia="仿宋" w:cs="Times New Roman"/>
                <w:szCs w:val="21"/>
              </w:rPr>
              <w:t>（3.1）</w:t>
            </w:r>
            <w:bookmarkStart w:id="52" w:name="_Hlk58572379"/>
            <w:r>
              <w:rPr>
                <w:rFonts w:ascii="Times New Roman" w:hAnsi="Times New Roman" w:eastAsia="仿宋" w:cs="Times New Roman"/>
                <w:szCs w:val="21"/>
              </w:rPr>
              <w:t>《永州市回龙圩管理区重污染天气应急预案》</w:t>
            </w:r>
            <w:bookmarkEnd w:id="52"/>
            <w:r>
              <w:rPr>
                <w:rFonts w:ascii="Times New Roman" w:hAnsi="Times New Roman" w:eastAsia="仿宋" w:cs="Times New Roman"/>
                <w:szCs w:val="21"/>
              </w:rPr>
              <w:t>；</w:t>
            </w:r>
          </w:p>
          <w:p w14:paraId="756963A8">
            <w:pPr>
              <w:widowControl/>
              <w:rPr>
                <w:rFonts w:ascii="Times New Roman" w:hAnsi="Times New Roman" w:eastAsia="仿宋" w:cs="Times New Roman"/>
                <w:kern w:val="0"/>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03BC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jc w:val="center"/>
        </w:trPr>
        <w:tc>
          <w:tcPr>
            <w:tcW w:w="1134" w:type="dxa"/>
            <w:vAlign w:val="center"/>
          </w:tcPr>
          <w:p w14:paraId="7DFE8A3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77" w:type="dxa"/>
            <w:gridSpan w:val="9"/>
            <w:vAlign w:val="center"/>
          </w:tcPr>
          <w:p w14:paraId="6E524455">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w:t>
            </w:r>
            <w:bookmarkStart w:id="53" w:name="_Hlk58575300"/>
            <w:r>
              <w:rPr>
                <w:rFonts w:ascii="Times New Roman" w:hAnsi="Times New Roman" w:eastAsia="仿宋" w:cs="Times New Roman"/>
                <w:kern w:val="0"/>
                <w:szCs w:val="21"/>
              </w:rPr>
              <w:t>在城市建成区及郊区严禁任何单位和个人燃放烟花爆竹，露天焚烧农作物秸秆和垃圾。</w:t>
            </w:r>
          </w:p>
          <w:p w14:paraId="7B1E221D">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（2.2）</w:t>
            </w:r>
            <w:r>
              <w:rPr>
                <w:rFonts w:ascii="Times New Roman" w:hAnsi="Times New Roman" w:eastAsia="仿宋" w:cs="Times New Roman"/>
                <w:b/>
                <w:bCs/>
                <w:kern w:val="0"/>
                <w:szCs w:val="21"/>
              </w:rPr>
              <w:t>夏层铺镇：</w:t>
            </w:r>
            <w:r>
              <w:rPr>
                <w:rFonts w:ascii="Times New Roman" w:hAnsi="Times New Roman" w:eastAsia="仿宋" w:cs="Times New Roman"/>
                <w:kern w:val="0"/>
                <w:szCs w:val="21"/>
              </w:rPr>
              <w:t>对甘棠河进行富营养化专项治理。</w:t>
            </w:r>
            <w:bookmarkEnd w:id="53"/>
          </w:p>
          <w:p w14:paraId="049460F9">
            <w:pPr>
              <w:widowControl/>
              <w:ind w:firstLine="420" w:firstLineChars="200"/>
              <w:rPr>
                <w:rFonts w:ascii="Times New Roman" w:hAnsi="Times New Roman" w:eastAsia="仿宋" w:cs="Times New Roman"/>
                <w:bCs/>
                <w:szCs w:val="21"/>
              </w:rPr>
            </w:pPr>
            <w:r>
              <w:rPr>
                <w:rFonts w:ascii="Times New Roman" w:hAnsi="Times New Roman" w:eastAsia="仿宋" w:cs="Times New Roman"/>
                <w:kern w:val="0"/>
                <w:szCs w:val="21"/>
              </w:rPr>
              <w:t>（2.3）</w:t>
            </w:r>
            <w:r>
              <w:rPr>
                <w:rFonts w:ascii="Times New Roman" w:hAnsi="Times New Roman" w:eastAsia="仿宋" w:cs="Times New Roman"/>
                <w:b/>
                <w:bCs/>
                <w:szCs w:val="21"/>
              </w:rPr>
              <w:t>回龙圩镇：</w:t>
            </w:r>
            <w:r>
              <w:rPr>
                <w:rFonts w:ascii="Times New Roman" w:hAnsi="Times New Roman" w:eastAsia="仿宋" w:cs="Times New Roman"/>
                <w:bCs/>
                <w:szCs w:val="21"/>
              </w:rPr>
              <w:t>加强农业面源污染防控，合理控制柑橘园农药、化肥用量，柑橘树枝及各类农产品包装物应当回收利用或规范处置。</w:t>
            </w:r>
          </w:p>
          <w:p w14:paraId="0AD278A8">
            <w:pPr>
              <w:widowControl/>
              <w:ind w:firstLine="420" w:firstLineChars="200"/>
              <w:rPr>
                <w:rFonts w:ascii="Times New Roman" w:hAnsi="Times New Roman" w:eastAsia="仿宋" w:cs="Times New Roman"/>
                <w:bCs/>
                <w:szCs w:val="21"/>
              </w:rPr>
            </w:pPr>
            <w:r>
              <w:rPr>
                <w:rFonts w:ascii="Times New Roman" w:hAnsi="Times New Roman" w:eastAsia="仿宋" w:cs="Times New Roman"/>
                <w:bCs/>
                <w:szCs w:val="21"/>
              </w:rPr>
              <w:t>（2.4）采石企业必须安装喷雾降尘设施并保证施工作业正常开启，抑尘到位，堆料场应采取覆盖、围挡措施，厂区内道路保持清洁湿润，车辆做好冲洗工作。</w:t>
            </w:r>
          </w:p>
          <w:p w14:paraId="28A34C9B">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bCs/>
                <w:szCs w:val="21"/>
              </w:rPr>
              <w:t>（2.5）全面落实砖瓦企业的扬尘管控规范化措施、生产环节封闭式管理和粉尘收集处理措施。</w:t>
            </w:r>
          </w:p>
        </w:tc>
        <w:tc>
          <w:tcPr>
            <w:tcW w:w="4959" w:type="dxa"/>
            <w:gridSpan w:val="2"/>
            <w:vMerge w:val="continue"/>
            <w:vAlign w:val="center"/>
          </w:tcPr>
          <w:p w14:paraId="5F083BC7">
            <w:pPr>
              <w:widowControl/>
              <w:rPr>
                <w:rFonts w:ascii="Times New Roman" w:hAnsi="Times New Roman" w:eastAsia="仿宋" w:cs="Times New Roman"/>
                <w:kern w:val="0"/>
                <w:szCs w:val="21"/>
              </w:rPr>
            </w:pPr>
          </w:p>
        </w:tc>
      </w:tr>
      <w:tr w14:paraId="502A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1134" w:type="dxa"/>
            <w:vAlign w:val="center"/>
          </w:tcPr>
          <w:p w14:paraId="6E4309B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77" w:type="dxa"/>
            <w:gridSpan w:val="9"/>
            <w:vAlign w:val="center"/>
          </w:tcPr>
          <w:p w14:paraId="570C81DB">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（3.1）建立集中式饮用水源污染应急预案和安全保障体系。对威胁饮用水水源地安全的重点排污企业要逐一建立应急预案。</w:t>
            </w:r>
          </w:p>
          <w:p w14:paraId="587BF857">
            <w:pPr>
              <w:widowControl/>
              <w:ind w:firstLine="420" w:firstLineChars="200"/>
              <w:rPr>
                <w:rFonts w:ascii="Times New Roman" w:hAnsi="Times New Roman" w:eastAsia="仿宋" w:cs="Times New Roman"/>
                <w:kern w:val="0"/>
                <w:szCs w:val="21"/>
              </w:rPr>
            </w:pPr>
            <w:bookmarkStart w:id="54" w:name="_Hlk58575210"/>
            <w:r>
              <w:rPr>
                <w:rFonts w:ascii="Times New Roman" w:hAnsi="Times New Roman" w:eastAsia="仿宋" w:cs="Times New Roman"/>
                <w:kern w:val="0"/>
                <w:szCs w:val="21"/>
              </w:rPr>
              <w:t>（3.2）有关部门组织对非凡化工搬迁后的遗留场地进行场地调查，如确有污染应依法治理并加强用途管控。</w:t>
            </w:r>
            <w:bookmarkEnd w:id="54"/>
          </w:p>
          <w:p w14:paraId="2FCF2FF3">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（3.3）</w:t>
            </w:r>
            <w:r>
              <w:rPr>
                <w:rFonts w:ascii="Times New Roman" w:hAnsi="Times New Roman" w:eastAsia="仿宋" w:cs="Times New Roman"/>
                <w:b/>
                <w:bCs/>
                <w:szCs w:val="21"/>
              </w:rPr>
              <w:t>回龙圩镇：按照《永州市回龙圩管理区重污染天气应急预案》进行区域内发生重污染天气的预警和应急响应。</w:t>
            </w:r>
          </w:p>
        </w:tc>
        <w:tc>
          <w:tcPr>
            <w:tcW w:w="4959" w:type="dxa"/>
            <w:gridSpan w:val="2"/>
            <w:vMerge w:val="continue"/>
            <w:vAlign w:val="center"/>
          </w:tcPr>
          <w:p w14:paraId="65698019">
            <w:pPr>
              <w:widowControl/>
              <w:rPr>
                <w:rFonts w:ascii="Times New Roman" w:hAnsi="Times New Roman" w:eastAsia="仿宋" w:cs="Times New Roman"/>
                <w:kern w:val="0"/>
                <w:szCs w:val="21"/>
              </w:rPr>
            </w:pPr>
          </w:p>
        </w:tc>
      </w:tr>
      <w:tr w14:paraId="50C4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ACEB4E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77" w:type="dxa"/>
            <w:gridSpan w:val="9"/>
            <w:vAlign w:val="center"/>
          </w:tcPr>
          <w:p w14:paraId="4E21D7C8">
            <w:pPr>
              <w:widowControl/>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5B93B04C">
            <w:pPr>
              <w:widowControl/>
              <w:ind w:firstLine="420" w:firstLineChars="20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b/>
                <w:bCs/>
                <w:szCs w:val="21"/>
              </w:rPr>
              <w:t>回龙圩镇：</w:t>
            </w:r>
            <w:r>
              <w:rPr>
                <w:rFonts w:ascii="Times New Roman" w:hAnsi="Times New Roman" w:eastAsia="仿宋" w:cs="Times New Roman"/>
                <w:szCs w:val="21"/>
              </w:rPr>
              <w:t>在协调好与生态保护红线、湿地公园和永久基本农田关系的前提下，加快推进晨光水库建设，着力解决相关区域水资源短缺问题。</w:t>
            </w:r>
          </w:p>
          <w:p w14:paraId="67698CFA">
            <w:pPr>
              <w:widowControl/>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（4.3）到2025年，江永县用水总量目标为14923万m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，农业用水总量控制在11295万m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，万元地区生产总值用水量、万元工业增加值用水量分别比2020年降低20.15%、8.87%，农田灌溉水有效利用系数为0.555。</w:t>
            </w:r>
          </w:p>
        </w:tc>
        <w:tc>
          <w:tcPr>
            <w:tcW w:w="4959" w:type="dxa"/>
            <w:gridSpan w:val="2"/>
            <w:vMerge w:val="continue"/>
            <w:vAlign w:val="center"/>
          </w:tcPr>
          <w:p w14:paraId="0786A2A2">
            <w:pPr>
              <w:widowControl/>
              <w:rPr>
                <w:rFonts w:ascii="Times New Roman" w:hAnsi="Times New Roman" w:eastAsia="仿宋" w:cs="Times New Roman"/>
                <w:kern w:val="0"/>
                <w:szCs w:val="21"/>
              </w:rPr>
            </w:pPr>
          </w:p>
        </w:tc>
      </w:tr>
    </w:tbl>
    <w:p w14:paraId="42F7F1CA">
      <w:pPr>
        <w:rPr>
          <w:rFonts w:ascii="Times New Roman" w:hAnsi="Times New Roman" w:eastAsia="仿宋" w:cs="Times New Roman"/>
          <w:szCs w:val="21"/>
        </w:rPr>
      </w:pPr>
    </w:p>
    <w:p w14:paraId="4F38E615">
      <w:pPr>
        <w:rPr>
          <w:rFonts w:ascii="Times New Roman" w:hAnsi="Times New Roman" w:eastAsia="仿宋" w:cs="Times New Roman"/>
          <w:szCs w:val="21"/>
        </w:rPr>
      </w:pPr>
    </w:p>
    <w:p w14:paraId="5378CEC9">
      <w:pPr>
        <w:rPr>
          <w:rFonts w:ascii="Times New Roman" w:hAnsi="Times New Roman" w:eastAsia="仿宋" w:cs="Times New Roman"/>
          <w:szCs w:val="21"/>
        </w:rPr>
        <w:sectPr>
          <w:pgSz w:w="16838" w:h="11906" w:orient="landscape"/>
          <w:pgMar w:top="1800" w:right="1440" w:bottom="1800" w:left="1440" w:header="851" w:footer="992" w:gutter="0"/>
          <w:cols w:space="425" w:num="1"/>
          <w:docGrid w:type="lines" w:linePitch="312" w:charSpace="0"/>
        </w:sectPr>
      </w:pPr>
    </w:p>
    <w:p w14:paraId="063885CD">
      <w:pPr>
        <w:tabs>
          <w:tab w:val="left" w:pos="2835"/>
        </w:tabs>
        <w:spacing w:line="348" w:lineRule="auto"/>
        <w:jc w:val="center"/>
        <w:outlineLvl w:val="0"/>
        <w:rPr>
          <w:rFonts w:ascii="Times New Roman" w:hAnsi="Times New Roman" w:eastAsia="仿宋" w:cs="Times New Roman"/>
          <w:b/>
          <w:szCs w:val="21"/>
        </w:rPr>
      </w:pPr>
      <w:bookmarkStart w:id="55" w:name="_Toc11635"/>
      <w:bookmarkStart w:id="56" w:name="_Toc160709117"/>
      <w:r>
        <w:rPr>
          <w:rFonts w:ascii="Times New Roman" w:hAnsi="Times New Roman" w:eastAsia="仿宋" w:cs="Times New Roman"/>
          <w:b/>
          <w:szCs w:val="21"/>
        </w:rPr>
        <w:t>8  宁远县</w:t>
      </w:r>
      <w:bookmarkEnd w:id="55"/>
      <w:bookmarkEnd w:id="56"/>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13"/>
        <w:gridCol w:w="425"/>
        <w:gridCol w:w="425"/>
        <w:gridCol w:w="466"/>
        <w:gridCol w:w="1134"/>
        <w:gridCol w:w="992"/>
        <w:gridCol w:w="1479"/>
        <w:gridCol w:w="1155"/>
        <w:gridCol w:w="2004"/>
        <w:gridCol w:w="831"/>
        <w:gridCol w:w="2735"/>
      </w:tblGrid>
      <w:tr w14:paraId="39C8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0E80522C">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413" w:type="dxa"/>
            <w:vMerge w:val="restart"/>
            <w:vAlign w:val="center"/>
          </w:tcPr>
          <w:p w14:paraId="2DE75F37">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316" w:type="dxa"/>
            <w:gridSpan w:val="3"/>
            <w:vAlign w:val="center"/>
          </w:tcPr>
          <w:p w14:paraId="20AFB97D">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22BBDEAA">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992" w:type="dxa"/>
            <w:vMerge w:val="restart"/>
            <w:vAlign w:val="center"/>
          </w:tcPr>
          <w:p w14:paraId="745C44BA">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479" w:type="dxa"/>
            <w:vMerge w:val="restart"/>
            <w:vAlign w:val="center"/>
          </w:tcPr>
          <w:p w14:paraId="00310854">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155" w:type="dxa"/>
            <w:vMerge w:val="restart"/>
            <w:vAlign w:val="center"/>
          </w:tcPr>
          <w:p w14:paraId="6D50C489">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835" w:type="dxa"/>
            <w:gridSpan w:val="2"/>
            <w:vMerge w:val="restart"/>
            <w:vAlign w:val="center"/>
          </w:tcPr>
          <w:p w14:paraId="7ABADD69">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735" w:type="dxa"/>
            <w:vMerge w:val="restart"/>
            <w:vAlign w:val="center"/>
          </w:tcPr>
          <w:p w14:paraId="0336EFC3">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57F9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7A57D82F">
            <w:pPr>
              <w:rPr>
                <w:rFonts w:ascii="Times New Roman" w:hAnsi="Times New Roman" w:eastAsia="仿宋" w:cs="Times New Roman"/>
                <w:b/>
                <w:szCs w:val="21"/>
              </w:rPr>
            </w:pPr>
          </w:p>
        </w:tc>
        <w:tc>
          <w:tcPr>
            <w:tcW w:w="1413" w:type="dxa"/>
            <w:vMerge w:val="continue"/>
            <w:vAlign w:val="center"/>
          </w:tcPr>
          <w:p w14:paraId="39BE4FAC">
            <w:pPr>
              <w:rPr>
                <w:rFonts w:ascii="Times New Roman" w:hAnsi="Times New Roman" w:eastAsia="仿宋" w:cs="Times New Roman"/>
                <w:b/>
                <w:szCs w:val="21"/>
              </w:rPr>
            </w:pPr>
          </w:p>
        </w:tc>
        <w:tc>
          <w:tcPr>
            <w:tcW w:w="425" w:type="dxa"/>
            <w:vAlign w:val="center"/>
          </w:tcPr>
          <w:p w14:paraId="77FE14CA">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19378596">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66" w:type="dxa"/>
            <w:vAlign w:val="center"/>
          </w:tcPr>
          <w:p w14:paraId="61B5283B">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5BD66758">
            <w:pPr>
              <w:jc w:val="center"/>
              <w:rPr>
                <w:rFonts w:ascii="Times New Roman" w:hAnsi="Times New Roman" w:eastAsia="仿宋" w:cs="Times New Roman"/>
                <w:b/>
                <w:szCs w:val="21"/>
              </w:rPr>
            </w:pPr>
          </w:p>
        </w:tc>
        <w:tc>
          <w:tcPr>
            <w:tcW w:w="992" w:type="dxa"/>
            <w:vMerge w:val="continue"/>
            <w:vAlign w:val="center"/>
          </w:tcPr>
          <w:p w14:paraId="30C7D57C">
            <w:pPr>
              <w:jc w:val="center"/>
              <w:rPr>
                <w:rFonts w:ascii="Times New Roman" w:hAnsi="Times New Roman" w:eastAsia="仿宋" w:cs="Times New Roman"/>
                <w:b/>
                <w:szCs w:val="21"/>
              </w:rPr>
            </w:pPr>
          </w:p>
        </w:tc>
        <w:tc>
          <w:tcPr>
            <w:tcW w:w="1479" w:type="dxa"/>
            <w:vMerge w:val="continue"/>
            <w:vAlign w:val="center"/>
          </w:tcPr>
          <w:p w14:paraId="16E2D8A8">
            <w:pPr>
              <w:jc w:val="center"/>
              <w:rPr>
                <w:rFonts w:ascii="Times New Roman" w:hAnsi="Times New Roman" w:eastAsia="仿宋" w:cs="Times New Roman"/>
                <w:b/>
                <w:szCs w:val="21"/>
              </w:rPr>
            </w:pPr>
          </w:p>
        </w:tc>
        <w:tc>
          <w:tcPr>
            <w:tcW w:w="1155" w:type="dxa"/>
            <w:vMerge w:val="continue"/>
            <w:vAlign w:val="center"/>
          </w:tcPr>
          <w:p w14:paraId="7C4CC0C6">
            <w:pPr>
              <w:jc w:val="center"/>
              <w:rPr>
                <w:rFonts w:ascii="Times New Roman" w:hAnsi="Times New Roman" w:eastAsia="仿宋" w:cs="Times New Roman"/>
                <w:b/>
                <w:szCs w:val="21"/>
              </w:rPr>
            </w:pPr>
          </w:p>
        </w:tc>
        <w:tc>
          <w:tcPr>
            <w:tcW w:w="2835" w:type="dxa"/>
            <w:gridSpan w:val="2"/>
            <w:vMerge w:val="continue"/>
            <w:vAlign w:val="center"/>
          </w:tcPr>
          <w:p w14:paraId="3077AE50">
            <w:pPr>
              <w:jc w:val="center"/>
              <w:rPr>
                <w:rFonts w:ascii="Times New Roman" w:hAnsi="Times New Roman" w:eastAsia="仿宋" w:cs="Times New Roman"/>
                <w:b/>
                <w:szCs w:val="21"/>
              </w:rPr>
            </w:pPr>
          </w:p>
        </w:tc>
        <w:tc>
          <w:tcPr>
            <w:tcW w:w="2735" w:type="dxa"/>
            <w:vMerge w:val="continue"/>
            <w:vAlign w:val="center"/>
          </w:tcPr>
          <w:p w14:paraId="66AF05E7">
            <w:pPr>
              <w:jc w:val="center"/>
              <w:rPr>
                <w:rFonts w:ascii="Times New Roman" w:hAnsi="Times New Roman" w:eastAsia="仿宋" w:cs="Times New Roman"/>
                <w:b/>
                <w:szCs w:val="21"/>
              </w:rPr>
            </w:pPr>
          </w:p>
        </w:tc>
      </w:tr>
      <w:tr w14:paraId="0C6A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02C5C628">
            <w:pPr>
              <w:rPr>
                <w:rFonts w:ascii="Times New Roman" w:hAnsi="Times New Roman" w:eastAsia="仿宋" w:cs="Times New Roman"/>
                <w:szCs w:val="21"/>
              </w:rPr>
            </w:pPr>
            <w:r>
              <w:rPr>
                <w:rFonts w:ascii="Times New Roman" w:hAnsi="Times New Roman" w:eastAsia="仿宋" w:cs="Times New Roman"/>
                <w:szCs w:val="21"/>
              </w:rPr>
              <w:t>ZH43112610001</w:t>
            </w:r>
          </w:p>
        </w:tc>
        <w:tc>
          <w:tcPr>
            <w:tcW w:w="1413" w:type="dxa"/>
            <w:vAlign w:val="center"/>
          </w:tcPr>
          <w:p w14:paraId="310CE283">
            <w:pPr>
              <w:jc w:val="center"/>
              <w:rPr>
                <w:rFonts w:ascii="Times New Roman" w:hAnsi="Times New Roman" w:eastAsia="仿宋" w:cs="Times New Roman"/>
                <w:szCs w:val="21"/>
              </w:rPr>
            </w:pPr>
            <w:r>
              <w:rPr>
                <w:rFonts w:ascii="Times New Roman" w:hAnsi="Times New Roman" w:eastAsia="仿宋" w:cs="Times New Roman"/>
                <w:szCs w:val="21"/>
              </w:rPr>
              <w:t>九嶷山瑶族乡/湾井镇</w:t>
            </w:r>
          </w:p>
        </w:tc>
        <w:tc>
          <w:tcPr>
            <w:tcW w:w="425" w:type="dxa"/>
            <w:vAlign w:val="center"/>
          </w:tcPr>
          <w:p w14:paraId="197C65BF">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7D14254B">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66" w:type="dxa"/>
            <w:vAlign w:val="center"/>
          </w:tcPr>
          <w:p w14:paraId="31D536F1">
            <w:pPr>
              <w:jc w:val="center"/>
              <w:rPr>
                <w:rFonts w:ascii="Times New Roman" w:hAnsi="Times New Roman" w:eastAsia="仿宋" w:cs="Times New Roman"/>
                <w:szCs w:val="21"/>
              </w:rPr>
            </w:pPr>
            <w:r>
              <w:rPr>
                <w:rFonts w:ascii="Times New Roman" w:hAnsi="Times New Roman" w:eastAsia="仿宋" w:cs="Times New Roman"/>
                <w:szCs w:val="21"/>
              </w:rPr>
              <w:t>宁远县</w:t>
            </w:r>
          </w:p>
        </w:tc>
        <w:tc>
          <w:tcPr>
            <w:tcW w:w="1134" w:type="dxa"/>
            <w:vAlign w:val="center"/>
          </w:tcPr>
          <w:p w14:paraId="58C3141F">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992" w:type="dxa"/>
            <w:vAlign w:val="center"/>
          </w:tcPr>
          <w:p w14:paraId="7892A097">
            <w:pPr>
              <w:jc w:val="center"/>
              <w:rPr>
                <w:rFonts w:ascii="Times New Roman" w:hAnsi="Times New Roman" w:eastAsia="仿宋" w:cs="Times New Roman"/>
                <w:strike/>
                <w:szCs w:val="21"/>
              </w:rPr>
            </w:pPr>
            <w:r>
              <w:rPr>
                <w:rFonts w:ascii="Times New Roman" w:hAnsi="Times New Roman" w:eastAsia="仿宋" w:cs="Times New Roman"/>
                <w:szCs w:val="21"/>
              </w:rPr>
              <w:t>416.97</w:t>
            </w:r>
          </w:p>
        </w:tc>
        <w:tc>
          <w:tcPr>
            <w:tcW w:w="1479" w:type="dxa"/>
            <w:vAlign w:val="center"/>
          </w:tcPr>
          <w:p w14:paraId="2D3AB9BB">
            <w:pPr>
              <w:jc w:val="center"/>
              <w:rPr>
                <w:rFonts w:ascii="Times New Roman" w:hAnsi="Times New Roman" w:eastAsia="仿宋" w:cs="Times New Roman"/>
                <w:szCs w:val="21"/>
              </w:rPr>
            </w:pPr>
            <w:r>
              <w:rPr>
                <w:rFonts w:ascii="Times New Roman" w:hAnsi="Times New Roman" w:eastAsia="仿宋" w:cs="Times New Roman"/>
                <w:szCs w:val="21"/>
              </w:rPr>
              <w:t>九嶷山瑶族乡/湾井镇</w:t>
            </w:r>
          </w:p>
        </w:tc>
        <w:tc>
          <w:tcPr>
            <w:tcW w:w="1155" w:type="dxa"/>
            <w:vAlign w:val="center"/>
          </w:tcPr>
          <w:p w14:paraId="45A35FB7">
            <w:pPr>
              <w:jc w:val="center"/>
              <w:rPr>
                <w:rFonts w:ascii="Times New Roman" w:hAnsi="Times New Roman" w:eastAsia="仿宋" w:cs="Times New Roman"/>
                <w:szCs w:val="21"/>
              </w:rPr>
            </w:pPr>
            <w:r>
              <w:rPr>
                <w:rFonts w:ascii="Times New Roman" w:hAnsi="Times New Roman" w:eastAsia="仿宋" w:cs="Times New Roman"/>
                <w:szCs w:val="21"/>
              </w:rPr>
              <w:t>重点生态功能区</w:t>
            </w:r>
          </w:p>
        </w:tc>
        <w:tc>
          <w:tcPr>
            <w:tcW w:w="2835" w:type="dxa"/>
            <w:gridSpan w:val="2"/>
            <w:vAlign w:val="center"/>
          </w:tcPr>
          <w:p w14:paraId="0D0A16F6">
            <w:pPr>
              <w:jc w:val="left"/>
              <w:rPr>
                <w:rFonts w:ascii="Times New Roman" w:hAnsi="Times New Roman" w:eastAsia="仿宋" w:cs="Times New Roman"/>
                <w:szCs w:val="21"/>
              </w:rPr>
            </w:pPr>
            <w:r>
              <w:rPr>
                <w:rFonts w:ascii="Times New Roman" w:hAnsi="Times New Roman" w:eastAsia="仿宋" w:cs="Times New Roman"/>
                <w:b/>
                <w:bCs/>
                <w:szCs w:val="21"/>
              </w:rPr>
              <w:t>九嶷山瑶族乡：</w:t>
            </w:r>
            <w:r>
              <w:rPr>
                <w:rFonts w:ascii="Times New Roman" w:hAnsi="Times New Roman" w:eastAsia="仿宋" w:cs="Times New Roman"/>
                <w:szCs w:val="21"/>
              </w:rPr>
              <w:t>农业、旅游业、林业、农副产品加工。</w:t>
            </w:r>
          </w:p>
          <w:p w14:paraId="6C884E9A">
            <w:pPr>
              <w:jc w:val="left"/>
              <w:rPr>
                <w:rFonts w:ascii="Times New Roman" w:hAnsi="Times New Roman" w:eastAsia="仿宋" w:cs="Times New Roman"/>
                <w:szCs w:val="21"/>
              </w:rPr>
            </w:pPr>
            <w:r>
              <w:rPr>
                <w:rFonts w:ascii="Times New Roman" w:hAnsi="Times New Roman" w:eastAsia="仿宋" w:cs="Times New Roman"/>
                <w:b/>
                <w:szCs w:val="21"/>
              </w:rPr>
              <w:t>湾井镇：</w:t>
            </w:r>
            <w:r>
              <w:rPr>
                <w:rFonts w:ascii="Times New Roman" w:hAnsi="Times New Roman" w:eastAsia="仿宋" w:cs="Times New Roman"/>
                <w:szCs w:val="21"/>
              </w:rPr>
              <w:t>农业、旅游业、养殖业、林业、农副产品加工。</w:t>
            </w:r>
          </w:p>
        </w:tc>
        <w:tc>
          <w:tcPr>
            <w:tcW w:w="2735" w:type="dxa"/>
            <w:vAlign w:val="center"/>
          </w:tcPr>
          <w:p w14:paraId="43250794">
            <w:pPr>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18B4971A">
            <w:pPr>
              <w:jc w:val="left"/>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九嶷山国家级自然保护区、九嶷山国家森林公园、九嶷山－舜帝陵国家级风景名胜区、</w:t>
            </w:r>
            <w:r>
              <w:rPr>
                <w:rFonts w:ascii="Times New Roman" w:hAnsi="Times New Roman" w:eastAsia="仿宋" w:cs="Times New Roman"/>
                <w:kern w:val="0"/>
                <w:szCs w:val="21"/>
              </w:rPr>
              <w:t>九嶷河国家湿地公园、</w:t>
            </w:r>
            <w:r>
              <w:rPr>
                <w:rFonts w:ascii="Times New Roman" w:hAnsi="Times New Roman" w:eastAsia="仿宋" w:cs="Times New Roman"/>
                <w:szCs w:val="21"/>
              </w:rPr>
              <w:t>永州市宁远县湾井镇半山水库饮用水水源保护区、永州市宁远县九嶷山瑶族乡九嶷河宁远河饮用水水源保护区。</w:t>
            </w:r>
          </w:p>
        </w:tc>
      </w:tr>
      <w:tr w14:paraId="4DF3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0" w:hRule="atLeast"/>
          <w:jc w:val="center"/>
        </w:trPr>
        <w:tc>
          <w:tcPr>
            <w:tcW w:w="1134" w:type="dxa"/>
            <w:vAlign w:val="center"/>
          </w:tcPr>
          <w:p w14:paraId="134948E1">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080998E2">
            <w:pPr>
              <w:rPr>
                <w:rFonts w:ascii="Times New Roman" w:hAnsi="Times New Roman" w:eastAsia="仿宋" w:cs="Times New Roman"/>
                <w:szCs w:val="21"/>
              </w:rPr>
            </w:pPr>
            <w:r>
              <w:rPr>
                <w:rFonts w:ascii="Times New Roman" w:hAnsi="Times New Roman" w:eastAsia="仿宋" w:cs="Times New Roman"/>
                <w:b/>
                <w:szCs w:val="21"/>
              </w:rPr>
              <w:t>九嶷山瑶族乡：</w:t>
            </w:r>
          </w:p>
          <w:p w14:paraId="68D4DAFF">
            <w:pPr>
              <w:rPr>
                <w:rFonts w:ascii="Times New Roman" w:hAnsi="Times New Roman" w:eastAsia="仿宋" w:cs="Times New Roman"/>
                <w:szCs w:val="21"/>
              </w:rPr>
            </w:pPr>
            <w:r>
              <w:rPr>
                <w:rFonts w:ascii="Times New Roman" w:hAnsi="Times New Roman" w:eastAsia="仿宋" w:cs="Times New Roman"/>
                <w:szCs w:val="21"/>
              </w:rPr>
              <w:t>红线/一般生态空间（自然保护区/森林公园/水源涵养重要区/三区三线生态红线/风景名胜区/水土保持功能重要区/湿地公园/水土流失敏感区/原生态红线/生物多样性保护功能重要区/石漠化敏感区）；水环境优先保护区/水环境一般管控区；大气环境优先保护区/大气环境受体敏感重点管控区；农用地优先保护区/其他重点管控区/一般管控区</w:t>
            </w:r>
          </w:p>
          <w:p w14:paraId="372A18B9">
            <w:pPr>
              <w:widowControl/>
              <w:rPr>
                <w:rFonts w:ascii="Times New Roman" w:hAnsi="Times New Roman" w:eastAsia="仿宋" w:cs="Times New Roman"/>
                <w:kern w:val="0"/>
                <w:szCs w:val="21"/>
              </w:rPr>
            </w:pPr>
            <w:r>
              <w:rPr>
                <w:rFonts w:ascii="Times New Roman" w:hAnsi="Times New Roman" w:eastAsia="仿宋" w:cs="Times New Roman"/>
                <w:b/>
                <w:szCs w:val="21"/>
              </w:rPr>
              <w:t>湾井镇:</w:t>
            </w:r>
          </w:p>
          <w:p w14:paraId="78CAC659">
            <w:pPr>
              <w:widowControl/>
              <w:rPr>
                <w:rFonts w:ascii="Times New Roman" w:hAnsi="Times New Roman" w:eastAsia="仿宋" w:cs="Times New Roman"/>
                <w:szCs w:val="21"/>
              </w:rPr>
            </w:pPr>
            <w:r>
              <w:rPr>
                <w:rFonts w:ascii="Times New Roman" w:hAnsi="Times New Roman" w:eastAsia="仿宋" w:cs="Times New Roman"/>
                <w:szCs w:val="21"/>
              </w:rPr>
              <w:t>红线/一般生态空间（风景名胜区/三区三线生态红线/水源涵养重要区/生物多样性保护功能重要区/水土流失敏感区/水土保持功能重要区/原生态红线/石漠化敏感区）；水环境优先保护区/水环境一般管控区；大气环境优先保护区/大气环境弱扩散重点管控区；农用地优先保护区/农用地重点管控区/其他重点管控区/一般管控区</w:t>
            </w:r>
          </w:p>
        </w:tc>
      </w:tr>
      <w:tr w14:paraId="0BF4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3F31BEC">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493" w:type="dxa"/>
            <w:gridSpan w:val="9"/>
            <w:vAlign w:val="center"/>
          </w:tcPr>
          <w:p w14:paraId="7C555DBE">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566" w:type="dxa"/>
            <w:gridSpan w:val="2"/>
            <w:vAlign w:val="center"/>
          </w:tcPr>
          <w:p w14:paraId="504176E4">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D0F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1A3E67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493" w:type="dxa"/>
            <w:gridSpan w:val="9"/>
            <w:vAlign w:val="center"/>
          </w:tcPr>
          <w:p w14:paraId="08C87778">
            <w:pPr>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（1.1）产业准入应符合“宁远县产业准入负面清单”的规定。积极发展旅游业、生态农业。</w:t>
            </w:r>
          </w:p>
          <w:p w14:paraId="1E840FB4">
            <w:pPr>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企业布局应符合《宁远县畜禽养殖布局规划》。禁止养殖区内严禁新建、改建、扩建各类畜禽养殖场。不得在县城上风向1000米范围内新建、扩建畜禽养殖场，规模化畜禽养殖场场界周围应有合理的卫生防护距离。</w:t>
            </w:r>
          </w:p>
          <w:p w14:paraId="7970C5C5">
            <w:pPr>
              <w:pStyle w:val="55"/>
              <w:ind w:firstLine="422"/>
              <w:rPr>
                <w:rFonts w:eastAsia="仿宋"/>
                <w:szCs w:val="21"/>
              </w:rPr>
            </w:pPr>
            <w:r>
              <w:rPr>
                <w:rFonts w:eastAsia="仿宋"/>
                <w:b/>
                <w:szCs w:val="21"/>
              </w:rPr>
              <w:t>九嶷山瑶族乡：</w:t>
            </w:r>
          </w:p>
          <w:p w14:paraId="25F926C0">
            <w:pPr>
              <w:ind w:firstLine="420" w:firstLineChars="200"/>
              <w:rPr>
                <w:rFonts w:ascii="Times New Roman" w:hAnsi="Times New Roman" w:eastAsia="仿宋" w:cs="Times New Roman"/>
                <w:szCs w:val="21"/>
              </w:rPr>
            </w:pPr>
            <w:r>
              <w:rPr>
                <w:rFonts w:ascii="Times New Roman" w:hAnsi="Times New Roman" w:eastAsia="仿宋" w:cs="Times New Roman"/>
                <w:szCs w:val="21"/>
              </w:rPr>
              <w:t>（1.3）九嶷河国家湿地公园应执行《中华人民共和国湿地保护法》、《国家级自然公园管理办法（试行）》、《湖南宁远九嶷河湿地公园管理办法（试行）》。</w:t>
            </w:r>
          </w:p>
          <w:p w14:paraId="17F5AFE4">
            <w:pPr>
              <w:ind w:firstLine="420" w:firstLineChars="200"/>
              <w:rPr>
                <w:rFonts w:ascii="Times New Roman" w:hAnsi="Times New Roman" w:eastAsia="仿宋" w:cs="Times New Roman"/>
                <w:szCs w:val="21"/>
              </w:rPr>
            </w:pPr>
            <w:r>
              <w:rPr>
                <w:rFonts w:ascii="Times New Roman" w:hAnsi="Times New Roman" w:eastAsia="仿宋" w:cs="Times New Roman"/>
                <w:szCs w:val="21"/>
              </w:rPr>
              <w:t>（1.4）九嶷山国家级自然保护区应执行《中华人民共和国自然保护区条例》、《九嶷山国家级自然保护区管理办法（试行）》。</w:t>
            </w:r>
          </w:p>
          <w:p w14:paraId="2CF96F96">
            <w:pPr>
              <w:ind w:firstLine="420" w:firstLineChars="200"/>
              <w:rPr>
                <w:rFonts w:ascii="Times New Roman" w:hAnsi="Times New Roman" w:eastAsia="仿宋" w:cs="Times New Roman"/>
                <w:szCs w:val="21"/>
              </w:rPr>
            </w:pPr>
            <w:r>
              <w:rPr>
                <w:rFonts w:ascii="Times New Roman" w:hAnsi="Times New Roman" w:eastAsia="仿宋" w:cs="Times New Roman"/>
                <w:szCs w:val="21"/>
              </w:rPr>
              <w:t>（1.5）九嶷山国家森林公园应执行《国家级森林公园管理办法》、《湖南省森林公园条例》、《九嶷山国家森林公园管理办法（试行）》。</w:t>
            </w:r>
          </w:p>
          <w:p w14:paraId="465F1303">
            <w:pPr>
              <w:ind w:firstLine="420" w:firstLineChars="200"/>
              <w:rPr>
                <w:rFonts w:ascii="Times New Roman" w:hAnsi="Times New Roman" w:eastAsia="仿宋" w:cs="Times New Roman"/>
                <w:szCs w:val="21"/>
              </w:rPr>
            </w:pPr>
            <w:r>
              <w:rPr>
                <w:rFonts w:ascii="Times New Roman" w:hAnsi="Times New Roman" w:eastAsia="仿宋" w:cs="Times New Roman"/>
                <w:szCs w:val="21"/>
              </w:rPr>
              <w:t>（1.6）九嶷山－舜帝陵国家级风景名胜区应执行《风景名胜区条例》、《湖南省风景名胜区条例》、《九嶷山－舜帝陵风景名胜区管理办法（试行）》。</w:t>
            </w:r>
          </w:p>
          <w:p w14:paraId="3EEB28B0">
            <w:pPr>
              <w:ind w:firstLine="420" w:firstLineChars="200"/>
              <w:rPr>
                <w:rFonts w:ascii="Times New Roman" w:hAnsi="Times New Roman" w:eastAsia="仿宋" w:cs="Times New Roman"/>
                <w:szCs w:val="21"/>
              </w:rPr>
            </w:pPr>
            <w:r>
              <w:rPr>
                <w:rFonts w:ascii="Times New Roman" w:hAnsi="Times New Roman" w:eastAsia="仿宋" w:cs="Times New Roman"/>
                <w:szCs w:val="21"/>
              </w:rPr>
              <w:t>（1.7）各级自然保护地、风景名胜区、湿地公园、地质遗迹保护区、历史文物和名胜古迹等保护区、水源地保护区，永久基本农田、生态环境分区管控生态环境保护区等不得新设砂石土矿采矿权，已设采矿权应退出。</w:t>
            </w:r>
          </w:p>
        </w:tc>
        <w:tc>
          <w:tcPr>
            <w:tcW w:w="3566" w:type="dxa"/>
            <w:gridSpan w:val="2"/>
            <w:vMerge w:val="restart"/>
            <w:vAlign w:val="center"/>
          </w:tcPr>
          <w:p w14:paraId="4B03412E">
            <w:pPr>
              <w:rPr>
                <w:rFonts w:ascii="Times New Roman" w:hAnsi="Times New Roman" w:eastAsia="仿宋" w:cs="Times New Roman"/>
                <w:szCs w:val="21"/>
              </w:rPr>
            </w:pPr>
            <w:r>
              <w:rPr>
                <w:rFonts w:ascii="Times New Roman" w:hAnsi="Times New Roman" w:eastAsia="仿宋" w:cs="Times New Roman"/>
                <w:szCs w:val="21"/>
              </w:rPr>
              <w:t>（1.2）《宁远县畜禽养殖布局规划（2020-2024）》；</w:t>
            </w:r>
          </w:p>
          <w:p w14:paraId="61A7BDD8">
            <w:pPr>
              <w:rPr>
                <w:rFonts w:ascii="Times New Roman" w:hAnsi="Times New Roman" w:eastAsia="仿宋" w:cs="Times New Roman"/>
                <w:szCs w:val="21"/>
              </w:rPr>
            </w:pPr>
            <w:r>
              <w:rPr>
                <w:rFonts w:ascii="Times New Roman" w:hAnsi="Times New Roman" w:eastAsia="仿宋" w:cs="Times New Roman"/>
                <w:szCs w:val="21"/>
              </w:rPr>
              <w:t>（1.3）《中华人民共和国湿地保护法》、《国家级自然公园管理办法（试行）》、《湖南宁远九嶷河湿地公园管理办法（试行）》（宁常发〔2017〕21号）；</w:t>
            </w:r>
          </w:p>
          <w:p w14:paraId="7CA02679">
            <w:pPr>
              <w:rPr>
                <w:rFonts w:ascii="Times New Roman" w:hAnsi="Times New Roman" w:eastAsia="仿宋" w:cs="Times New Roman"/>
                <w:szCs w:val="21"/>
              </w:rPr>
            </w:pPr>
            <w:r>
              <w:rPr>
                <w:rFonts w:ascii="Times New Roman" w:hAnsi="Times New Roman" w:eastAsia="仿宋" w:cs="Times New Roman"/>
                <w:szCs w:val="21"/>
              </w:rPr>
              <w:t>（1.4）《湖南省九嶷山国家级自然保护区管理办法（试行）》（宁政办发〔2016〕37号）；</w:t>
            </w:r>
          </w:p>
          <w:p w14:paraId="040F485D">
            <w:pPr>
              <w:rPr>
                <w:rFonts w:ascii="Times New Roman" w:hAnsi="Times New Roman" w:eastAsia="仿宋" w:cs="Times New Roman"/>
                <w:szCs w:val="21"/>
              </w:rPr>
            </w:pPr>
            <w:r>
              <w:rPr>
                <w:rFonts w:ascii="Times New Roman" w:hAnsi="Times New Roman" w:eastAsia="仿宋" w:cs="Times New Roman"/>
                <w:szCs w:val="21"/>
              </w:rPr>
              <w:t>（1.5）《宁远县普通建筑材料用砂石土矿专项规划（2019-2025年）》；</w:t>
            </w:r>
          </w:p>
          <w:p w14:paraId="052F205C">
            <w:pPr>
              <w:rPr>
                <w:rFonts w:ascii="Times New Roman" w:hAnsi="Times New Roman" w:eastAsia="仿宋" w:cs="Times New Roman"/>
                <w:szCs w:val="21"/>
              </w:rPr>
            </w:pPr>
            <w:r>
              <w:rPr>
                <w:rFonts w:ascii="Times New Roman" w:hAnsi="Times New Roman" w:eastAsia="仿宋" w:cs="Times New Roman"/>
                <w:szCs w:val="21"/>
              </w:rPr>
              <w:t>（2.1）《宁远县大气污染防治攻坚行动计划（2023-2025）》 ；</w:t>
            </w:r>
          </w:p>
          <w:p w14:paraId="073EDF55">
            <w:pPr>
              <w:rPr>
                <w:rFonts w:ascii="Times New Roman" w:hAnsi="Times New Roman" w:eastAsia="仿宋" w:cs="Times New Roman"/>
                <w:szCs w:val="21"/>
              </w:rPr>
            </w:pPr>
            <w:r>
              <w:rPr>
                <w:rFonts w:ascii="Times New Roman" w:hAnsi="Times New Roman" w:eastAsia="仿宋" w:cs="Times New Roman"/>
                <w:szCs w:val="21"/>
              </w:rPr>
              <w:t>（2.3）《宁远县畜禽养殖污染防治规划（2021-2025年）》；</w:t>
            </w:r>
          </w:p>
          <w:p w14:paraId="7972C4BE">
            <w:pPr>
              <w:rPr>
                <w:rFonts w:ascii="Times New Roman" w:hAnsi="Times New Roman" w:eastAsia="仿宋" w:cs="Times New Roman"/>
                <w:szCs w:val="21"/>
              </w:rPr>
            </w:pPr>
            <w:r>
              <w:rPr>
                <w:rFonts w:ascii="Times New Roman" w:hAnsi="Times New Roman" w:eastAsia="仿宋" w:cs="Times New Roman"/>
                <w:szCs w:val="21"/>
              </w:rPr>
              <w:t>（3.1）《永州市“十四五”生态环境保护规划》；</w:t>
            </w:r>
          </w:p>
          <w:p w14:paraId="13948357">
            <w:pPr>
              <w:rPr>
                <w:rFonts w:ascii="Times New Roman" w:hAnsi="Times New Roman" w:eastAsia="仿宋" w:cs="Times New Roman"/>
                <w:szCs w:val="21"/>
              </w:rPr>
            </w:pPr>
            <w:r>
              <w:rPr>
                <w:rFonts w:ascii="Times New Roman" w:hAnsi="Times New Roman" w:eastAsia="仿宋" w:cs="Times New Roman"/>
                <w:szCs w:val="21"/>
              </w:rPr>
              <w:t>（3.2）《宁远县突发环境事件应急预案》（宁政办发〔2018〕2号）；</w:t>
            </w:r>
          </w:p>
          <w:p w14:paraId="2EECD7F3">
            <w:pPr>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37D7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jc w:val="center"/>
        </w:trPr>
        <w:tc>
          <w:tcPr>
            <w:tcW w:w="1134" w:type="dxa"/>
            <w:vAlign w:val="center"/>
          </w:tcPr>
          <w:p w14:paraId="1B15094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493" w:type="dxa"/>
            <w:gridSpan w:val="9"/>
            <w:vAlign w:val="center"/>
          </w:tcPr>
          <w:p w14:paraId="1BE68930">
            <w:pPr>
              <w:ind w:firstLine="420" w:firstLineChars="200"/>
              <w:rPr>
                <w:rFonts w:ascii="Times New Roman" w:hAnsi="Times New Roman" w:eastAsia="仿宋" w:cs="Times New Roman"/>
                <w:szCs w:val="21"/>
              </w:rPr>
            </w:pPr>
            <w:r>
              <w:rPr>
                <w:rFonts w:ascii="Times New Roman" w:hAnsi="Times New Roman" w:eastAsia="仿宋" w:cs="Times New Roman"/>
                <w:szCs w:val="21"/>
              </w:rPr>
              <w:t>（2.1）严管生物质露天焚烧。推进秸秆综合利用和秸秆焚烧网格化管理制度。</w:t>
            </w:r>
          </w:p>
          <w:p w14:paraId="721B8B6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以九嶷河湿地公园为重点，坚持自然恢复为主，结合人工修复的方式，开展退耕还林还湿，加快恢复湿地生态系统。在九嶷河等水体选择保存较为完整的河滨湿地植被带，建设河湖生态缓冲带；对宁远九嶷河国家湿地公园等进行淡水湿地和水生态系统的修复和重建。</w:t>
            </w:r>
          </w:p>
          <w:p w14:paraId="149CFC6B">
            <w:pPr>
              <w:ind w:firstLine="420" w:firstLineChars="200"/>
              <w:rPr>
                <w:rFonts w:ascii="Times New Roman" w:hAnsi="Times New Roman" w:eastAsia="仿宋" w:cs="Times New Roman"/>
                <w:szCs w:val="21"/>
              </w:rPr>
            </w:pPr>
            <w:r>
              <w:rPr>
                <w:rFonts w:ascii="Times New Roman" w:hAnsi="Times New Roman" w:eastAsia="仿宋" w:cs="Times New Roman"/>
                <w:szCs w:val="21"/>
              </w:rPr>
              <w:t>（2.3）规范养殖场养殖行为，积极推行畜禽粪污资源化利用管理模式，坚持有条件的养殖场优先实施畜禽粪污资源化利用，确实无法实现资源化利用的养殖场应坚持畜禽粪污处理后达标排放的原则，完善畜禽粪污资源化体制机制，全面推动畜禽粪污资源化利用。</w:t>
            </w:r>
          </w:p>
        </w:tc>
        <w:tc>
          <w:tcPr>
            <w:tcW w:w="3566" w:type="dxa"/>
            <w:gridSpan w:val="2"/>
            <w:vMerge w:val="continue"/>
            <w:vAlign w:val="center"/>
          </w:tcPr>
          <w:p w14:paraId="047D2109">
            <w:pPr>
              <w:rPr>
                <w:rFonts w:ascii="Times New Roman" w:hAnsi="Times New Roman" w:eastAsia="仿宋" w:cs="Times New Roman"/>
                <w:szCs w:val="21"/>
              </w:rPr>
            </w:pPr>
          </w:p>
        </w:tc>
      </w:tr>
      <w:tr w14:paraId="362A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10DC92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493" w:type="dxa"/>
            <w:gridSpan w:val="9"/>
            <w:vAlign w:val="center"/>
          </w:tcPr>
          <w:p w14:paraId="710193AF">
            <w:pPr>
              <w:ind w:firstLine="420" w:firstLineChars="200"/>
              <w:rPr>
                <w:rFonts w:ascii="Times New Roman" w:hAnsi="Times New Roman" w:eastAsia="仿宋" w:cs="Times New Roman"/>
                <w:szCs w:val="21"/>
              </w:rPr>
            </w:pPr>
            <w:r>
              <w:rPr>
                <w:rFonts w:ascii="Times New Roman" w:hAnsi="Times New Roman" w:eastAsia="仿宋" w:cs="Times New Roman"/>
                <w:szCs w:val="21"/>
              </w:rPr>
              <w:t>（3.1）定期排查影响水源安全的风险隐患，制定并及时更新水源突发环境事件应急预案，及时依法公布预警信息，积极开展应急演练，不断加强应急能力建设。加强饮用水水源保护区应急物</w:t>
            </w:r>
            <w:r>
              <w:rPr>
                <w:rFonts w:hint="eastAsia" w:ascii="Times New Roman" w:hAnsi="Times New Roman" w:eastAsia="仿宋" w:cs="Times New Roman"/>
                <w:szCs w:val="21"/>
                <w:lang w:eastAsia="zh-CN"/>
              </w:rPr>
              <w:t>资</w:t>
            </w:r>
            <w:r>
              <w:rPr>
                <w:rFonts w:ascii="Times New Roman" w:hAnsi="Times New Roman" w:eastAsia="仿宋" w:cs="Times New Roman"/>
                <w:szCs w:val="21"/>
              </w:rPr>
              <w:t>储备，定期维护事故应急池和导流设施和防护工程设施，提升应急监测能力。</w:t>
            </w:r>
          </w:p>
          <w:p w14:paraId="2CFF8B96">
            <w:pPr>
              <w:ind w:firstLine="420" w:firstLineChars="200"/>
              <w:rPr>
                <w:rFonts w:ascii="Times New Roman" w:hAnsi="Times New Roman" w:eastAsia="仿宋" w:cs="Times New Roman"/>
                <w:szCs w:val="21"/>
              </w:rPr>
            </w:pPr>
            <w:r>
              <w:rPr>
                <w:rFonts w:ascii="Times New Roman" w:hAnsi="Times New Roman" w:eastAsia="仿宋" w:cs="Times New Roman"/>
                <w:szCs w:val="21"/>
              </w:rPr>
              <w:t>（3.2）建立健全环境风险防控体系，严格落实《宁远县突发环境事件应急预案》的相关要求，严防环境突发事件发生，提高应急处置能力。</w:t>
            </w:r>
          </w:p>
        </w:tc>
        <w:tc>
          <w:tcPr>
            <w:tcW w:w="3566" w:type="dxa"/>
            <w:gridSpan w:val="2"/>
            <w:vMerge w:val="continue"/>
            <w:vAlign w:val="center"/>
          </w:tcPr>
          <w:p w14:paraId="6098E9B9">
            <w:pPr>
              <w:rPr>
                <w:rFonts w:ascii="Times New Roman" w:hAnsi="Times New Roman" w:eastAsia="仿宋" w:cs="Times New Roman"/>
                <w:szCs w:val="21"/>
              </w:rPr>
            </w:pPr>
          </w:p>
        </w:tc>
      </w:tr>
      <w:tr w14:paraId="1890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6260D7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493" w:type="dxa"/>
            <w:gridSpan w:val="9"/>
            <w:vAlign w:val="center"/>
          </w:tcPr>
          <w:p w14:paraId="032795BD">
            <w:pPr>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5752ABA8">
            <w:pPr>
              <w:ind w:firstLine="420" w:firstLineChars="200"/>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，万元地区生产总值用水量、万元工业增加值用水量分别比2020年降低15.00%、8.87%，农田灌溉水有效利用系数为0.558。</w:t>
            </w:r>
          </w:p>
        </w:tc>
        <w:tc>
          <w:tcPr>
            <w:tcW w:w="3566" w:type="dxa"/>
            <w:gridSpan w:val="2"/>
            <w:vMerge w:val="continue"/>
            <w:vAlign w:val="center"/>
          </w:tcPr>
          <w:p w14:paraId="570A75C8">
            <w:pPr>
              <w:rPr>
                <w:rFonts w:ascii="Times New Roman" w:hAnsi="Times New Roman" w:eastAsia="仿宋" w:cs="Times New Roman"/>
                <w:szCs w:val="21"/>
              </w:rPr>
            </w:pPr>
          </w:p>
        </w:tc>
      </w:tr>
    </w:tbl>
    <w:p w14:paraId="5B7D463F">
      <w:pPr>
        <w:spacing w:line="348" w:lineRule="auto"/>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bookmarkStart w:id="100" w:name="_GoBack"/>
      <w:bookmarkEnd w:id="100"/>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13"/>
        <w:gridCol w:w="425"/>
        <w:gridCol w:w="425"/>
        <w:gridCol w:w="466"/>
        <w:gridCol w:w="810"/>
        <w:gridCol w:w="1134"/>
        <w:gridCol w:w="1418"/>
        <w:gridCol w:w="992"/>
        <w:gridCol w:w="1559"/>
        <w:gridCol w:w="2552"/>
        <w:gridCol w:w="1865"/>
      </w:tblGrid>
      <w:tr w14:paraId="2853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0982D5CA">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413" w:type="dxa"/>
            <w:vMerge w:val="restart"/>
            <w:vAlign w:val="center"/>
          </w:tcPr>
          <w:p w14:paraId="168F700F">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316" w:type="dxa"/>
            <w:gridSpan w:val="3"/>
            <w:vAlign w:val="center"/>
          </w:tcPr>
          <w:p w14:paraId="3DF26B5B">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810" w:type="dxa"/>
            <w:vMerge w:val="restart"/>
            <w:vAlign w:val="center"/>
          </w:tcPr>
          <w:p w14:paraId="2AAE7F11">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33C50FDF">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418" w:type="dxa"/>
            <w:vMerge w:val="restart"/>
            <w:vAlign w:val="center"/>
          </w:tcPr>
          <w:p w14:paraId="1CB37EA9">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3D13A5B5">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4111" w:type="dxa"/>
            <w:gridSpan w:val="2"/>
            <w:vMerge w:val="restart"/>
            <w:vAlign w:val="center"/>
          </w:tcPr>
          <w:p w14:paraId="626608DF">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1865" w:type="dxa"/>
            <w:vMerge w:val="restart"/>
            <w:vAlign w:val="center"/>
          </w:tcPr>
          <w:p w14:paraId="1D2C7333">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505A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1D62924C">
            <w:pPr>
              <w:rPr>
                <w:rFonts w:ascii="Times New Roman" w:hAnsi="Times New Roman" w:eastAsia="仿宋" w:cs="Times New Roman"/>
                <w:b/>
                <w:szCs w:val="21"/>
              </w:rPr>
            </w:pPr>
          </w:p>
        </w:tc>
        <w:tc>
          <w:tcPr>
            <w:tcW w:w="1413" w:type="dxa"/>
            <w:vMerge w:val="continue"/>
            <w:vAlign w:val="center"/>
          </w:tcPr>
          <w:p w14:paraId="3D2AB8FF">
            <w:pPr>
              <w:rPr>
                <w:rFonts w:ascii="Times New Roman" w:hAnsi="Times New Roman" w:eastAsia="仿宋" w:cs="Times New Roman"/>
                <w:b/>
                <w:szCs w:val="21"/>
              </w:rPr>
            </w:pPr>
          </w:p>
        </w:tc>
        <w:tc>
          <w:tcPr>
            <w:tcW w:w="425" w:type="dxa"/>
            <w:vAlign w:val="center"/>
          </w:tcPr>
          <w:p w14:paraId="1A98F173">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0E9A7DB0">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66" w:type="dxa"/>
            <w:vAlign w:val="center"/>
          </w:tcPr>
          <w:p w14:paraId="663956CC">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810" w:type="dxa"/>
            <w:vMerge w:val="continue"/>
            <w:vAlign w:val="center"/>
          </w:tcPr>
          <w:p w14:paraId="32AA9DA4">
            <w:pPr>
              <w:rPr>
                <w:rFonts w:ascii="Times New Roman" w:hAnsi="Times New Roman" w:eastAsia="仿宋" w:cs="Times New Roman"/>
                <w:b/>
                <w:szCs w:val="21"/>
              </w:rPr>
            </w:pPr>
          </w:p>
        </w:tc>
        <w:tc>
          <w:tcPr>
            <w:tcW w:w="1134" w:type="dxa"/>
            <w:vMerge w:val="continue"/>
            <w:vAlign w:val="center"/>
          </w:tcPr>
          <w:p w14:paraId="57FCD4EE">
            <w:pPr>
              <w:rPr>
                <w:rFonts w:ascii="Times New Roman" w:hAnsi="Times New Roman" w:eastAsia="仿宋" w:cs="Times New Roman"/>
                <w:b/>
                <w:szCs w:val="21"/>
              </w:rPr>
            </w:pPr>
          </w:p>
        </w:tc>
        <w:tc>
          <w:tcPr>
            <w:tcW w:w="1418" w:type="dxa"/>
            <w:vMerge w:val="continue"/>
            <w:vAlign w:val="center"/>
          </w:tcPr>
          <w:p w14:paraId="35769860">
            <w:pPr>
              <w:rPr>
                <w:rFonts w:ascii="Times New Roman" w:hAnsi="Times New Roman" w:eastAsia="仿宋" w:cs="Times New Roman"/>
                <w:b/>
                <w:szCs w:val="21"/>
              </w:rPr>
            </w:pPr>
          </w:p>
        </w:tc>
        <w:tc>
          <w:tcPr>
            <w:tcW w:w="992" w:type="dxa"/>
            <w:vMerge w:val="continue"/>
            <w:vAlign w:val="center"/>
          </w:tcPr>
          <w:p w14:paraId="16998011">
            <w:pPr>
              <w:rPr>
                <w:rFonts w:ascii="Times New Roman" w:hAnsi="Times New Roman" w:eastAsia="仿宋" w:cs="Times New Roman"/>
                <w:b/>
                <w:szCs w:val="21"/>
              </w:rPr>
            </w:pPr>
          </w:p>
        </w:tc>
        <w:tc>
          <w:tcPr>
            <w:tcW w:w="4111" w:type="dxa"/>
            <w:gridSpan w:val="2"/>
            <w:vMerge w:val="continue"/>
            <w:vAlign w:val="center"/>
          </w:tcPr>
          <w:p w14:paraId="01F5F66A">
            <w:pPr>
              <w:rPr>
                <w:rFonts w:ascii="Times New Roman" w:hAnsi="Times New Roman" w:eastAsia="仿宋" w:cs="Times New Roman"/>
                <w:b/>
                <w:szCs w:val="21"/>
              </w:rPr>
            </w:pPr>
          </w:p>
        </w:tc>
        <w:tc>
          <w:tcPr>
            <w:tcW w:w="1865" w:type="dxa"/>
            <w:vMerge w:val="continue"/>
            <w:vAlign w:val="center"/>
          </w:tcPr>
          <w:p w14:paraId="39D7C0DB">
            <w:pPr>
              <w:rPr>
                <w:rFonts w:ascii="Times New Roman" w:hAnsi="Times New Roman" w:eastAsia="仿宋" w:cs="Times New Roman"/>
                <w:b/>
                <w:szCs w:val="21"/>
              </w:rPr>
            </w:pPr>
          </w:p>
        </w:tc>
      </w:tr>
      <w:tr w14:paraId="7E4D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007416C3">
            <w:pPr>
              <w:rPr>
                <w:rFonts w:ascii="Times New Roman" w:hAnsi="Times New Roman" w:eastAsia="仿宋" w:cs="Times New Roman"/>
                <w:szCs w:val="21"/>
              </w:rPr>
            </w:pPr>
            <w:r>
              <w:rPr>
                <w:rFonts w:ascii="Times New Roman" w:hAnsi="Times New Roman" w:eastAsia="仿宋" w:cs="Times New Roman"/>
                <w:szCs w:val="21"/>
              </w:rPr>
              <w:t>ZH43112610002</w:t>
            </w:r>
          </w:p>
        </w:tc>
        <w:tc>
          <w:tcPr>
            <w:tcW w:w="1413" w:type="dxa"/>
            <w:vAlign w:val="center"/>
          </w:tcPr>
          <w:p w14:paraId="62AA51CC">
            <w:pPr>
              <w:jc w:val="center"/>
              <w:rPr>
                <w:rFonts w:ascii="Times New Roman" w:hAnsi="Times New Roman" w:eastAsia="仿宋" w:cs="Times New Roman"/>
                <w:szCs w:val="21"/>
              </w:rPr>
            </w:pPr>
            <w:r>
              <w:rPr>
                <w:rFonts w:ascii="Times New Roman" w:hAnsi="Times New Roman" w:eastAsia="仿宋" w:cs="Times New Roman"/>
                <w:szCs w:val="21"/>
              </w:rPr>
              <w:t>鲤溪镇/桐木漯瑶族乡/五龙山瑶族乡</w:t>
            </w:r>
          </w:p>
        </w:tc>
        <w:tc>
          <w:tcPr>
            <w:tcW w:w="425" w:type="dxa"/>
            <w:vAlign w:val="center"/>
          </w:tcPr>
          <w:p w14:paraId="21424B66">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531E9F2B">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66" w:type="dxa"/>
            <w:vAlign w:val="center"/>
          </w:tcPr>
          <w:p w14:paraId="3E7C373E">
            <w:pPr>
              <w:jc w:val="center"/>
              <w:rPr>
                <w:rFonts w:ascii="Times New Roman" w:hAnsi="Times New Roman" w:eastAsia="仿宋" w:cs="Times New Roman"/>
                <w:szCs w:val="21"/>
              </w:rPr>
            </w:pPr>
            <w:r>
              <w:rPr>
                <w:rFonts w:ascii="Times New Roman" w:hAnsi="Times New Roman" w:eastAsia="仿宋" w:cs="Times New Roman"/>
                <w:szCs w:val="21"/>
              </w:rPr>
              <w:t>宁远县</w:t>
            </w:r>
          </w:p>
        </w:tc>
        <w:tc>
          <w:tcPr>
            <w:tcW w:w="810" w:type="dxa"/>
            <w:vAlign w:val="center"/>
          </w:tcPr>
          <w:p w14:paraId="1965B236">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34" w:type="dxa"/>
            <w:vAlign w:val="center"/>
          </w:tcPr>
          <w:p w14:paraId="1BB1BD5F">
            <w:pPr>
              <w:jc w:val="center"/>
              <w:rPr>
                <w:rFonts w:ascii="Times New Roman" w:hAnsi="Times New Roman" w:eastAsia="仿宋" w:cs="Times New Roman"/>
                <w:strike/>
                <w:szCs w:val="21"/>
              </w:rPr>
            </w:pPr>
            <w:r>
              <w:rPr>
                <w:rFonts w:ascii="Times New Roman" w:hAnsi="Times New Roman" w:eastAsia="仿宋" w:cs="Times New Roman"/>
                <w:szCs w:val="21"/>
              </w:rPr>
              <w:t>388.63</w:t>
            </w:r>
          </w:p>
        </w:tc>
        <w:tc>
          <w:tcPr>
            <w:tcW w:w="1418" w:type="dxa"/>
            <w:vAlign w:val="center"/>
          </w:tcPr>
          <w:p w14:paraId="21C8ACA8">
            <w:pPr>
              <w:jc w:val="center"/>
              <w:rPr>
                <w:rFonts w:ascii="Times New Roman" w:hAnsi="Times New Roman" w:eastAsia="仿宋" w:cs="Times New Roman"/>
                <w:szCs w:val="21"/>
              </w:rPr>
            </w:pPr>
            <w:r>
              <w:rPr>
                <w:rFonts w:ascii="Times New Roman" w:hAnsi="Times New Roman" w:eastAsia="仿宋" w:cs="Times New Roman"/>
                <w:szCs w:val="21"/>
              </w:rPr>
              <w:t>鲤溪镇/桐木漯瑶族乡/五龙山瑶族乡</w:t>
            </w:r>
          </w:p>
        </w:tc>
        <w:tc>
          <w:tcPr>
            <w:tcW w:w="992" w:type="dxa"/>
            <w:vAlign w:val="center"/>
          </w:tcPr>
          <w:p w14:paraId="0442D9D9">
            <w:pPr>
              <w:jc w:val="center"/>
              <w:rPr>
                <w:rFonts w:ascii="Times New Roman" w:hAnsi="Times New Roman" w:eastAsia="仿宋" w:cs="Times New Roman"/>
                <w:szCs w:val="21"/>
              </w:rPr>
            </w:pPr>
            <w:r>
              <w:rPr>
                <w:rFonts w:ascii="Times New Roman" w:hAnsi="Times New Roman" w:eastAsia="仿宋" w:cs="Times New Roman"/>
                <w:b/>
                <w:bCs/>
                <w:szCs w:val="21"/>
              </w:rPr>
              <w:t>鲤溪镇/桐木漯瑶族乡/五龙山瑶族乡：</w:t>
            </w:r>
            <w:r>
              <w:rPr>
                <w:rFonts w:ascii="Times New Roman" w:hAnsi="Times New Roman" w:eastAsia="仿宋" w:cs="Times New Roman"/>
                <w:szCs w:val="21"/>
              </w:rPr>
              <w:t>重点生态功能区</w:t>
            </w:r>
          </w:p>
        </w:tc>
        <w:tc>
          <w:tcPr>
            <w:tcW w:w="4111" w:type="dxa"/>
            <w:gridSpan w:val="2"/>
            <w:vAlign w:val="center"/>
          </w:tcPr>
          <w:p w14:paraId="66FA5AB3">
            <w:pPr>
              <w:rPr>
                <w:rFonts w:ascii="Times New Roman" w:hAnsi="Times New Roman" w:eastAsia="仿宋" w:cs="Times New Roman"/>
                <w:szCs w:val="21"/>
              </w:rPr>
            </w:pPr>
            <w:r>
              <w:rPr>
                <w:rFonts w:ascii="Times New Roman" w:hAnsi="Times New Roman" w:eastAsia="仿宋" w:cs="Times New Roman"/>
                <w:b/>
                <w:szCs w:val="21"/>
              </w:rPr>
              <w:t>鲤溪镇：</w:t>
            </w:r>
            <w:r>
              <w:rPr>
                <w:rFonts w:ascii="Times New Roman" w:hAnsi="Times New Roman" w:eastAsia="仿宋" w:cs="Times New Roman"/>
                <w:szCs w:val="21"/>
              </w:rPr>
              <w:t>农业；畜禽养殖业；采矿业（砂石土矿）；农林产品加工。</w:t>
            </w:r>
          </w:p>
          <w:p w14:paraId="49A5242A">
            <w:pPr>
              <w:rPr>
                <w:rFonts w:ascii="Times New Roman" w:hAnsi="Times New Roman" w:eastAsia="仿宋" w:cs="Times New Roman"/>
                <w:szCs w:val="21"/>
              </w:rPr>
            </w:pPr>
            <w:r>
              <w:rPr>
                <w:rFonts w:ascii="Times New Roman" w:hAnsi="Times New Roman" w:eastAsia="仿宋" w:cs="Times New Roman"/>
                <w:b/>
                <w:szCs w:val="21"/>
              </w:rPr>
              <w:t>桐木漯瑶族乡：</w:t>
            </w:r>
            <w:r>
              <w:rPr>
                <w:rFonts w:ascii="Times New Roman" w:hAnsi="Times New Roman" w:eastAsia="仿宋" w:cs="Times New Roman"/>
                <w:szCs w:val="21"/>
              </w:rPr>
              <w:t>农业；林业；电力；农林副产品加工。</w:t>
            </w:r>
          </w:p>
          <w:p w14:paraId="6481C78D">
            <w:pPr>
              <w:rPr>
                <w:rFonts w:ascii="Times New Roman" w:hAnsi="Times New Roman" w:eastAsia="仿宋" w:cs="Times New Roman"/>
                <w:szCs w:val="21"/>
              </w:rPr>
            </w:pPr>
            <w:r>
              <w:rPr>
                <w:rFonts w:ascii="Times New Roman" w:hAnsi="Times New Roman" w:eastAsia="仿宋" w:cs="Times New Roman"/>
                <w:b/>
                <w:szCs w:val="21"/>
              </w:rPr>
              <w:t>五龙山瑶族乡：</w:t>
            </w:r>
            <w:r>
              <w:rPr>
                <w:rFonts w:ascii="Times New Roman" w:hAnsi="Times New Roman" w:eastAsia="仿宋" w:cs="Times New Roman"/>
                <w:szCs w:val="21"/>
              </w:rPr>
              <w:t>农业；林业；电力；农林副产品加工。</w:t>
            </w:r>
          </w:p>
        </w:tc>
        <w:tc>
          <w:tcPr>
            <w:tcW w:w="1865" w:type="dxa"/>
            <w:vAlign w:val="center"/>
          </w:tcPr>
          <w:p w14:paraId="3FAEDA43">
            <w:pPr>
              <w:rPr>
                <w:rFonts w:ascii="Times New Roman" w:hAnsi="Times New Roman" w:eastAsia="仿宋" w:cs="Times New Roman"/>
                <w:bCs/>
                <w:szCs w:val="21"/>
              </w:rPr>
            </w:pPr>
            <w:r>
              <w:rPr>
                <w:rFonts w:ascii="Times New Roman" w:hAnsi="Times New Roman" w:eastAsia="仿宋" w:cs="Times New Roman"/>
                <w:b/>
                <w:szCs w:val="21"/>
              </w:rPr>
              <w:t>桐木漯瑶族乡、五龙山瑶族乡：</w:t>
            </w:r>
            <w:r>
              <w:rPr>
                <w:rFonts w:ascii="Times New Roman" w:hAnsi="Times New Roman" w:eastAsia="仿宋" w:cs="Times New Roman"/>
                <w:bCs/>
                <w:szCs w:val="21"/>
              </w:rPr>
              <w:t>无明显环境问题。</w:t>
            </w:r>
          </w:p>
          <w:p w14:paraId="05E26CFF">
            <w:pPr>
              <w:rPr>
                <w:rFonts w:ascii="Times New Roman" w:hAnsi="Times New Roman" w:eastAsia="仿宋" w:cs="Times New Roman"/>
                <w:szCs w:val="21"/>
              </w:rPr>
            </w:pPr>
            <w:r>
              <w:rPr>
                <w:rFonts w:ascii="Times New Roman" w:hAnsi="Times New Roman" w:eastAsia="仿宋" w:cs="Times New Roman"/>
                <w:b/>
                <w:szCs w:val="21"/>
              </w:rPr>
              <w:t>环保目标：</w:t>
            </w:r>
            <w:r>
              <w:rPr>
                <w:rFonts w:ascii="Times New Roman" w:hAnsi="Times New Roman" w:eastAsia="仿宋" w:cs="Times New Roman"/>
                <w:bCs/>
                <w:szCs w:val="21"/>
              </w:rPr>
              <w:t>永州市宁远县鲤溪镇宁远河饮用水水源保护区、湖南宁远九嶷河国家湿地公园。</w:t>
            </w:r>
          </w:p>
        </w:tc>
      </w:tr>
      <w:tr w14:paraId="3797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1134" w:type="dxa"/>
            <w:vAlign w:val="center"/>
          </w:tcPr>
          <w:p w14:paraId="2DFD9724">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7F617D44">
            <w:pPr>
              <w:rPr>
                <w:rFonts w:ascii="Times New Roman" w:hAnsi="Times New Roman" w:eastAsia="仿宋" w:cs="Times New Roman"/>
                <w:szCs w:val="21"/>
              </w:rPr>
            </w:pPr>
            <w:r>
              <w:rPr>
                <w:rFonts w:ascii="Times New Roman" w:hAnsi="Times New Roman" w:eastAsia="仿宋" w:cs="Times New Roman"/>
                <w:b/>
                <w:szCs w:val="21"/>
              </w:rPr>
              <w:t>鲤溪镇：</w:t>
            </w:r>
          </w:p>
          <w:p w14:paraId="2C068922">
            <w:pPr>
              <w:rPr>
                <w:rFonts w:ascii="Times New Roman" w:hAnsi="Times New Roman" w:eastAsia="仿宋" w:cs="Times New Roman"/>
                <w:spacing w:val="-2"/>
                <w:szCs w:val="21"/>
              </w:rPr>
            </w:pPr>
            <w:r>
              <w:rPr>
                <w:rFonts w:ascii="Times New Roman" w:hAnsi="Times New Roman" w:eastAsia="仿宋" w:cs="Times New Roman"/>
                <w:spacing w:val="-2"/>
                <w:szCs w:val="21"/>
              </w:rPr>
              <w:t>红线/一般生态空间（水源涵养重要区/三区三线生态红线/生物多样性保护功能重要区/原生态红线/水土流失敏感区/水土保持功能重要区）；水环境一般管控区；大气环境受体敏感重点管控区；农用地优先保护区/其他重点管控区/一般管控区</w:t>
            </w:r>
          </w:p>
          <w:p w14:paraId="0A6B6104">
            <w:pPr>
              <w:rPr>
                <w:rFonts w:ascii="Times New Roman" w:hAnsi="Times New Roman" w:eastAsia="仿宋" w:cs="Times New Roman"/>
                <w:spacing w:val="-2"/>
                <w:szCs w:val="21"/>
              </w:rPr>
            </w:pPr>
            <w:r>
              <w:rPr>
                <w:rFonts w:ascii="Times New Roman" w:hAnsi="Times New Roman" w:eastAsia="仿宋" w:cs="Times New Roman"/>
                <w:b/>
                <w:szCs w:val="21"/>
              </w:rPr>
              <w:t>桐木漯瑶族乡：</w:t>
            </w:r>
            <w:r>
              <w:rPr>
                <w:rFonts w:ascii="Times New Roman" w:hAnsi="Times New Roman" w:eastAsia="仿宋" w:cs="Times New Roman"/>
                <w:spacing w:val="-2"/>
                <w:szCs w:val="21"/>
              </w:rPr>
              <w:t>红线/一般生态空间（水源涵养重要区/三区三线生态红线/生物多样性保护功能重要区/水土保持功能重要区/原生态红线/水土流失敏感区/自然保护区）；水环境一般管控区；大气环境受体敏感重点管控区；农用地优先保护区/一般管控区</w:t>
            </w:r>
          </w:p>
          <w:p w14:paraId="57D6236C">
            <w:pPr>
              <w:widowControl/>
              <w:rPr>
                <w:rFonts w:ascii="Times New Roman" w:hAnsi="Times New Roman" w:eastAsia="仿宋" w:cs="Times New Roman"/>
                <w:kern w:val="0"/>
                <w:szCs w:val="21"/>
              </w:rPr>
            </w:pPr>
            <w:r>
              <w:rPr>
                <w:rFonts w:ascii="Times New Roman" w:hAnsi="Times New Roman" w:eastAsia="仿宋" w:cs="Times New Roman"/>
                <w:b/>
                <w:szCs w:val="21"/>
              </w:rPr>
              <w:t>五龙山瑶族乡：</w:t>
            </w:r>
          </w:p>
          <w:p w14:paraId="51B0993C">
            <w:pPr>
              <w:widowControl/>
              <w:rPr>
                <w:rFonts w:ascii="Times New Roman" w:hAnsi="Times New Roman" w:eastAsia="仿宋" w:cs="Times New Roman"/>
                <w:szCs w:val="21"/>
              </w:rPr>
            </w:pPr>
            <w:r>
              <w:rPr>
                <w:rFonts w:ascii="Times New Roman" w:hAnsi="Times New Roman" w:eastAsia="仿宋" w:cs="Times New Roman"/>
                <w:szCs w:val="21"/>
              </w:rPr>
              <w:t>红线/一般生态空间（三区三线生态红线/水源涵养重要区/水土流失敏感区/原生态红线/水土保持功能重要区/石漠化敏感区/森林公园）；水环境一般管控区；大气环境优先保护区/大气环境受体敏感重点管控区；农用地优先保护区/一般管控区</w:t>
            </w:r>
          </w:p>
        </w:tc>
      </w:tr>
      <w:tr w14:paraId="2EBB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34" w:type="dxa"/>
            <w:vAlign w:val="center"/>
          </w:tcPr>
          <w:p w14:paraId="551E840B">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42" w:type="dxa"/>
            <w:gridSpan w:val="9"/>
            <w:vAlign w:val="center"/>
          </w:tcPr>
          <w:p w14:paraId="6BF10BA3">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4417" w:type="dxa"/>
            <w:gridSpan w:val="2"/>
            <w:vAlign w:val="center"/>
          </w:tcPr>
          <w:p w14:paraId="1DA61292">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27DA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1134" w:type="dxa"/>
            <w:vAlign w:val="center"/>
          </w:tcPr>
          <w:p w14:paraId="4A0DD49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42" w:type="dxa"/>
            <w:gridSpan w:val="9"/>
            <w:vAlign w:val="center"/>
          </w:tcPr>
          <w:p w14:paraId="1EC5C4BC">
            <w:pPr>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（1.1）产业准入应符合“宁远县产业准入负面清单”的规定。</w:t>
            </w:r>
          </w:p>
          <w:p w14:paraId="0D34B3BA">
            <w:pPr>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企业布局应符合《宁远县畜禽养殖布局规划》。禁止养殖区内严禁新建、改建、扩建各类畜禽养殖场。不得在县城上风向1000米范围内新建、扩建畜禽养殖场，规模化畜禽养殖场场界周围应有合理的卫生防护距离。</w:t>
            </w:r>
          </w:p>
        </w:tc>
        <w:tc>
          <w:tcPr>
            <w:tcW w:w="4417" w:type="dxa"/>
            <w:gridSpan w:val="2"/>
            <w:vMerge w:val="restart"/>
            <w:vAlign w:val="center"/>
          </w:tcPr>
          <w:p w14:paraId="6CE3C0C7">
            <w:pPr>
              <w:rPr>
                <w:rFonts w:ascii="Times New Roman" w:hAnsi="Times New Roman" w:eastAsia="仿宋" w:cs="Times New Roman"/>
                <w:szCs w:val="21"/>
              </w:rPr>
            </w:pPr>
            <w:r>
              <w:rPr>
                <w:rFonts w:ascii="Times New Roman" w:hAnsi="Times New Roman" w:eastAsia="仿宋" w:cs="Times New Roman"/>
                <w:szCs w:val="21"/>
              </w:rPr>
              <w:t>（1.2）宁远县人民政府关于发布《宁远县畜禽养殖布局规划（2020-2024）》的公告（2019年12月）；</w:t>
            </w:r>
          </w:p>
          <w:p w14:paraId="02248E91">
            <w:pPr>
              <w:rPr>
                <w:rFonts w:ascii="Times New Roman" w:hAnsi="Times New Roman" w:eastAsia="仿宋" w:cs="Times New Roman"/>
                <w:szCs w:val="21"/>
              </w:rPr>
            </w:pPr>
            <w:r>
              <w:rPr>
                <w:rFonts w:ascii="Times New Roman" w:hAnsi="Times New Roman" w:eastAsia="仿宋" w:cs="Times New Roman"/>
                <w:szCs w:val="21"/>
              </w:rPr>
              <w:t>（2.1）《宁远县大气污染防治攻坚行动计划（2023-2025）》；</w:t>
            </w:r>
          </w:p>
          <w:p w14:paraId="5DE039E9">
            <w:pPr>
              <w:rPr>
                <w:rFonts w:ascii="Times New Roman" w:hAnsi="Times New Roman" w:eastAsia="仿宋" w:cs="Times New Roman"/>
                <w:szCs w:val="21"/>
              </w:rPr>
            </w:pPr>
            <w:r>
              <w:rPr>
                <w:rFonts w:ascii="Times New Roman" w:hAnsi="Times New Roman" w:eastAsia="仿宋" w:cs="Times New Roman"/>
                <w:szCs w:val="21"/>
              </w:rPr>
              <w:t>（2.2）《宁远县畜禽养殖污染防治规划（2021-2025年）》；</w:t>
            </w:r>
          </w:p>
          <w:p w14:paraId="12655742">
            <w:pPr>
              <w:rPr>
                <w:rFonts w:ascii="Times New Roman" w:hAnsi="Times New Roman" w:eastAsia="仿宋" w:cs="Times New Roman"/>
                <w:szCs w:val="21"/>
              </w:rPr>
            </w:pPr>
            <w:r>
              <w:rPr>
                <w:rFonts w:ascii="Times New Roman" w:hAnsi="Times New Roman" w:eastAsia="仿宋" w:cs="Times New Roman"/>
                <w:szCs w:val="21"/>
              </w:rPr>
              <w:t>（3.1）《宁远县突发环境事件应急预案》（宁政办发〔2018〕2号）；</w:t>
            </w:r>
          </w:p>
          <w:p w14:paraId="3F5907EB">
            <w:pPr>
              <w:rPr>
                <w:rFonts w:ascii="Times New Roman" w:hAnsi="Times New Roman" w:eastAsia="仿宋" w:cs="Times New Roman"/>
                <w:szCs w:val="21"/>
              </w:rPr>
            </w:pPr>
            <w:r>
              <w:rPr>
                <w:rFonts w:ascii="Times New Roman" w:hAnsi="Times New Roman" w:eastAsia="仿宋" w:cs="Times New Roman"/>
                <w:szCs w:val="21"/>
              </w:rPr>
              <w:t>（4.1）《永州市“十四五”生态环境保护规划》；</w:t>
            </w:r>
          </w:p>
          <w:p w14:paraId="3DDFA406">
            <w:pPr>
              <w:rPr>
                <w:rFonts w:ascii="Times New Roman" w:hAnsi="Times New Roman" w:eastAsia="仿宋" w:cs="Times New Roman"/>
                <w:strike/>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C78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3773FD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42" w:type="dxa"/>
            <w:gridSpan w:val="9"/>
            <w:vAlign w:val="center"/>
          </w:tcPr>
          <w:p w14:paraId="614CCF47">
            <w:pPr>
              <w:ind w:firstLine="420" w:firstLineChars="200"/>
              <w:rPr>
                <w:rFonts w:ascii="Times New Roman" w:hAnsi="Times New Roman" w:eastAsia="仿宋" w:cs="Times New Roman"/>
                <w:szCs w:val="21"/>
              </w:rPr>
            </w:pPr>
            <w:r>
              <w:rPr>
                <w:rFonts w:ascii="Times New Roman" w:hAnsi="Times New Roman" w:eastAsia="仿宋" w:cs="Times New Roman"/>
                <w:szCs w:val="21"/>
              </w:rPr>
              <w:t>（2.1）严管生物质露天焚烧。推进秸秆综合利用和秸秆焚烧网格化管理制度。</w:t>
            </w:r>
          </w:p>
          <w:p w14:paraId="20C6EF6C">
            <w:pPr>
              <w:ind w:firstLine="420" w:firstLineChars="200"/>
              <w:rPr>
                <w:rFonts w:ascii="Times New Roman" w:hAnsi="Times New Roman" w:eastAsia="仿宋" w:cs="Times New Roman"/>
                <w:szCs w:val="21"/>
              </w:rPr>
            </w:pPr>
            <w:r>
              <w:rPr>
                <w:rFonts w:ascii="Times New Roman" w:hAnsi="Times New Roman" w:eastAsia="仿宋" w:cs="Times New Roman"/>
                <w:szCs w:val="21"/>
              </w:rPr>
              <w:t>（2.2）规范养殖场养殖行为，积极推行畜禽粪污资源化利用管理模式，坚持有条件的养殖场优先实施畜禽粪污资源化利用，确实无法实现资源化利用的养殖场应坚持畜禽粪污处理后达标排放的原则，完善畜禽粪污资源化体制机制，全面推动畜禽粪污资源化利用。</w:t>
            </w:r>
          </w:p>
        </w:tc>
        <w:tc>
          <w:tcPr>
            <w:tcW w:w="4417" w:type="dxa"/>
            <w:gridSpan w:val="2"/>
            <w:vMerge w:val="continue"/>
            <w:vAlign w:val="center"/>
          </w:tcPr>
          <w:p w14:paraId="42DED476">
            <w:pPr>
              <w:rPr>
                <w:rFonts w:ascii="Times New Roman" w:hAnsi="Times New Roman" w:eastAsia="仿宋" w:cs="Times New Roman"/>
                <w:szCs w:val="21"/>
              </w:rPr>
            </w:pPr>
          </w:p>
        </w:tc>
      </w:tr>
      <w:tr w14:paraId="4C12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D4268E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42" w:type="dxa"/>
            <w:gridSpan w:val="9"/>
            <w:vAlign w:val="center"/>
          </w:tcPr>
          <w:p w14:paraId="3C97C8B6">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（3.1）建立健全环境风险防控体系，严格落实《宁远县突发环境事件应急预案》的相关要求，严防环境突发事件发生，提高应急处置能力。</w:t>
            </w:r>
          </w:p>
        </w:tc>
        <w:tc>
          <w:tcPr>
            <w:tcW w:w="4417" w:type="dxa"/>
            <w:gridSpan w:val="2"/>
            <w:vMerge w:val="continue"/>
            <w:vAlign w:val="center"/>
          </w:tcPr>
          <w:p w14:paraId="75272773">
            <w:pPr>
              <w:rPr>
                <w:rFonts w:ascii="Times New Roman" w:hAnsi="Times New Roman" w:eastAsia="仿宋" w:cs="Times New Roman"/>
                <w:szCs w:val="21"/>
              </w:rPr>
            </w:pPr>
          </w:p>
        </w:tc>
      </w:tr>
      <w:tr w14:paraId="4B51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710CBC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42" w:type="dxa"/>
            <w:gridSpan w:val="9"/>
            <w:vAlign w:val="center"/>
          </w:tcPr>
          <w:p w14:paraId="0565F86D">
            <w:pPr>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641C9710">
            <w:pPr>
              <w:ind w:firstLine="420" w:firstLineChars="200"/>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w:t>
            </w:r>
            <w:bookmarkStart w:id="57" w:name="OLE_LINK4"/>
            <w:r>
              <w:rPr>
                <w:rFonts w:ascii="Times New Roman" w:hAnsi="Times New Roman" w:eastAsia="仿宋" w:cs="Times New Roman"/>
                <w:szCs w:val="21"/>
              </w:rPr>
              <w:t>m</w:t>
            </w:r>
            <w:r>
              <w:rPr>
                <w:rFonts w:ascii="Times New Roman" w:hAnsi="Times New Roman" w:eastAsia="仿宋" w:cs="Times New Roman"/>
                <w:szCs w:val="21"/>
                <w:vertAlign w:val="superscript"/>
              </w:rPr>
              <w:t>3</w:t>
            </w:r>
            <w:bookmarkEnd w:id="57"/>
            <w:r>
              <w:rPr>
                <w:rFonts w:ascii="Times New Roman" w:hAnsi="Times New Roman" w:eastAsia="仿宋" w:cs="Times New Roman"/>
                <w:szCs w:val="21"/>
              </w:rPr>
              <w:t>，万元地区生产总值用水量、万元工业增加值用水量分别比2020年降低15.00%、8.87%，农田灌溉水有效利用系数为0.558。</w:t>
            </w:r>
          </w:p>
        </w:tc>
        <w:tc>
          <w:tcPr>
            <w:tcW w:w="4417" w:type="dxa"/>
            <w:gridSpan w:val="2"/>
            <w:vMerge w:val="continue"/>
            <w:vAlign w:val="center"/>
          </w:tcPr>
          <w:p w14:paraId="6586109B">
            <w:pPr>
              <w:rPr>
                <w:rFonts w:ascii="Times New Roman" w:hAnsi="Times New Roman" w:eastAsia="仿宋" w:cs="Times New Roman"/>
                <w:szCs w:val="21"/>
              </w:rPr>
            </w:pPr>
          </w:p>
        </w:tc>
      </w:tr>
    </w:tbl>
    <w:p w14:paraId="5AE03108">
      <w:pPr>
        <w:spacing w:line="348" w:lineRule="auto"/>
        <w:rPr>
          <w:rFonts w:ascii="Times New Roman" w:hAnsi="Times New Roman" w:eastAsia="仿宋" w:cs="Times New Roman"/>
          <w:b/>
          <w:szCs w:val="21"/>
        </w:rPr>
      </w:pPr>
    </w:p>
    <w:p w14:paraId="0FEED632">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p w14:paraId="1308E786">
      <w:pPr>
        <w:jc w:val="center"/>
        <w:rPr>
          <w:rFonts w:ascii="Times New Roman" w:hAnsi="Times New Roman" w:eastAsia="仿宋" w:cs="Times New Roman"/>
          <w:b/>
          <w:szCs w:val="21"/>
        </w:rPr>
        <w:sectPr>
          <w:pgSz w:w="16838" w:h="11906" w:orient="landscape"/>
          <w:pgMar w:top="1800" w:right="1440" w:bottom="1800" w:left="1440" w:header="851" w:footer="992" w:gutter="0"/>
          <w:cols w:space="425"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13"/>
        <w:gridCol w:w="425"/>
        <w:gridCol w:w="425"/>
        <w:gridCol w:w="466"/>
        <w:gridCol w:w="1134"/>
        <w:gridCol w:w="992"/>
        <w:gridCol w:w="1236"/>
        <w:gridCol w:w="992"/>
        <w:gridCol w:w="1177"/>
        <w:gridCol w:w="1941"/>
        <w:gridCol w:w="2858"/>
      </w:tblGrid>
      <w:tr w14:paraId="51AE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2424341">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413" w:type="dxa"/>
            <w:vMerge w:val="restart"/>
            <w:vAlign w:val="center"/>
          </w:tcPr>
          <w:p w14:paraId="0FC1D1A6">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316" w:type="dxa"/>
            <w:gridSpan w:val="3"/>
            <w:vAlign w:val="center"/>
          </w:tcPr>
          <w:p w14:paraId="5E7F433F">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715AA5D5">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992" w:type="dxa"/>
            <w:vMerge w:val="restart"/>
            <w:vAlign w:val="center"/>
          </w:tcPr>
          <w:p w14:paraId="69654417">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36" w:type="dxa"/>
            <w:vMerge w:val="restart"/>
            <w:vAlign w:val="center"/>
          </w:tcPr>
          <w:p w14:paraId="1368D78C">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6AD4065B">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3118" w:type="dxa"/>
            <w:gridSpan w:val="2"/>
            <w:vMerge w:val="restart"/>
            <w:vAlign w:val="center"/>
          </w:tcPr>
          <w:p w14:paraId="48E0E90C">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858" w:type="dxa"/>
            <w:vMerge w:val="restart"/>
            <w:vAlign w:val="center"/>
          </w:tcPr>
          <w:p w14:paraId="45ED1EF1">
            <w:pPr>
              <w:jc w:val="center"/>
              <w:rPr>
                <w:rFonts w:ascii="Times New Roman" w:hAnsi="Times New Roman" w:eastAsia="仿宋" w:cs="Times New Roman"/>
                <w:b/>
                <w:szCs w:val="21"/>
              </w:rPr>
            </w:pPr>
            <w:r>
              <w:rPr>
                <w:rFonts w:ascii="Times New Roman" w:hAnsi="Times New Roman" w:eastAsia="仿宋" w:cs="Times New Roman"/>
                <w:b/>
                <w:szCs w:val="21"/>
              </w:rPr>
              <w:t>主要环境问题</w:t>
            </w:r>
          </w:p>
        </w:tc>
      </w:tr>
      <w:tr w14:paraId="3266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C77C2F0">
            <w:pPr>
              <w:rPr>
                <w:rFonts w:ascii="Times New Roman" w:hAnsi="Times New Roman" w:eastAsia="仿宋" w:cs="Times New Roman"/>
                <w:b/>
                <w:szCs w:val="21"/>
              </w:rPr>
            </w:pPr>
          </w:p>
        </w:tc>
        <w:tc>
          <w:tcPr>
            <w:tcW w:w="1413" w:type="dxa"/>
            <w:vMerge w:val="continue"/>
            <w:vAlign w:val="center"/>
          </w:tcPr>
          <w:p w14:paraId="16E71540">
            <w:pPr>
              <w:rPr>
                <w:rFonts w:ascii="Times New Roman" w:hAnsi="Times New Roman" w:eastAsia="仿宋" w:cs="Times New Roman"/>
                <w:b/>
                <w:szCs w:val="21"/>
              </w:rPr>
            </w:pPr>
          </w:p>
        </w:tc>
        <w:tc>
          <w:tcPr>
            <w:tcW w:w="425" w:type="dxa"/>
            <w:vAlign w:val="center"/>
          </w:tcPr>
          <w:p w14:paraId="70892E69">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0E6BF5B6">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66" w:type="dxa"/>
            <w:vAlign w:val="center"/>
          </w:tcPr>
          <w:p w14:paraId="7384DFA7">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45CD52FF">
            <w:pPr>
              <w:rPr>
                <w:rFonts w:ascii="Times New Roman" w:hAnsi="Times New Roman" w:eastAsia="仿宋" w:cs="Times New Roman"/>
                <w:b/>
                <w:szCs w:val="21"/>
              </w:rPr>
            </w:pPr>
          </w:p>
        </w:tc>
        <w:tc>
          <w:tcPr>
            <w:tcW w:w="992" w:type="dxa"/>
            <w:vMerge w:val="continue"/>
            <w:vAlign w:val="center"/>
          </w:tcPr>
          <w:p w14:paraId="676AE470">
            <w:pPr>
              <w:rPr>
                <w:rFonts w:ascii="Times New Roman" w:hAnsi="Times New Roman" w:eastAsia="仿宋" w:cs="Times New Roman"/>
                <w:b/>
                <w:szCs w:val="21"/>
              </w:rPr>
            </w:pPr>
          </w:p>
        </w:tc>
        <w:tc>
          <w:tcPr>
            <w:tcW w:w="1236" w:type="dxa"/>
            <w:vMerge w:val="continue"/>
            <w:vAlign w:val="center"/>
          </w:tcPr>
          <w:p w14:paraId="338D7DEA">
            <w:pPr>
              <w:rPr>
                <w:rFonts w:ascii="Times New Roman" w:hAnsi="Times New Roman" w:eastAsia="仿宋" w:cs="Times New Roman"/>
                <w:b/>
                <w:szCs w:val="21"/>
              </w:rPr>
            </w:pPr>
          </w:p>
        </w:tc>
        <w:tc>
          <w:tcPr>
            <w:tcW w:w="992" w:type="dxa"/>
            <w:vMerge w:val="continue"/>
            <w:vAlign w:val="center"/>
          </w:tcPr>
          <w:p w14:paraId="7118EC65">
            <w:pPr>
              <w:rPr>
                <w:rFonts w:ascii="Times New Roman" w:hAnsi="Times New Roman" w:eastAsia="仿宋" w:cs="Times New Roman"/>
                <w:b/>
                <w:szCs w:val="21"/>
              </w:rPr>
            </w:pPr>
          </w:p>
        </w:tc>
        <w:tc>
          <w:tcPr>
            <w:tcW w:w="3118" w:type="dxa"/>
            <w:gridSpan w:val="2"/>
            <w:vMerge w:val="continue"/>
            <w:vAlign w:val="center"/>
          </w:tcPr>
          <w:p w14:paraId="4E719360">
            <w:pPr>
              <w:rPr>
                <w:rFonts w:ascii="Times New Roman" w:hAnsi="Times New Roman" w:eastAsia="仿宋" w:cs="Times New Roman"/>
                <w:b/>
                <w:szCs w:val="21"/>
              </w:rPr>
            </w:pPr>
          </w:p>
        </w:tc>
        <w:tc>
          <w:tcPr>
            <w:tcW w:w="2858" w:type="dxa"/>
            <w:vMerge w:val="continue"/>
            <w:vAlign w:val="center"/>
          </w:tcPr>
          <w:p w14:paraId="628BD448">
            <w:pPr>
              <w:rPr>
                <w:rFonts w:ascii="Times New Roman" w:hAnsi="Times New Roman" w:eastAsia="仿宋" w:cs="Times New Roman"/>
                <w:b/>
                <w:szCs w:val="21"/>
              </w:rPr>
            </w:pPr>
          </w:p>
        </w:tc>
      </w:tr>
      <w:tr w14:paraId="4D13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592BC5F3">
            <w:pPr>
              <w:rPr>
                <w:rFonts w:ascii="Times New Roman" w:hAnsi="Times New Roman" w:eastAsia="仿宋" w:cs="Times New Roman"/>
                <w:szCs w:val="21"/>
              </w:rPr>
            </w:pPr>
            <w:bookmarkStart w:id="58" w:name="_Hlk58577909"/>
            <w:r>
              <w:rPr>
                <w:rFonts w:ascii="Times New Roman" w:hAnsi="Times New Roman" w:eastAsia="仿宋" w:cs="Times New Roman"/>
                <w:szCs w:val="21"/>
              </w:rPr>
              <w:t>ZH43112620001</w:t>
            </w:r>
            <w:bookmarkEnd w:id="58"/>
          </w:p>
        </w:tc>
        <w:tc>
          <w:tcPr>
            <w:tcW w:w="1413" w:type="dxa"/>
            <w:vAlign w:val="center"/>
          </w:tcPr>
          <w:p w14:paraId="09CF124D">
            <w:pPr>
              <w:jc w:val="center"/>
              <w:rPr>
                <w:rFonts w:ascii="Times New Roman" w:hAnsi="Times New Roman" w:eastAsia="仿宋" w:cs="Times New Roman"/>
                <w:szCs w:val="21"/>
              </w:rPr>
            </w:pPr>
            <w:r>
              <w:rPr>
                <w:rFonts w:ascii="Times New Roman" w:hAnsi="Times New Roman" w:eastAsia="仿宋" w:cs="Times New Roman"/>
                <w:szCs w:val="21"/>
              </w:rPr>
              <w:t>东溪街道/舜陵街道/桐山街道/文庙街道</w:t>
            </w:r>
          </w:p>
        </w:tc>
        <w:tc>
          <w:tcPr>
            <w:tcW w:w="425" w:type="dxa"/>
            <w:vAlign w:val="center"/>
          </w:tcPr>
          <w:p w14:paraId="11E1FC41">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60B0BD31">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66" w:type="dxa"/>
            <w:vAlign w:val="center"/>
          </w:tcPr>
          <w:p w14:paraId="754E8465">
            <w:pPr>
              <w:jc w:val="center"/>
              <w:rPr>
                <w:rFonts w:ascii="Times New Roman" w:hAnsi="Times New Roman" w:eastAsia="仿宋" w:cs="Times New Roman"/>
                <w:szCs w:val="21"/>
              </w:rPr>
            </w:pPr>
            <w:r>
              <w:rPr>
                <w:rFonts w:ascii="Times New Roman" w:hAnsi="Times New Roman" w:eastAsia="仿宋" w:cs="Times New Roman"/>
                <w:szCs w:val="21"/>
              </w:rPr>
              <w:t>宁远县</w:t>
            </w:r>
          </w:p>
        </w:tc>
        <w:tc>
          <w:tcPr>
            <w:tcW w:w="1134" w:type="dxa"/>
            <w:vAlign w:val="center"/>
          </w:tcPr>
          <w:p w14:paraId="6ECEE652">
            <w:pPr>
              <w:jc w:val="center"/>
              <w:rPr>
                <w:rFonts w:ascii="Times New Roman" w:hAnsi="Times New Roman" w:eastAsia="仿宋" w:cs="Times New Roman"/>
                <w:szCs w:val="21"/>
              </w:rPr>
            </w:pPr>
            <w:r>
              <w:rPr>
                <w:rFonts w:ascii="Times New Roman" w:hAnsi="Times New Roman" w:eastAsia="仿宋" w:cs="Times New Roman"/>
                <w:szCs w:val="21"/>
              </w:rPr>
              <w:t>重点管控单元</w:t>
            </w:r>
          </w:p>
        </w:tc>
        <w:tc>
          <w:tcPr>
            <w:tcW w:w="992" w:type="dxa"/>
            <w:vAlign w:val="center"/>
          </w:tcPr>
          <w:p w14:paraId="53DD5B47">
            <w:pPr>
              <w:jc w:val="center"/>
              <w:rPr>
                <w:rFonts w:ascii="Times New Roman" w:hAnsi="Times New Roman" w:eastAsia="仿宋" w:cs="Times New Roman"/>
                <w:szCs w:val="21"/>
              </w:rPr>
            </w:pPr>
            <w:r>
              <w:rPr>
                <w:rFonts w:ascii="Times New Roman" w:hAnsi="Times New Roman" w:eastAsia="仿宋" w:cs="Times New Roman"/>
                <w:szCs w:val="21"/>
              </w:rPr>
              <w:t>230.37</w:t>
            </w:r>
          </w:p>
        </w:tc>
        <w:tc>
          <w:tcPr>
            <w:tcW w:w="1236" w:type="dxa"/>
            <w:vAlign w:val="center"/>
          </w:tcPr>
          <w:p w14:paraId="5589A594">
            <w:pPr>
              <w:jc w:val="center"/>
              <w:rPr>
                <w:rFonts w:ascii="Times New Roman" w:hAnsi="Times New Roman" w:eastAsia="仿宋" w:cs="Times New Roman"/>
                <w:szCs w:val="21"/>
              </w:rPr>
            </w:pPr>
            <w:r>
              <w:rPr>
                <w:rFonts w:ascii="Times New Roman" w:hAnsi="Times New Roman" w:eastAsia="仿宋" w:cs="Times New Roman"/>
                <w:szCs w:val="21"/>
              </w:rPr>
              <w:t>东溪街道/舜陵街道/桐山街道/文庙街道</w:t>
            </w:r>
          </w:p>
        </w:tc>
        <w:tc>
          <w:tcPr>
            <w:tcW w:w="992" w:type="dxa"/>
            <w:vAlign w:val="center"/>
          </w:tcPr>
          <w:p w14:paraId="07C81922">
            <w:pPr>
              <w:jc w:val="center"/>
              <w:rPr>
                <w:rFonts w:ascii="Times New Roman" w:hAnsi="Times New Roman" w:eastAsia="仿宋" w:cs="Times New Roman"/>
                <w:szCs w:val="21"/>
              </w:rPr>
            </w:pPr>
            <w:r>
              <w:rPr>
                <w:rFonts w:ascii="Times New Roman" w:hAnsi="Times New Roman" w:eastAsia="仿宋" w:cs="Times New Roman"/>
                <w:szCs w:val="21"/>
              </w:rPr>
              <w:t>城市化地区</w:t>
            </w:r>
          </w:p>
        </w:tc>
        <w:tc>
          <w:tcPr>
            <w:tcW w:w="3118" w:type="dxa"/>
            <w:gridSpan w:val="2"/>
            <w:vAlign w:val="center"/>
          </w:tcPr>
          <w:p w14:paraId="340047B7">
            <w:pPr>
              <w:widowControl/>
              <w:rPr>
                <w:rFonts w:ascii="Times New Roman" w:hAnsi="Times New Roman" w:eastAsia="仿宋" w:cs="Times New Roman"/>
                <w:szCs w:val="21"/>
              </w:rPr>
            </w:pPr>
            <w:r>
              <w:rPr>
                <w:rFonts w:ascii="Times New Roman" w:hAnsi="Times New Roman" w:eastAsia="仿宋" w:cs="Times New Roman"/>
                <w:b/>
                <w:szCs w:val="21"/>
              </w:rPr>
              <w:t>东溪街道：</w:t>
            </w:r>
            <w:r>
              <w:rPr>
                <w:rFonts w:ascii="Times New Roman" w:hAnsi="Times New Roman" w:eastAsia="仿宋" w:cs="Times New Roman"/>
                <w:szCs w:val="21"/>
              </w:rPr>
              <w:t>加工贸易区，制造业、现代服务业、农业、养殖业、采矿业（砂石土矿）、建筑业、房地产业等。</w:t>
            </w:r>
          </w:p>
          <w:p w14:paraId="053C3260">
            <w:pPr>
              <w:widowControl/>
              <w:rPr>
                <w:rFonts w:ascii="Times New Roman" w:hAnsi="Times New Roman" w:eastAsia="仿宋" w:cs="Times New Roman"/>
                <w:szCs w:val="21"/>
              </w:rPr>
            </w:pPr>
            <w:r>
              <w:rPr>
                <w:rFonts w:ascii="Times New Roman" w:hAnsi="Times New Roman" w:eastAsia="仿宋" w:cs="Times New Roman"/>
                <w:b/>
                <w:szCs w:val="21"/>
              </w:rPr>
              <w:t>舜陵街道：</w:t>
            </w:r>
            <w:r>
              <w:rPr>
                <w:rFonts w:ascii="Times New Roman" w:hAnsi="Times New Roman" w:eastAsia="仿宋" w:cs="Times New Roman"/>
                <w:szCs w:val="21"/>
              </w:rPr>
              <w:t>现代服务业、农业、养殖业、采矿业（砂石土矿）、制造业、建筑业、房地产业等。</w:t>
            </w:r>
          </w:p>
          <w:p w14:paraId="7CAAFBDF">
            <w:pPr>
              <w:widowControl/>
              <w:rPr>
                <w:rFonts w:ascii="Times New Roman" w:hAnsi="Times New Roman" w:eastAsia="仿宋" w:cs="Times New Roman"/>
                <w:szCs w:val="21"/>
              </w:rPr>
            </w:pPr>
            <w:r>
              <w:rPr>
                <w:rFonts w:ascii="Times New Roman" w:hAnsi="Times New Roman" w:eastAsia="仿宋" w:cs="Times New Roman"/>
                <w:b/>
                <w:szCs w:val="21"/>
              </w:rPr>
              <w:t>桐山街道：</w:t>
            </w:r>
            <w:r>
              <w:rPr>
                <w:rFonts w:ascii="Times New Roman" w:hAnsi="Times New Roman" w:eastAsia="仿宋" w:cs="Times New Roman"/>
                <w:szCs w:val="21"/>
              </w:rPr>
              <w:t>现代服务业、农业、养殖业、制造业、采矿业（砂石土矿）、建筑业、房地产业等。</w:t>
            </w:r>
          </w:p>
          <w:p w14:paraId="26A716C3">
            <w:pPr>
              <w:rPr>
                <w:rFonts w:ascii="Times New Roman" w:hAnsi="Times New Roman" w:eastAsia="仿宋" w:cs="Times New Roman"/>
                <w:strike/>
                <w:szCs w:val="21"/>
              </w:rPr>
            </w:pPr>
            <w:r>
              <w:rPr>
                <w:rFonts w:ascii="Times New Roman" w:hAnsi="Times New Roman" w:eastAsia="仿宋" w:cs="Times New Roman"/>
                <w:b/>
                <w:szCs w:val="21"/>
              </w:rPr>
              <w:t>文庙街道：</w:t>
            </w:r>
            <w:r>
              <w:rPr>
                <w:rFonts w:ascii="Times New Roman" w:hAnsi="Times New Roman" w:eastAsia="仿宋" w:cs="Times New Roman"/>
                <w:szCs w:val="21"/>
              </w:rPr>
              <w:t>现代服务业、农业、养殖业、制造业、采矿业（砂石土矿）、建筑业、房地产业等。</w:t>
            </w:r>
          </w:p>
        </w:tc>
        <w:tc>
          <w:tcPr>
            <w:tcW w:w="2858" w:type="dxa"/>
            <w:vAlign w:val="center"/>
          </w:tcPr>
          <w:p w14:paraId="28630DDD">
            <w:pPr>
              <w:widowControl/>
              <w:rPr>
                <w:rFonts w:ascii="Times New Roman" w:hAnsi="Times New Roman" w:eastAsia="仿宋" w:cs="Times New Roman"/>
                <w:szCs w:val="21"/>
              </w:rPr>
            </w:pPr>
            <w:r>
              <w:rPr>
                <w:rFonts w:ascii="Times New Roman" w:hAnsi="Times New Roman" w:eastAsia="仿宋" w:cs="Times New Roman"/>
                <w:b/>
                <w:szCs w:val="21"/>
              </w:rPr>
              <w:t>东溪街道：</w:t>
            </w:r>
            <w:r>
              <w:rPr>
                <w:rFonts w:ascii="Times New Roman" w:hAnsi="Times New Roman" w:eastAsia="仿宋" w:cs="Times New Roman"/>
                <w:szCs w:val="21"/>
              </w:rPr>
              <w:t>无明显环境问题。</w:t>
            </w:r>
          </w:p>
          <w:p w14:paraId="22DC2F4F">
            <w:pPr>
              <w:widowControl/>
              <w:rPr>
                <w:rFonts w:ascii="Times New Roman" w:hAnsi="Times New Roman" w:eastAsia="仿宋" w:cs="Times New Roman"/>
                <w:szCs w:val="21"/>
              </w:rPr>
            </w:pPr>
            <w:r>
              <w:rPr>
                <w:rFonts w:ascii="Times New Roman" w:hAnsi="Times New Roman" w:eastAsia="仿宋" w:cs="Times New Roman"/>
                <w:b/>
                <w:szCs w:val="21"/>
              </w:rPr>
              <w:t>舜陵街道：</w:t>
            </w:r>
            <w:r>
              <w:rPr>
                <w:rFonts w:ascii="Times New Roman" w:hAnsi="Times New Roman" w:eastAsia="仿宋" w:cs="Times New Roman"/>
                <w:szCs w:val="21"/>
              </w:rPr>
              <w:t>建筑、道路施工扬尘污染。</w:t>
            </w:r>
          </w:p>
          <w:p w14:paraId="5F4960F9">
            <w:pPr>
              <w:widowControl/>
              <w:rPr>
                <w:rFonts w:ascii="Times New Roman" w:hAnsi="Times New Roman" w:eastAsia="仿宋" w:cs="Times New Roman"/>
                <w:szCs w:val="21"/>
              </w:rPr>
            </w:pPr>
            <w:r>
              <w:rPr>
                <w:rFonts w:ascii="Times New Roman" w:hAnsi="Times New Roman" w:eastAsia="仿宋" w:cs="Times New Roman"/>
                <w:b/>
                <w:szCs w:val="21"/>
              </w:rPr>
              <w:t>桐山街道：</w:t>
            </w:r>
            <w:r>
              <w:rPr>
                <w:rFonts w:ascii="Times New Roman" w:hAnsi="Times New Roman" w:eastAsia="仿宋" w:cs="Times New Roman"/>
                <w:szCs w:val="21"/>
              </w:rPr>
              <w:t>无明显环境问题。</w:t>
            </w:r>
          </w:p>
          <w:p w14:paraId="765012BD">
            <w:pPr>
              <w:widowControl/>
              <w:rPr>
                <w:rFonts w:ascii="Times New Roman" w:hAnsi="Times New Roman" w:eastAsia="仿宋" w:cs="Times New Roman"/>
                <w:b/>
                <w:strike/>
                <w:szCs w:val="21"/>
              </w:rPr>
            </w:pPr>
            <w:r>
              <w:rPr>
                <w:rFonts w:ascii="Times New Roman" w:hAnsi="Times New Roman" w:eastAsia="仿宋" w:cs="Times New Roman"/>
                <w:b/>
                <w:szCs w:val="21"/>
              </w:rPr>
              <w:t>文庙街道：</w:t>
            </w:r>
            <w:r>
              <w:rPr>
                <w:rFonts w:ascii="Times New Roman" w:hAnsi="Times New Roman" w:eastAsia="仿宋" w:cs="Times New Roman"/>
                <w:szCs w:val="21"/>
              </w:rPr>
              <w:t>建筑、道路施工扬尘污染。</w:t>
            </w:r>
          </w:p>
        </w:tc>
      </w:tr>
      <w:tr w14:paraId="5836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1CF0568">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5290F9CB">
            <w:pPr>
              <w:rPr>
                <w:rFonts w:ascii="Times New Roman" w:hAnsi="Times New Roman" w:eastAsia="仿宋" w:cs="Times New Roman"/>
                <w:szCs w:val="21"/>
              </w:rPr>
            </w:pPr>
            <w:r>
              <w:rPr>
                <w:rFonts w:ascii="Times New Roman" w:hAnsi="Times New Roman" w:eastAsia="仿宋" w:cs="Times New Roman"/>
                <w:b/>
                <w:szCs w:val="21"/>
              </w:rPr>
              <w:t>东溪街道：</w:t>
            </w:r>
          </w:p>
          <w:p w14:paraId="1D7A3223">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水土流失敏感区/三区三线生态红线/原生态红线/水土保持功能重要区）；水环境工业污染重点管控区；大气环境高排放重点管控区/大气环境受体敏感重点管控区；农用地优先保护区/建设用地重点管控区/其他重点管控区/一般管控区；</w:t>
            </w:r>
          </w:p>
          <w:p w14:paraId="432FD410">
            <w:pPr>
              <w:rPr>
                <w:rFonts w:ascii="Times New Roman" w:hAnsi="Times New Roman" w:eastAsia="仿宋" w:cs="Times New Roman"/>
                <w:kern w:val="0"/>
                <w:szCs w:val="21"/>
              </w:rPr>
            </w:pPr>
            <w:r>
              <w:rPr>
                <w:rFonts w:ascii="Times New Roman" w:hAnsi="Times New Roman" w:eastAsia="仿宋" w:cs="Times New Roman"/>
                <w:b/>
                <w:szCs w:val="21"/>
              </w:rPr>
              <w:t>舜陵街道：</w:t>
            </w:r>
          </w:p>
          <w:p w14:paraId="772C9BEB">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风景名胜区/原生态红线/水土流失敏感区/生物多样性保护功能重要区/水土保持功能重要区）；水环境工业污染重点管控区/水环境一般管控区；大气环境优先保护区/大气环境受体敏感重点管控区/大气环境弱扩散重点管控区；农用地优先保护区/其他重点管控区/一般管控区；高污染燃料禁燃区</w:t>
            </w:r>
          </w:p>
          <w:p w14:paraId="7FA96F2D">
            <w:pPr>
              <w:rPr>
                <w:rFonts w:ascii="Times New Roman" w:hAnsi="Times New Roman" w:eastAsia="仿宋" w:cs="Times New Roman"/>
                <w:szCs w:val="21"/>
              </w:rPr>
            </w:pPr>
            <w:r>
              <w:rPr>
                <w:rFonts w:ascii="Times New Roman" w:hAnsi="Times New Roman" w:eastAsia="仿宋" w:cs="Times New Roman"/>
                <w:b/>
                <w:szCs w:val="21"/>
              </w:rPr>
              <w:t>桐山街道：</w:t>
            </w:r>
          </w:p>
          <w:p w14:paraId="0489F839">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水土保持功能重要区/原生态红线）；水环境工业污染重点管控区；大气环境高排放重点管控区/大气环境受体敏感重点管控区/大气环境弱扩散重点管控区；农用地优先保护区/建设用地重点管控区/一般管控区；高污染燃料禁燃区</w:t>
            </w:r>
          </w:p>
          <w:p w14:paraId="0B3244BA">
            <w:pPr>
              <w:rPr>
                <w:rFonts w:ascii="Times New Roman" w:hAnsi="Times New Roman" w:eastAsia="仿宋" w:cs="Times New Roman"/>
                <w:kern w:val="0"/>
                <w:szCs w:val="21"/>
              </w:rPr>
            </w:pPr>
            <w:r>
              <w:rPr>
                <w:rFonts w:ascii="Times New Roman" w:hAnsi="Times New Roman" w:eastAsia="仿宋" w:cs="Times New Roman"/>
                <w:b/>
                <w:szCs w:val="21"/>
              </w:rPr>
              <w:t>文庙街道：</w:t>
            </w:r>
          </w:p>
          <w:p w14:paraId="58CACCFD">
            <w:pPr>
              <w:rPr>
                <w:rFonts w:ascii="Times New Roman" w:hAnsi="Times New Roman" w:eastAsia="仿宋" w:cs="Times New Roman"/>
                <w:szCs w:val="21"/>
              </w:rPr>
            </w:pPr>
            <w:r>
              <w:rPr>
                <w:rFonts w:ascii="Times New Roman" w:hAnsi="Times New Roman" w:eastAsia="仿宋" w:cs="Times New Roman"/>
                <w:szCs w:val="21"/>
              </w:rPr>
              <w:t>红线/一般生态空间（三区三线生态红线/水源涵养重要区/原生态红线/生物多样性保护功能重要区/水土流失敏感区）；水环境工业污染重点管控区/水环境一般管控区；大气环境高排放重点管控区/大气环境受体敏感重点管控区/大气环境弱扩散重点管控区；农用地优先保护区/农用地重点管控区/建设用地重点管控区/其他重点管控区/一般管控区；高污染燃料禁燃区</w:t>
            </w:r>
          </w:p>
        </w:tc>
      </w:tr>
      <w:tr w14:paraId="7F5E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84C3810">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260" w:type="dxa"/>
            <w:gridSpan w:val="9"/>
            <w:vAlign w:val="center"/>
          </w:tcPr>
          <w:p w14:paraId="4CC49BC9">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4799" w:type="dxa"/>
            <w:gridSpan w:val="2"/>
            <w:vAlign w:val="center"/>
          </w:tcPr>
          <w:p w14:paraId="56C7DB66">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2EE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120DEC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260" w:type="dxa"/>
            <w:gridSpan w:val="9"/>
            <w:vAlign w:val="center"/>
          </w:tcPr>
          <w:p w14:paraId="3279DD0D">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（1.1）产业准入应符合“宁远县产业准入负面清单”的规定。</w:t>
            </w:r>
          </w:p>
          <w:p w14:paraId="7E3669D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（1.2）宁远高新技术产业开发区调区扩区原则上不应超出省级主管部门确定的拓展空间；对园区外的现有企业加强环境监管，确保污染物达标排放。</w:t>
            </w:r>
          </w:p>
          <w:p w14:paraId="514024B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1.3）畜禽养殖企业布局应符合《宁远县畜禽养殖布局规划》。禁止养殖区内严禁新建、改建、扩建各类畜禽养殖场。不得在县城上风向1000米范围内新建、扩建畜禽养殖场，规模化畜禽养殖场场界周围应有合理的卫生防护距离。</w:t>
            </w:r>
          </w:p>
          <w:p w14:paraId="1B4B544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（1.4）</w:t>
            </w:r>
            <w:r>
              <w:rPr>
                <w:rFonts w:ascii="Times New Roman" w:hAnsi="Times New Roman" w:eastAsia="仿宋" w:cs="Times New Roman"/>
                <w:b/>
                <w:szCs w:val="21"/>
              </w:rPr>
              <w:t>桐山街道</w:t>
            </w:r>
            <w:r>
              <w:rPr>
                <w:rFonts w:ascii="Times New Roman" w:hAnsi="Times New Roman" w:eastAsia="仿宋" w:cs="Times New Roman"/>
                <w:szCs w:val="21"/>
              </w:rPr>
              <w:t>：商品混凝土搅拌站建议避让集中居住区与环境敏感区距离300m 以上，并设置不小于20m 的防护绿带。</w:t>
            </w:r>
          </w:p>
        </w:tc>
        <w:tc>
          <w:tcPr>
            <w:tcW w:w="4799" w:type="dxa"/>
            <w:gridSpan w:val="2"/>
            <w:vMerge w:val="restart"/>
            <w:vAlign w:val="center"/>
          </w:tcPr>
          <w:p w14:paraId="3DF0490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（1.2）（1.3）宁远县人民政府关于发布《宁远县畜禽养殖布局规划（2020-2024）》的公告（2019年12月）；</w:t>
            </w:r>
          </w:p>
          <w:p w14:paraId="0A5EC43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（1.4）《宁远县预拌商品混凝土搅拌场站专项规划（2021-2035）》；</w:t>
            </w:r>
          </w:p>
          <w:p w14:paraId="468BCC6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（2.1）（3.1）《宁远县国民经济和社会发展第十四个五年规划纲要》；</w:t>
            </w:r>
          </w:p>
          <w:p w14:paraId="15AC410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（2.3）《宁远县大气污染防治攻坚行动计划（2023-2025）》；</w:t>
            </w:r>
          </w:p>
          <w:p w14:paraId="7E2C8B2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（2.4）《宁远县普通建筑材料用砂石土矿专项规划（2019-2025年）》 ；</w:t>
            </w:r>
          </w:p>
          <w:p w14:paraId="3C7D0BD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（2.5）《湖南省生态环境厅关于永州东部生活垃圾焚烧发电厂项目环境影响报告书的批复》（湘环评〔2019〕19号）；</w:t>
            </w:r>
          </w:p>
          <w:p w14:paraId="0DB94A8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（3.1）《永州市“十四五”生态环境保护规划》；</w:t>
            </w:r>
          </w:p>
          <w:p w14:paraId="5F664D7B">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（3.2）《宁远县突发环境事件应急预案》（宁政办发〔2018〕2号）；</w:t>
            </w:r>
          </w:p>
          <w:p w14:paraId="34E3D86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（4.1）《宁远县人民政府关于划定高污染燃料禁燃区的通告》（宁政函〔2017〕66号）；</w:t>
            </w:r>
          </w:p>
          <w:p w14:paraId="0756199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045F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9C36C2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260" w:type="dxa"/>
            <w:gridSpan w:val="9"/>
            <w:vAlign w:val="center"/>
          </w:tcPr>
          <w:p w14:paraId="2936F9E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（2.1）所有乡镇实现污水处理厂全覆盖，对农村生活污水进行处理的村占全县乡村比例达到85%以上。</w:t>
            </w:r>
          </w:p>
          <w:p w14:paraId="47C2578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（2.2）推进餐饮油烟达标排放，餐饮经营户安装高效油烟净化设施。划定禁止露天烧烤区域并发布公告，强化城区露天烧烤摊点与路边摊贩整治，规范临时设摊餐饮经营行为。</w:t>
            </w:r>
          </w:p>
          <w:p w14:paraId="72EF3C8B">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（2.3）强化施工建筑扬尘及道路扬尘污染控制，建筑施工按照“六不开工”和“七个100%”控制要求。</w:t>
            </w:r>
          </w:p>
          <w:p w14:paraId="75C2790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（2.4）严格按照《湖南省砂石行业绿色矿山标准（试行）》文件要求建设绿色矿山。生产矿山要编制矿山生态保护修复方案，并按照方案的规定履行矿山地质环境土地复垦和矿山复绿义务。</w:t>
            </w:r>
          </w:p>
          <w:p w14:paraId="39F86CA3">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b/>
                <w:szCs w:val="21"/>
              </w:rPr>
            </w:pPr>
            <w:bookmarkStart w:id="59" w:name="_Hlk58577898"/>
            <w:r>
              <w:rPr>
                <w:rFonts w:ascii="Times New Roman" w:hAnsi="Times New Roman" w:eastAsia="仿宋" w:cs="Times New Roman"/>
                <w:szCs w:val="21"/>
              </w:rPr>
              <w:t>（2.5）</w:t>
            </w:r>
            <w:r>
              <w:rPr>
                <w:rFonts w:ascii="Times New Roman" w:hAnsi="Times New Roman" w:eastAsia="仿宋" w:cs="Times New Roman"/>
                <w:b/>
                <w:szCs w:val="21"/>
              </w:rPr>
              <w:t>桐山街道：</w:t>
            </w:r>
            <w:r>
              <w:rPr>
                <w:rFonts w:ascii="Times New Roman" w:hAnsi="Times New Roman" w:eastAsia="仿宋" w:cs="Times New Roman"/>
                <w:szCs w:val="21"/>
              </w:rPr>
              <w:t>焚烧处理厂应加强监督管理，避免产生环境污染永州东部生活垃圾焚烧发电厂应当严格落实环评及其批复规定的各项污染防治和环境风险防范措施，加强污染源监测和信息公开。</w:t>
            </w:r>
            <w:bookmarkEnd w:id="59"/>
          </w:p>
        </w:tc>
        <w:tc>
          <w:tcPr>
            <w:tcW w:w="4799" w:type="dxa"/>
            <w:gridSpan w:val="2"/>
            <w:vMerge w:val="continue"/>
            <w:vAlign w:val="center"/>
          </w:tcPr>
          <w:p w14:paraId="7FBC31B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p>
        </w:tc>
      </w:tr>
      <w:tr w14:paraId="1805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971B38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260" w:type="dxa"/>
            <w:gridSpan w:val="9"/>
            <w:vAlign w:val="center"/>
          </w:tcPr>
          <w:p w14:paraId="638FAD4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（3.1）定期排查影响水源安全的风险隐患，制定并及时更新水源突发环境事件应急预案，及时依法公布预警信息，积极开展应急演练，不断加强应急能力建设。加强饮用水水源保护区应急物</w:t>
            </w:r>
            <w:r>
              <w:rPr>
                <w:rFonts w:hint="eastAsia" w:ascii="Times New Roman" w:hAnsi="Times New Roman" w:eastAsia="仿宋" w:cs="Times New Roman"/>
                <w:szCs w:val="21"/>
                <w:lang w:eastAsia="zh-CN"/>
              </w:rPr>
              <w:t>资</w:t>
            </w:r>
            <w:r>
              <w:rPr>
                <w:rFonts w:ascii="Times New Roman" w:hAnsi="Times New Roman" w:eastAsia="仿宋" w:cs="Times New Roman"/>
                <w:szCs w:val="21"/>
              </w:rPr>
              <w:t>储备，定期维护事故应急池和导流设施和防护工程设施，提升应急监测能力。</w:t>
            </w:r>
          </w:p>
          <w:p w14:paraId="27DAE85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（3.2）建立健全环境风险防控体系，严格落实《宁远县突发环境事件应急预案》的相关要求，严防环境突发事件发生，提高应急处置能力。</w:t>
            </w:r>
          </w:p>
        </w:tc>
        <w:tc>
          <w:tcPr>
            <w:tcW w:w="4799" w:type="dxa"/>
            <w:gridSpan w:val="2"/>
            <w:vMerge w:val="continue"/>
            <w:vAlign w:val="center"/>
          </w:tcPr>
          <w:p w14:paraId="73AFAF0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p>
        </w:tc>
      </w:tr>
      <w:tr w14:paraId="2784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BF50E9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260" w:type="dxa"/>
            <w:gridSpan w:val="9"/>
            <w:vAlign w:val="center"/>
          </w:tcPr>
          <w:p w14:paraId="2A55032D">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（4.1）能源：</w:t>
            </w:r>
          </w:p>
          <w:p w14:paraId="13237FE3">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ascii="Times New Roman" w:hAnsi="Times New Roman" w:eastAsia="仿宋" w:cs="Times New Roman"/>
                <w:szCs w:val="21"/>
              </w:rPr>
            </w:pPr>
            <w:r>
              <w:rPr>
                <w:rFonts w:ascii="Times New Roman" w:hAnsi="Times New Roman" w:eastAsia="仿宋" w:cs="Times New Roman"/>
                <w:b/>
                <w:bCs/>
                <w:szCs w:val="21"/>
              </w:rPr>
              <w:t>东溪街道、桐山街道、文庙街道：</w:t>
            </w:r>
            <w:r>
              <w:rPr>
                <w:rFonts w:ascii="Times New Roman" w:hAnsi="Times New Roman" w:eastAsia="仿宋" w:cs="Times New Roman"/>
                <w:szCs w:val="21"/>
              </w:rPr>
              <w:t>高污染燃料禁燃区严格执行《宁远县人民政府关于划定高污染燃料禁燃区的通告》（宁政函〔2017〕66号），禁止新建、扩建燃用高污染燃料的锅炉、炉窑、炉灶等燃烧设施（集中供电、电厂锅炉除外）；10蒸吨/小时以上的燃煤锅炉，要在规定期限内实施烟气污染治理设施提标改造或实现清洁能源替代，确保污染物达标排放。</w:t>
            </w:r>
          </w:p>
          <w:p w14:paraId="6994CA34">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，万元地区生产总值用水量、万元工业增加值用水量分别比2020年降低15.00%、8.87%，农田灌溉水有效利用系数为0.558。</w:t>
            </w:r>
          </w:p>
        </w:tc>
        <w:tc>
          <w:tcPr>
            <w:tcW w:w="4799" w:type="dxa"/>
            <w:gridSpan w:val="2"/>
            <w:vMerge w:val="continue"/>
            <w:vAlign w:val="center"/>
          </w:tcPr>
          <w:p w14:paraId="3D936434">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p>
        </w:tc>
      </w:tr>
    </w:tbl>
    <w:p w14:paraId="664F9D91">
      <w:pPr>
        <w:rPr>
          <w:rFonts w:ascii="Times New Roman" w:hAnsi="Times New Roman" w:cs="Times New Roman"/>
        </w:rPr>
      </w:pPr>
    </w:p>
    <w:p w14:paraId="6C263ACC">
      <w:pPr>
        <w:widowControl/>
        <w:jc w:val="left"/>
        <w:rPr>
          <w:rFonts w:ascii="Times New Roman" w:hAnsi="Times New Roman" w:cs="Times New Roman"/>
        </w:rPr>
      </w:pPr>
      <w:r>
        <w:rPr>
          <w:rFonts w:ascii="Times New Roman" w:hAnsi="Times New Roman" w:cs="Times New Roman"/>
        </w:rPr>
        <w:br w:type="page"/>
      </w:r>
    </w:p>
    <w:tbl>
      <w:tblPr>
        <w:tblStyle w:val="20"/>
        <w:tblpPr w:leftFromText="180" w:rightFromText="180" w:vertAnchor="text" w:horzAnchor="page" w:tblpX="1426" w:tblpY="288"/>
        <w:tblOverlap w:val="never"/>
        <w:tblW w:w="14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425"/>
        <w:gridCol w:w="709"/>
        <w:gridCol w:w="1134"/>
        <w:gridCol w:w="1276"/>
        <w:gridCol w:w="992"/>
        <w:gridCol w:w="3402"/>
        <w:gridCol w:w="851"/>
        <w:gridCol w:w="2432"/>
      </w:tblGrid>
      <w:tr w14:paraId="4DF2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vAlign w:val="center"/>
          </w:tcPr>
          <w:p w14:paraId="7E4B166A">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0918BE8D">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412" w:type="dxa"/>
            <w:gridSpan w:val="3"/>
            <w:vAlign w:val="center"/>
          </w:tcPr>
          <w:p w14:paraId="7E73F2C1">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9" w:type="dxa"/>
            <w:vMerge w:val="restart"/>
            <w:vAlign w:val="center"/>
          </w:tcPr>
          <w:p w14:paraId="7C6B1FDE">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11E394D4">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76" w:type="dxa"/>
            <w:vMerge w:val="restart"/>
            <w:vAlign w:val="center"/>
          </w:tcPr>
          <w:p w14:paraId="5E5833EC">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60FA5574">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4253" w:type="dxa"/>
            <w:gridSpan w:val="2"/>
            <w:vMerge w:val="restart"/>
            <w:vAlign w:val="center"/>
          </w:tcPr>
          <w:p w14:paraId="47DC751B">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432" w:type="dxa"/>
            <w:vMerge w:val="restart"/>
            <w:vAlign w:val="center"/>
          </w:tcPr>
          <w:p w14:paraId="068357BA">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1638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34" w:type="dxa"/>
            <w:vMerge w:val="continue"/>
            <w:vAlign w:val="center"/>
          </w:tcPr>
          <w:p w14:paraId="38BF6001">
            <w:pPr>
              <w:rPr>
                <w:rFonts w:ascii="Times New Roman" w:hAnsi="Times New Roman" w:eastAsia="仿宋" w:cs="Times New Roman"/>
                <w:b/>
                <w:szCs w:val="21"/>
              </w:rPr>
            </w:pPr>
          </w:p>
        </w:tc>
        <w:tc>
          <w:tcPr>
            <w:tcW w:w="851" w:type="dxa"/>
            <w:vMerge w:val="continue"/>
            <w:vAlign w:val="center"/>
          </w:tcPr>
          <w:p w14:paraId="19585EE6">
            <w:pPr>
              <w:rPr>
                <w:rFonts w:ascii="Times New Roman" w:hAnsi="Times New Roman" w:eastAsia="仿宋" w:cs="Times New Roman"/>
                <w:b/>
                <w:szCs w:val="21"/>
              </w:rPr>
            </w:pPr>
          </w:p>
        </w:tc>
        <w:tc>
          <w:tcPr>
            <w:tcW w:w="425" w:type="dxa"/>
            <w:vAlign w:val="center"/>
          </w:tcPr>
          <w:p w14:paraId="287114D0">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562" w:type="dxa"/>
            <w:vAlign w:val="center"/>
          </w:tcPr>
          <w:p w14:paraId="1DEF91A8">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0C4AFFA6">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325C0DC7">
            <w:pPr>
              <w:rPr>
                <w:rFonts w:ascii="Times New Roman" w:hAnsi="Times New Roman" w:eastAsia="仿宋" w:cs="Times New Roman"/>
                <w:b/>
                <w:szCs w:val="21"/>
              </w:rPr>
            </w:pPr>
          </w:p>
        </w:tc>
        <w:tc>
          <w:tcPr>
            <w:tcW w:w="1134" w:type="dxa"/>
            <w:vMerge w:val="continue"/>
            <w:vAlign w:val="center"/>
          </w:tcPr>
          <w:p w14:paraId="3B156483">
            <w:pPr>
              <w:rPr>
                <w:rFonts w:ascii="Times New Roman" w:hAnsi="Times New Roman" w:eastAsia="仿宋" w:cs="Times New Roman"/>
                <w:b/>
                <w:szCs w:val="21"/>
              </w:rPr>
            </w:pPr>
          </w:p>
        </w:tc>
        <w:tc>
          <w:tcPr>
            <w:tcW w:w="1276" w:type="dxa"/>
            <w:vMerge w:val="continue"/>
            <w:vAlign w:val="center"/>
          </w:tcPr>
          <w:p w14:paraId="43DCD6E2">
            <w:pPr>
              <w:rPr>
                <w:rFonts w:ascii="Times New Roman" w:hAnsi="Times New Roman" w:eastAsia="仿宋" w:cs="Times New Roman"/>
                <w:b/>
                <w:szCs w:val="21"/>
              </w:rPr>
            </w:pPr>
          </w:p>
        </w:tc>
        <w:tc>
          <w:tcPr>
            <w:tcW w:w="992" w:type="dxa"/>
            <w:vMerge w:val="continue"/>
            <w:vAlign w:val="center"/>
          </w:tcPr>
          <w:p w14:paraId="106D673A">
            <w:pPr>
              <w:rPr>
                <w:rFonts w:ascii="Times New Roman" w:hAnsi="Times New Roman" w:eastAsia="仿宋" w:cs="Times New Roman"/>
                <w:b/>
                <w:szCs w:val="21"/>
              </w:rPr>
            </w:pPr>
          </w:p>
        </w:tc>
        <w:tc>
          <w:tcPr>
            <w:tcW w:w="4253" w:type="dxa"/>
            <w:gridSpan w:val="2"/>
            <w:vMerge w:val="continue"/>
            <w:vAlign w:val="center"/>
          </w:tcPr>
          <w:p w14:paraId="7BE10987">
            <w:pPr>
              <w:rPr>
                <w:rFonts w:ascii="Times New Roman" w:hAnsi="Times New Roman" w:eastAsia="仿宋" w:cs="Times New Roman"/>
                <w:b/>
                <w:szCs w:val="21"/>
              </w:rPr>
            </w:pPr>
          </w:p>
        </w:tc>
        <w:tc>
          <w:tcPr>
            <w:tcW w:w="2432" w:type="dxa"/>
            <w:vMerge w:val="continue"/>
            <w:vAlign w:val="center"/>
          </w:tcPr>
          <w:p w14:paraId="6FBFD76C">
            <w:pPr>
              <w:rPr>
                <w:rFonts w:ascii="Times New Roman" w:hAnsi="Times New Roman" w:eastAsia="仿宋" w:cs="Times New Roman"/>
                <w:b/>
                <w:szCs w:val="21"/>
              </w:rPr>
            </w:pPr>
          </w:p>
        </w:tc>
      </w:tr>
      <w:tr w14:paraId="5428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34" w:type="dxa"/>
            <w:vAlign w:val="center"/>
          </w:tcPr>
          <w:p w14:paraId="239E40C6">
            <w:pPr>
              <w:rPr>
                <w:rFonts w:ascii="Times New Roman" w:hAnsi="Times New Roman" w:eastAsia="仿宋" w:cs="Times New Roman"/>
                <w:szCs w:val="21"/>
              </w:rPr>
            </w:pPr>
            <w:bookmarkStart w:id="60" w:name="_Hlk58578123"/>
            <w:r>
              <w:rPr>
                <w:rFonts w:ascii="Times New Roman" w:hAnsi="Times New Roman" w:eastAsia="仿宋" w:cs="Times New Roman"/>
                <w:szCs w:val="21"/>
              </w:rPr>
              <w:t>ZH43112630001</w:t>
            </w:r>
            <w:bookmarkEnd w:id="60"/>
          </w:p>
        </w:tc>
        <w:tc>
          <w:tcPr>
            <w:tcW w:w="851" w:type="dxa"/>
            <w:vAlign w:val="center"/>
          </w:tcPr>
          <w:p w14:paraId="62DC039B">
            <w:pPr>
              <w:jc w:val="center"/>
              <w:rPr>
                <w:rFonts w:ascii="Times New Roman" w:hAnsi="Times New Roman" w:eastAsia="仿宋" w:cs="Times New Roman"/>
                <w:szCs w:val="21"/>
              </w:rPr>
            </w:pPr>
            <w:r>
              <w:rPr>
                <w:rFonts w:ascii="Times New Roman" w:hAnsi="Times New Roman" w:eastAsia="仿宋" w:cs="Times New Roman"/>
                <w:szCs w:val="21"/>
              </w:rPr>
              <w:t>柏家坪镇/保安镇/棉花坪瑶族乡/清水桥镇/仁和镇</w:t>
            </w:r>
          </w:p>
        </w:tc>
        <w:tc>
          <w:tcPr>
            <w:tcW w:w="425" w:type="dxa"/>
            <w:vAlign w:val="center"/>
          </w:tcPr>
          <w:p w14:paraId="7F6CAAFD">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562" w:type="dxa"/>
            <w:vAlign w:val="center"/>
          </w:tcPr>
          <w:p w14:paraId="7FC1774F">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5" w:type="dxa"/>
            <w:vAlign w:val="center"/>
          </w:tcPr>
          <w:p w14:paraId="451F218D">
            <w:pPr>
              <w:jc w:val="center"/>
              <w:rPr>
                <w:rFonts w:ascii="Times New Roman" w:hAnsi="Times New Roman" w:eastAsia="仿宋" w:cs="Times New Roman"/>
                <w:szCs w:val="21"/>
              </w:rPr>
            </w:pPr>
            <w:r>
              <w:rPr>
                <w:rFonts w:ascii="Times New Roman" w:hAnsi="Times New Roman" w:eastAsia="仿宋" w:cs="Times New Roman"/>
                <w:szCs w:val="21"/>
              </w:rPr>
              <w:t>宁远县</w:t>
            </w:r>
          </w:p>
        </w:tc>
        <w:tc>
          <w:tcPr>
            <w:tcW w:w="709" w:type="dxa"/>
            <w:vAlign w:val="center"/>
          </w:tcPr>
          <w:p w14:paraId="08A87412">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1134" w:type="dxa"/>
            <w:vAlign w:val="center"/>
          </w:tcPr>
          <w:p w14:paraId="54F295CA">
            <w:pPr>
              <w:jc w:val="center"/>
              <w:rPr>
                <w:rFonts w:ascii="Times New Roman" w:hAnsi="Times New Roman" w:eastAsia="仿宋" w:cs="Times New Roman"/>
                <w:strike/>
                <w:szCs w:val="21"/>
              </w:rPr>
            </w:pPr>
            <w:r>
              <w:rPr>
                <w:rFonts w:ascii="Times New Roman" w:hAnsi="Times New Roman" w:eastAsia="仿宋" w:cs="Times New Roman"/>
                <w:szCs w:val="21"/>
              </w:rPr>
              <w:t>458.36</w:t>
            </w:r>
          </w:p>
        </w:tc>
        <w:tc>
          <w:tcPr>
            <w:tcW w:w="1276" w:type="dxa"/>
            <w:vAlign w:val="center"/>
          </w:tcPr>
          <w:p w14:paraId="6103C2F2">
            <w:pPr>
              <w:jc w:val="center"/>
              <w:rPr>
                <w:rFonts w:ascii="Times New Roman" w:hAnsi="Times New Roman" w:eastAsia="仿宋" w:cs="Times New Roman"/>
                <w:szCs w:val="21"/>
              </w:rPr>
            </w:pPr>
            <w:r>
              <w:rPr>
                <w:rFonts w:ascii="Times New Roman" w:hAnsi="Times New Roman" w:eastAsia="仿宋" w:cs="Times New Roman"/>
                <w:szCs w:val="21"/>
              </w:rPr>
              <w:t>柏家坪镇/保安镇/棉花坪瑶族乡/清水桥镇/仁和镇</w:t>
            </w:r>
          </w:p>
        </w:tc>
        <w:tc>
          <w:tcPr>
            <w:tcW w:w="992" w:type="dxa"/>
            <w:vAlign w:val="center"/>
          </w:tcPr>
          <w:p w14:paraId="01D3E418">
            <w:pPr>
              <w:jc w:val="center"/>
              <w:rPr>
                <w:rFonts w:ascii="Times New Roman" w:hAnsi="Times New Roman" w:eastAsia="仿宋" w:cs="Times New Roman"/>
                <w:szCs w:val="21"/>
              </w:rPr>
            </w:pPr>
            <w:r>
              <w:rPr>
                <w:rFonts w:ascii="Times New Roman" w:hAnsi="Times New Roman" w:eastAsia="仿宋" w:cs="Times New Roman"/>
                <w:b/>
                <w:bCs/>
                <w:szCs w:val="21"/>
              </w:rPr>
              <w:t>柏家坪镇/棉花坪瑶族乡/清水桥镇/仁和镇：</w:t>
            </w:r>
            <w:r>
              <w:rPr>
                <w:rFonts w:ascii="Times New Roman" w:hAnsi="Times New Roman" w:eastAsia="仿宋" w:cs="Times New Roman"/>
                <w:szCs w:val="21"/>
              </w:rPr>
              <w:t>重点生态功能区；</w:t>
            </w:r>
          </w:p>
          <w:p w14:paraId="00E1157A">
            <w:pPr>
              <w:jc w:val="center"/>
              <w:rPr>
                <w:rFonts w:ascii="Times New Roman" w:hAnsi="Times New Roman" w:eastAsia="仿宋" w:cs="Times New Roman"/>
                <w:szCs w:val="21"/>
              </w:rPr>
            </w:pPr>
            <w:r>
              <w:rPr>
                <w:rFonts w:ascii="Times New Roman" w:hAnsi="Times New Roman" w:eastAsia="仿宋" w:cs="Times New Roman"/>
                <w:b/>
                <w:bCs/>
                <w:szCs w:val="21"/>
              </w:rPr>
              <w:t>保安镇：</w:t>
            </w:r>
            <w:r>
              <w:rPr>
                <w:rFonts w:ascii="Times New Roman" w:hAnsi="Times New Roman" w:eastAsia="仿宋" w:cs="Times New Roman"/>
                <w:szCs w:val="21"/>
              </w:rPr>
              <w:t>农产品主产区</w:t>
            </w:r>
          </w:p>
        </w:tc>
        <w:tc>
          <w:tcPr>
            <w:tcW w:w="4253" w:type="dxa"/>
            <w:gridSpan w:val="2"/>
            <w:vAlign w:val="center"/>
          </w:tcPr>
          <w:p w14:paraId="34F79BE3">
            <w:pPr>
              <w:rPr>
                <w:rFonts w:ascii="Times New Roman" w:hAnsi="Times New Roman" w:eastAsia="仿宋" w:cs="Times New Roman"/>
                <w:szCs w:val="21"/>
              </w:rPr>
            </w:pPr>
            <w:r>
              <w:rPr>
                <w:rFonts w:ascii="Times New Roman" w:hAnsi="Times New Roman" w:eastAsia="仿宋" w:cs="Times New Roman"/>
                <w:b/>
                <w:bCs/>
                <w:szCs w:val="21"/>
              </w:rPr>
              <w:t>柏家坪镇：</w:t>
            </w:r>
            <w:r>
              <w:rPr>
                <w:rFonts w:ascii="Times New Roman" w:hAnsi="Times New Roman" w:eastAsia="仿宋" w:cs="Times New Roman"/>
                <w:szCs w:val="21"/>
              </w:rPr>
              <w:t>农业、养殖业、旅游业、采矿业（砂石土矿）。</w:t>
            </w:r>
            <w:r>
              <w:rPr>
                <w:rFonts w:ascii="Times New Roman" w:hAnsi="Times New Roman" w:eastAsia="仿宋" w:cs="Times New Roman"/>
                <w:b/>
                <w:bCs/>
                <w:szCs w:val="21"/>
              </w:rPr>
              <w:t>保安镇:</w:t>
            </w:r>
            <w:r>
              <w:rPr>
                <w:rFonts w:ascii="Times New Roman" w:hAnsi="Times New Roman" w:eastAsia="仿宋" w:cs="Times New Roman"/>
                <w:szCs w:val="21"/>
              </w:rPr>
              <w:t>农业；制造业；养殖业；采矿业（砂石土矿）。</w:t>
            </w:r>
          </w:p>
          <w:p w14:paraId="025974C7">
            <w:pPr>
              <w:rPr>
                <w:rFonts w:ascii="Times New Roman" w:hAnsi="Times New Roman" w:eastAsia="仿宋" w:cs="Times New Roman"/>
                <w:szCs w:val="21"/>
              </w:rPr>
            </w:pPr>
            <w:r>
              <w:rPr>
                <w:rFonts w:ascii="Times New Roman" w:hAnsi="Times New Roman" w:eastAsia="仿宋" w:cs="Times New Roman"/>
                <w:b/>
                <w:bCs/>
                <w:szCs w:val="21"/>
              </w:rPr>
              <w:t>禾棉花坪瑶族乡：</w:t>
            </w:r>
            <w:r>
              <w:rPr>
                <w:rFonts w:ascii="Times New Roman" w:hAnsi="Times New Roman" w:eastAsia="仿宋" w:cs="Times New Roman"/>
                <w:szCs w:val="21"/>
              </w:rPr>
              <w:t>农业；林业。</w:t>
            </w:r>
          </w:p>
          <w:p w14:paraId="1AF98336">
            <w:pPr>
              <w:rPr>
                <w:rFonts w:ascii="Times New Roman" w:hAnsi="Times New Roman" w:eastAsia="仿宋" w:cs="Times New Roman"/>
                <w:szCs w:val="21"/>
              </w:rPr>
            </w:pPr>
            <w:r>
              <w:rPr>
                <w:rFonts w:ascii="Times New Roman" w:hAnsi="Times New Roman" w:eastAsia="仿宋" w:cs="Times New Roman"/>
                <w:b/>
                <w:bCs/>
                <w:szCs w:val="21"/>
              </w:rPr>
              <w:t>清水桥镇：</w:t>
            </w:r>
            <w:r>
              <w:rPr>
                <w:rFonts w:ascii="Times New Roman" w:hAnsi="Times New Roman" w:eastAsia="仿宋" w:cs="Times New Roman"/>
                <w:szCs w:val="21"/>
              </w:rPr>
              <w:t>农业、制造业、采矿业（砂石土矿）</w:t>
            </w:r>
          </w:p>
          <w:p w14:paraId="0587EC20">
            <w:pPr>
              <w:rPr>
                <w:rFonts w:ascii="Times New Roman" w:hAnsi="Times New Roman" w:eastAsia="仿宋" w:cs="Times New Roman"/>
                <w:szCs w:val="21"/>
              </w:rPr>
            </w:pPr>
            <w:r>
              <w:rPr>
                <w:rFonts w:ascii="Times New Roman" w:hAnsi="Times New Roman" w:eastAsia="仿宋" w:cs="Times New Roman"/>
                <w:b/>
                <w:bCs/>
                <w:szCs w:val="21"/>
              </w:rPr>
              <w:t>仁和镇：</w:t>
            </w:r>
            <w:r>
              <w:rPr>
                <w:rFonts w:ascii="Times New Roman" w:hAnsi="Times New Roman" w:eastAsia="仿宋" w:cs="Times New Roman"/>
                <w:szCs w:val="21"/>
              </w:rPr>
              <w:t>农业、养殖业、采矿业</w:t>
            </w:r>
          </w:p>
          <w:p w14:paraId="203E3D41">
            <w:pPr>
              <w:rPr>
                <w:rFonts w:ascii="Times New Roman" w:hAnsi="Times New Roman" w:eastAsia="仿宋" w:cs="Times New Roman"/>
                <w:szCs w:val="21"/>
              </w:rPr>
            </w:pPr>
          </w:p>
        </w:tc>
        <w:tc>
          <w:tcPr>
            <w:tcW w:w="2432" w:type="dxa"/>
            <w:vAlign w:val="center"/>
          </w:tcPr>
          <w:p w14:paraId="7484BAE3">
            <w:pPr>
              <w:rPr>
                <w:rFonts w:ascii="Times New Roman" w:hAnsi="Times New Roman" w:eastAsia="仿宋" w:cs="Times New Roman"/>
                <w:szCs w:val="21"/>
              </w:rPr>
            </w:pPr>
            <w:r>
              <w:rPr>
                <w:rFonts w:ascii="Times New Roman" w:hAnsi="Times New Roman" w:eastAsia="仿宋" w:cs="Times New Roman"/>
                <w:b/>
                <w:szCs w:val="21"/>
              </w:rPr>
              <w:t>保安镇：</w:t>
            </w:r>
            <w:r>
              <w:rPr>
                <w:rFonts w:ascii="Times New Roman" w:hAnsi="Times New Roman" w:eastAsia="仿宋" w:cs="Times New Roman"/>
                <w:szCs w:val="21"/>
              </w:rPr>
              <w:t>建材生产废气。</w:t>
            </w:r>
          </w:p>
          <w:p w14:paraId="04B1C61B">
            <w:pPr>
              <w:rPr>
                <w:rFonts w:ascii="Times New Roman" w:hAnsi="Times New Roman" w:eastAsia="仿宋" w:cs="Times New Roman"/>
                <w:szCs w:val="21"/>
              </w:rPr>
            </w:pPr>
            <w:r>
              <w:rPr>
                <w:rFonts w:ascii="Times New Roman" w:hAnsi="Times New Roman" w:eastAsia="仿宋" w:cs="Times New Roman"/>
                <w:b/>
                <w:bCs/>
                <w:szCs w:val="21"/>
              </w:rPr>
              <w:t>棉花坪瑶族乡：</w:t>
            </w:r>
            <w:r>
              <w:rPr>
                <w:rFonts w:ascii="Times New Roman" w:hAnsi="Times New Roman" w:eastAsia="仿宋" w:cs="Times New Roman"/>
                <w:szCs w:val="21"/>
              </w:rPr>
              <w:t>无明显环境问题。</w:t>
            </w:r>
          </w:p>
          <w:p w14:paraId="25096788">
            <w:pPr>
              <w:widowControl/>
              <w:rPr>
                <w:rFonts w:ascii="Times New Roman" w:hAnsi="Times New Roman" w:eastAsia="仿宋" w:cs="Times New Roman"/>
                <w:szCs w:val="21"/>
              </w:rPr>
            </w:pPr>
            <w:r>
              <w:rPr>
                <w:rFonts w:ascii="Times New Roman" w:hAnsi="Times New Roman" w:eastAsia="仿宋" w:cs="Times New Roman"/>
                <w:b/>
                <w:bCs/>
                <w:szCs w:val="21"/>
              </w:rPr>
              <w:t>清水桥镇：</w:t>
            </w:r>
            <w:r>
              <w:rPr>
                <w:rFonts w:ascii="Times New Roman" w:hAnsi="Times New Roman" w:eastAsia="仿宋" w:cs="Times New Roman"/>
                <w:szCs w:val="21"/>
              </w:rPr>
              <w:t>木材加工业废气污染。</w:t>
            </w:r>
          </w:p>
          <w:p w14:paraId="7F3EFE0D">
            <w:pPr>
              <w:pStyle w:val="8"/>
              <w:rPr>
                <w:rFonts w:eastAsia="仿宋"/>
                <w:bCs/>
                <w:kern w:val="2"/>
                <w:sz w:val="21"/>
                <w:szCs w:val="21"/>
              </w:rPr>
            </w:pPr>
            <w:r>
              <w:rPr>
                <w:rFonts w:eastAsia="仿宋"/>
                <w:b/>
                <w:kern w:val="2"/>
                <w:sz w:val="21"/>
                <w:szCs w:val="21"/>
              </w:rPr>
              <w:t>环保目标：</w:t>
            </w:r>
            <w:r>
              <w:rPr>
                <w:rFonts w:eastAsia="仿宋"/>
                <w:bCs/>
                <w:kern w:val="2"/>
                <w:sz w:val="21"/>
                <w:szCs w:val="21"/>
              </w:rPr>
              <w:t>永州市宁远县清水桥镇双龙水库饮用水水源保护区、永州市宁远县仁和镇宁远河饮用水水源保护区、永州市宁远县柏家坪镇河东水库饮用水水源保护区、永州市宁远县柏家坪镇双龙水库左干渠饮用水水源保护区、永州市宁远县柏家坪镇大坝口水库饮用水水源保护区。</w:t>
            </w:r>
          </w:p>
        </w:tc>
      </w:tr>
      <w:tr w14:paraId="093B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FBB1315">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50868CF5">
            <w:pPr>
              <w:widowControl/>
              <w:rPr>
                <w:rFonts w:ascii="Times New Roman" w:hAnsi="Times New Roman" w:eastAsia="仿宋" w:cs="Times New Roman"/>
                <w:szCs w:val="21"/>
              </w:rPr>
            </w:pPr>
            <w:r>
              <w:rPr>
                <w:rFonts w:ascii="Times New Roman" w:hAnsi="Times New Roman" w:eastAsia="仿宋" w:cs="Times New Roman"/>
                <w:b/>
                <w:szCs w:val="21"/>
              </w:rPr>
              <w:t>柏家坪镇：</w:t>
            </w:r>
          </w:p>
          <w:p w14:paraId="0671A382">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原生态红线/水土流失敏感区/水土保持功能重要区/石漠化敏感区）；水环境一般管控区；大气环境受体敏感重点管控区/大气环境弱扩散重点管控区；农用地优先保护区/一般管控区</w:t>
            </w:r>
          </w:p>
          <w:p w14:paraId="58154831">
            <w:pPr>
              <w:widowControl/>
              <w:rPr>
                <w:rFonts w:ascii="Times New Roman" w:hAnsi="Times New Roman" w:eastAsia="仿宋" w:cs="Times New Roman"/>
                <w:b/>
                <w:bCs/>
                <w:szCs w:val="21"/>
              </w:rPr>
            </w:pPr>
            <w:r>
              <w:rPr>
                <w:rFonts w:ascii="Times New Roman" w:hAnsi="Times New Roman" w:eastAsia="仿宋" w:cs="Times New Roman"/>
                <w:b/>
                <w:bCs/>
                <w:szCs w:val="21"/>
              </w:rPr>
              <w:t>保安镇：</w:t>
            </w:r>
          </w:p>
          <w:p w14:paraId="04372D78">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原生态红线/水土流失敏感区）；水环境一般管控区；大气环境受体敏感重点管控区/大气环境弱扩散重点管控区；农用地优先保护区/农用地重点管控区/其他重点管控区/一般管控区</w:t>
            </w:r>
          </w:p>
          <w:p w14:paraId="6C281B5A">
            <w:pPr>
              <w:widowControl/>
              <w:rPr>
                <w:rFonts w:ascii="Times New Roman" w:hAnsi="Times New Roman" w:eastAsia="仿宋" w:cs="Times New Roman"/>
                <w:szCs w:val="21"/>
              </w:rPr>
            </w:pPr>
            <w:r>
              <w:rPr>
                <w:rFonts w:ascii="Times New Roman" w:hAnsi="Times New Roman" w:eastAsia="仿宋" w:cs="Times New Roman"/>
                <w:b/>
                <w:szCs w:val="21"/>
              </w:rPr>
              <w:t>棉花坪瑶族乡：</w:t>
            </w:r>
          </w:p>
          <w:p w14:paraId="1726113D">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水土流失敏感区）；水环境优先保护区/水环境一般管控区；大气环境受体敏感重点管控区/大气环境弱扩散重点管控区；农用地优先保护区/农用地重点管控区/其他重点管控区/一般管控区</w:t>
            </w:r>
          </w:p>
          <w:p w14:paraId="188B9103">
            <w:pPr>
              <w:widowControl/>
              <w:rPr>
                <w:rFonts w:ascii="Times New Roman" w:hAnsi="Times New Roman" w:eastAsia="仿宋" w:cs="Times New Roman"/>
                <w:szCs w:val="21"/>
              </w:rPr>
            </w:pPr>
            <w:r>
              <w:rPr>
                <w:rFonts w:ascii="Times New Roman" w:hAnsi="Times New Roman" w:eastAsia="仿宋" w:cs="Times New Roman"/>
                <w:b/>
                <w:szCs w:val="21"/>
              </w:rPr>
              <w:t>清水桥镇；</w:t>
            </w:r>
          </w:p>
          <w:p w14:paraId="314A4123">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水土保持功能重要区/水土流失敏感区/原生态红线/石漠化敏感区）；水环境一般管控区；大气环境受体敏感重点管控区/大气环境弱扩散重点管控区；农用地优先保护区/一般管控区</w:t>
            </w:r>
          </w:p>
          <w:p w14:paraId="4410238E">
            <w:pPr>
              <w:widowControl/>
              <w:rPr>
                <w:rFonts w:ascii="Times New Roman" w:hAnsi="Times New Roman" w:eastAsia="仿宋" w:cs="Times New Roman"/>
                <w:szCs w:val="21"/>
              </w:rPr>
            </w:pPr>
            <w:r>
              <w:rPr>
                <w:rFonts w:ascii="Times New Roman" w:hAnsi="Times New Roman" w:eastAsia="仿宋" w:cs="Times New Roman"/>
                <w:b/>
                <w:szCs w:val="21"/>
              </w:rPr>
              <w:t>仁和镇：</w:t>
            </w:r>
          </w:p>
          <w:p w14:paraId="12D41168">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水土流失敏感区/原生态红线）；水环境优先保护区/水环境一般管控区；大气环境受体敏感重点管控区/大气环境弱扩散重点管控区；农用地优先保护区/一般管控区</w:t>
            </w:r>
          </w:p>
        </w:tc>
      </w:tr>
      <w:tr w14:paraId="689C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0815C134">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776" w:type="dxa"/>
            <w:gridSpan w:val="9"/>
            <w:vAlign w:val="center"/>
          </w:tcPr>
          <w:p w14:paraId="0EEAC258">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283" w:type="dxa"/>
            <w:gridSpan w:val="2"/>
            <w:vAlign w:val="center"/>
          </w:tcPr>
          <w:p w14:paraId="17918A0F">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E77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26F636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776" w:type="dxa"/>
            <w:gridSpan w:val="9"/>
            <w:vAlign w:val="center"/>
          </w:tcPr>
          <w:p w14:paraId="79097D90">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（1.1）产业准入应符合“宁远县产业准入负面清单”的规定。</w:t>
            </w:r>
          </w:p>
          <w:p w14:paraId="5663F717">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1.2）畜禽养殖企业布局应符合《宁远县畜禽养殖布局规划》。禁止养殖区内严禁新建、改建、扩建各类畜禽养殖场。不得在县城上风向1000米范围内新建、扩建畜禽养殖场，规模化畜禽养殖场场界周围应有合理的卫生防护距离。</w:t>
            </w:r>
          </w:p>
          <w:p w14:paraId="084BA992">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（1.3）商品混凝土搅拌站建议避让集中居住区与环境敏感区距离300m以上，并设置不小于20m的防护绿带。</w:t>
            </w:r>
          </w:p>
        </w:tc>
        <w:tc>
          <w:tcPr>
            <w:tcW w:w="3283" w:type="dxa"/>
            <w:gridSpan w:val="2"/>
            <w:vMerge w:val="restart"/>
            <w:vAlign w:val="center"/>
          </w:tcPr>
          <w:p w14:paraId="6EDE5DB3">
            <w:pPr>
              <w:rPr>
                <w:rFonts w:ascii="Times New Roman" w:hAnsi="Times New Roman" w:eastAsia="仿宋" w:cs="Times New Roman"/>
                <w:szCs w:val="21"/>
              </w:rPr>
            </w:pPr>
            <w:r>
              <w:rPr>
                <w:rFonts w:ascii="Times New Roman" w:hAnsi="Times New Roman" w:eastAsia="仿宋" w:cs="Times New Roman"/>
                <w:szCs w:val="21"/>
              </w:rPr>
              <w:t>（1.2）宁远县人民政府关于发布《宁远县畜禽养殖布局规划（2020-2024）》的公告（2019年12月）；</w:t>
            </w:r>
          </w:p>
          <w:p w14:paraId="553091F5">
            <w:pPr>
              <w:rPr>
                <w:rFonts w:ascii="Times New Roman" w:hAnsi="Times New Roman" w:eastAsia="仿宋" w:cs="Times New Roman"/>
                <w:szCs w:val="21"/>
              </w:rPr>
            </w:pPr>
            <w:r>
              <w:rPr>
                <w:rFonts w:ascii="Times New Roman" w:hAnsi="Times New Roman" w:eastAsia="仿宋" w:cs="Times New Roman"/>
                <w:szCs w:val="21"/>
              </w:rPr>
              <w:t>（1.3）《宁远县预拌商品混凝土搅拌场站专项规划（2021-2035）》 ；</w:t>
            </w:r>
          </w:p>
          <w:p w14:paraId="704A13C3">
            <w:pPr>
              <w:rPr>
                <w:rFonts w:ascii="Times New Roman" w:hAnsi="Times New Roman" w:eastAsia="仿宋" w:cs="Times New Roman"/>
                <w:szCs w:val="21"/>
              </w:rPr>
            </w:pPr>
            <w:r>
              <w:rPr>
                <w:rFonts w:ascii="Times New Roman" w:hAnsi="Times New Roman" w:eastAsia="仿宋" w:cs="Times New Roman"/>
                <w:szCs w:val="21"/>
              </w:rPr>
              <w:t>（2.1）（2.3）《永州市“十四五”生态环境保护规划》；</w:t>
            </w:r>
          </w:p>
          <w:p w14:paraId="03DB4192">
            <w:pPr>
              <w:rPr>
                <w:rFonts w:ascii="Times New Roman" w:hAnsi="Times New Roman" w:eastAsia="仿宋" w:cs="Times New Roman"/>
                <w:szCs w:val="21"/>
              </w:rPr>
            </w:pPr>
            <w:r>
              <w:rPr>
                <w:rFonts w:ascii="Times New Roman" w:hAnsi="Times New Roman" w:eastAsia="仿宋" w:cs="Times New Roman"/>
                <w:szCs w:val="21"/>
              </w:rPr>
              <w:t>（2.2）《永州市环境空气质量限期达标规划》；</w:t>
            </w:r>
          </w:p>
          <w:p w14:paraId="33A24EB1">
            <w:pPr>
              <w:rPr>
                <w:rFonts w:ascii="Times New Roman" w:hAnsi="Times New Roman" w:eastAsia="仿宋" w:cs="Times New Roman"/>
                <w:szCs w:val="21"/>
              </w:rPr>
            </w:pPr>
            <w:r>
              <w:rPr>
                <w:rFonts w:ascii="Times New Roman" w:hAnsi="Times New Roman" w:eastAsia="仿宋" w:cs="Times New Roman"/>
                <w:szCs w:val="21"/>
              </w:rPr>
              <w:t>（2.3）《宁远县大气污染防治攻坚行动计划（2023-2025）》；</w:t>
            </w:r>
          </w:p>
          <w:p w14:paraId="1D3AF1C5">
            <w:pPr>
              <w:rPr>
                <w:rFonts w:ascii="Times New Roman" w:hAnsi="Times New Roman" w:eastAsia="仿宋" w:cs="Times New Roman"/>
                <w:szCs w:val="21"/>
              </w:rPr>
            </w:pPr>
            <w:r>
              <w:rPr>
                <w:rFonts w:ascii="Times New Roman" w:hAnsi="Times New Roman" w:eastAsia="仿宋" w:cs="Times New Roman"/>
                <w:szCs w:val="21"/>
              </w:rPr>
              <w:t>（2.4）《宁远县畜禽养殖污染防治规划（2021-2025年）》；</w:t>
            </w:r>
          </w:p>
          <w:p w14:paraId="2B52A225">
            <w:pPr>
              <w:rPr>
                <w:rFonts w:ascii="Times New Roman" w:hAnsi="Times New Roman" w:eastAsia="仿宋" w:cs="Times New Roman"/>
                <w:szCs w:val="21"/>
              </w:rPr>
            </w:pPr>
            <w:r>
              <w:rPr>
                <w:rFonts w:ascii="Times New Roman" w:hAnsi="Times New Roman" w:eastAsia="仿宋" w:cs="Times New Roman"/>
                <w:szCs w:val="21"/>
              </w:rPr>
              <w:t>（2.4）（2.5）《永州市“十四五”生态环境保护规划》；</w:t>
            </w:r>
          </w:p>
          <w:p w14:paraId="759DED2B">
            <w:pPr>
              <w:rPr>
                <w:rFonts w:ascii="Times New Roman" w:hAnsi="Times New Roman" w:eastAsia="仿宋" w:cs="Times New Roman"/>
                <w:szCs w:val="21"/>
              </w:rPr>
            </w:pPr>
            <w:r>
              <w:rPr>
                <w:rFonts w:ascii="Times New Roman" w:hAnsi="Times New Roman" w:eastAsia="仿宋" w:cs="Times New Roman"/>
                <w:szCs w:val="21"/>
              </w:rPr>
              <w:t>（2.6）《宁远县大气污染防治攻坚行动计划（2023-2025）》；</w:t>
            </w:r>
          </w:p>
          <w:p w14:paraId="0533CDCC">
            <w:pPr>
              <w:rPr>
                <w:rFonts w:ascii="Times New Roman" w:hAnsi="Times New Roman" w:eastAsia="仿宋" w:cs="Times New Roman"/>
                <w:szCs w:val="21"/>
              </w:rPr>
            </w:pPr>
            <w:r>
              <w:rPr>
                <w:rFonts w:ascii="Times New Roman" w:hAnsi="Times New Roman" w:eastAsia="仿宋" w:cs="Times New Roman"/>
                <w:szCs w:val="21"/>
              </w:rPr>
              <w:t>（3.1）《宁远县突发环境事件应急预案》（宁政办发〔2018〕2号）；</w:t>
            </w:r>
          </w:p>
          <w:p w14:paraId="689CC618">
            <w:pPr>
              <w:autoSpaceDE w:val="0"/>
              <w:autoSpaceDN w:val="0"/>
              <w:adjustRightInd w:val="0"/>
              <w:jc w:val="left"/>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D02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trPr>
        <w:tc>
          <w:tcPr>
            <w:tcW w:w="1134" w:type="dxa"/>
            <w:vAlign w:val="center"/>
          </w:tcPr>
          <w:p w14:paraId="1498A2E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776" w:type="dxa"/>
            <w:gridSpan w:val="9"/>
            <w:vAlign w:val="center"/>
          </w:tcPr>
          <w:p w14:paraId="139C11EC">
            <w:pPr>
              <w:keepNext w:val="0"/>
              <w:keepLines w:val="0"/>
              <w:pageBreakBefore w:val="0"/>
              <w:widowControl w:val="0"/>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（2.1）</w:t>
            </w:r>
            <w:bookmarkStart w:id="61" w:name="_Hlk58578140"/>
            <w:r>
              <w:rPr>
                <w:rFonts w:ascii="Times New Roman" w:hAnsi="Times New Roman" w:eastAsia="仿宋" w:cs="Times New Roman"/>
                <w:szCs w:val="21"/>
              </w:rPr>
              <w:t>完善污水收集体系，补齐污水处理设施短板。加强污水处理厂尾水处理与资源化利用。</w:t>
            </w:r>
          </w:p>
          <w:p w14:paraId="6F4DA050">
            <w:pPr>
              <w:keepNext w:val="0"/>
              <w:keepLines w:val="0"/>
              <w:pageBreakBefore w:val="0"/>
              <w:widowControl w:val="0"/>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w:t>
            </w:r>
            <w:r>
              <w:rPr>
                <w:rFonts w:ascii="Times New Roman" w:hAnsi="Times New Roman" w:eastAsia="仿宋" w:cs="Times New Roman"/>
                <w:b/>
                <w:bCs/>
                <w:szCs w:val="21"/>
              </w:rPr>
              <w:t>清水桥镇</w:t>
            </w:r>
            <w:r>
              <w:rPr>
                <w:rFonts w:ascii="Times New Roman" w:hAnsi="Times New Roman" w:eastAsia="仿宋" w:cs="Times New Roman"/>
                <w:szCs w:val="21"/>
              </w:rPr>
              <w:t>加强木材加工业废气污染治理，</w:t>
            </w:r>
            <w:r>
              <w:rPr>
                <w:rFonts w:ascii="Times New Roman" w:hAnsi="Times New Roman" w:eastAsia="仿宋" w:cs="Times New Roman"/>
                <w:b/>
                <w:szCs w:val="21"/>
              </w:rPr>
              <w:t>保安镇</w:t>
            </w:r>
            <w:r>
              <w:rPr>
                <w:rFonts w:ascii="Times New Roman" w:hAnsi="Times New Roman" w:eastAsia="仿宋" w:cs="Times New Roman"/>
                <w:bCs/>
                <w:szCs w:val="21"/>
              </w:rPr>
              <w:t>加强</w:t>
            </w:r>
            <w:r>
              <w:rPr>
                <w:rFonts w:ascii="Times New Roman" w:hAnsi="Times New Roman" w:eastAsia="仿宋" w:cs="Times New Roman"/>
                <w:szCs w:val="21"/>
              </w:rPr>
              <w:t>建材生产废气污染治理。</w:t>
            </w:r>
          </w:p>
          <w:bookmarkEnd w:id="61"/>
          <w:p w14:paraId="6F6F0F82">
            <w:pPr>
              <w:keepNext w:val="0"/>
              <w:keepLines w:val="0"/>
              <w:pageBreakBefore w:val="0"/>
              <w:widowControl w:val="0"/>
              <w:tabs>
                <w:tab w:val="left" w:pos="1021"/>
              </w:tabs>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（2.3）严管生物质露天焚烧。推进秸秆综合利用和秸秆焚烧网格化管理制度。</w:t>
            </w:r>
          </w:p>
          <w:p w14:paraId="42C4338D">
            <w:pPr>
              <w:keepNext w:val="0"/>
              <w:keepLines w:val="0"/>
              <w:pageBreakBefore w:val="0"/>
              <w:widowControl w:val="0"/>
              <w:tabs>
                <w:tab w:val="left" w:pos="1021"/>
              </w:tabs>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2.4）规范养殖场养殖行为，积极推行畜禽粪污资源化利用管理模式，坚持有条件的养殖场优先实施畜禽粪污资源化利用，确实无法实现资源化利用的养殖场应坚持畜禽粪污处理后达标排放的原则，完善畜禽粪污资源化体制机制，全面推动畜禽粪污资源化利用。</w:t>
            </w:r>
          </w:p>
          <w:p w14:paraId="7A13E815">
            <w:pPr>
              <w:keepNext w:val="0"/>
              <w:keepLines w:val="0"/>
              <w:pageBreakBefore w:val="0"/>
              <w:widowControl w:val="0"/>
              <w:tabs>
                <w:tab w:val="left" w:pos="1021"/>
              </w:tabs>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2.5）建立健全符合农村实际、方式多样的生活垃圾收运处置体系，对农村生活垃圾实施可回收物、有害垃圾、易腐垃圾、其他垃圾“四分类”处理。推广“户分类、村收集、镇转运、县处理”的垃圾处理模式，鼓励实行城乡垃圾处理一体化。</w:t>
            </w:r>
          </w:p>
          <w:p w14:paraId="7B4018EC">
            <w:pPr>
              <w:keepNext w:val="0"/>
              <w:keepLines w:val="0"/>
              <w:pageBreakBefore w:val="0"/>
              <w:widowControl w:val="0"/>
              <w:tabs>
                <w:tab w:val="left" w:pos="1021"/>
              </w:tabs>
              <w:kinsoku/>
              <w:wordWrap/>
              <w:overflowPunct/>
              <w:topLinePunct w:val="0"/>
              <w:bidi w:val="0"/>
              <w:adjustRightInd/>
              <w:snapToGrid/>
              <w:spacing w:line="28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（2.6）加强采石、采砂、搅拌站等行业污染整治，做到抑尘到位、遮盖到位、围挡到位、道路清洁到位、车辆冲洗到位。</w:t>
            </w:r>
          </w:p>
        </w:tc>
        <w:tc>
          <w:tcPr>
            <w:tcW w:w="3283" w:type="dxa"/>
            <w:gridSpan w:val="2"/>
            <w:vMerge w:val="continue"/>
            <w:vAlign w:val="center"/>
          </w:tcPr>
          <w:p w14:paraId="239E8EC0">
            <w:pPr>
              <w:rPr>
                <w:rFonts w:ascii="Times New Roman" w:hAnsi="Times New Roman" w:eastAsia="仿宋" w:cs="Times New Roman"/>
                <w:szCs w:val="21"/>
              </w:rPr>
            </w:pPr>
          </w:p>
        </w:tc>
      </w:tr>
      <w:tr w14:paraId="17F9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83DC44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776" w:type="dxa"/>
            <w:gridSpan w:val="9"/>
            <w:vAlign w:val="center"/>
          </w:tcPr>
          <w:p w14:paraId="792F8A63">
            <w:pPr>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（3.1）建立健全环境风险防控体系，严格落实《宁远县突发环境事件应急预案》的相关要求，严防环境突发事件发生，提高应急处置能力。</w:t>
            </w:r>
          </w:p>
        </w:tc>
        <w:tc>
          <w:tcPr>
            <w:tcW w:w="3283" w:type="dxa"/>
            <w:gridSpan w:val="2"/>
            <w:vMerge w:val="continue"/>
            <w:vAlign w:val="center"/>
          </w:tcPr>
          <w:p w14:paraId="6739955D">
            <w:pPr>
              <w:rPr>
                <w:rFonts w:ascii="Times New Roman" w:hAnsi="Times New Roman" w:eastAsia="仿宋" w:cs="Times New Roman"/>
                <w:szCs w:val="21"/>
              </w:rPr>
            </w:pPr>
          </w:p>
        </w:tc>
      </w:tr>
      <w:tr w14:paraId="4134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6B4B861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776" w:type="dxa"/>
            <w:gridSpan w:val="9"/>
            <w:vAlign w:val="center"/>
          </w:tcPr>
          <w:p w14:paraId="22E84397">
            <w:pPr>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0E4D9B2E">
            <w:pPr>
              <w:ind w:firstLine="420" w:firstLineChars="200"/>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，万元地区生产总值用水量、万元工业增加值用水量分别比2020年降低15.00%、8.87%，农田灌溉水有效利用系数为0.558。</w:t>
            </w:r>
          </w:p>
        </w:tc>
        <w:tc>
          <w:tcPr>
            <w:tcW w:w="3283" w:type="dxa"/>
            <w:gridSpan w:val="2"/>
            <w:vMerge w:val="continue"/>
            <w:vAlign w:val="center"/>
          </w:tcPr>
          <w:p w14:paraId="73B52A23">
            <w:pPr>
              <w:rPr>
                <w:rFonts w:ascii="Times New Roman" w:hAnsi="Times New Roman" w:eastAsia="仿宋" w:cs="Times New Roman"/>
                <w:szCs w:val="21"/>
              </w:rPr>
            </w:pPr>
          </w:p>
        </w:tc>
      </w:tr>
    </w:tbl>
    <w:p w14:paraId="0F572885">
      <w:pPr>
        <w:rPr>
          <w:rFonts w:ascii="Times New Roman" w:hAnsi="Times New Roman" w:eastAsia="仿宋" w:cs="Times New Roman"/>
          <w:szCs w:val="21"/>
        </w:rPr>
      </w:pPr>
    </w:p>
    <w:p w14:paraId="15204DE9">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426"/>
        <w:gridCol w:w="708"/>
        <w:gridCol w:w="993"/>
        <w:gridCol w:w="1134"/>
        <w:gridCol w:w="1559"/>
        <w:gridCol w:w="3260"/>
        <w:gridCol w:w="1418"/>
        <w:gridCol w:w="1865"/>
      </w:tblGrid>
      <w:tr w14:paraId="2206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1B62DEAF">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49240910">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271" w:type="dxa"/>
            <w:gridSpan w:val="3"/>
            <w:vAlign w:val="center"/>
          </w:tcPr>
          <w:p w14:paraId="11709CE1">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8" w:type="dxa"/>
            <w:vMerge w:val="restart"/>
            <w:vAlign w:val="center"/>
          </w:tcPr>
          <w:p w14:paraId="2D957C66">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993" w:type="dxa"/>
            <w:vMerge w:val="restart"/>
            <w:vAlign w:val="center"/>
          </w:tcPr>
          <w:p w14:paraId="33B47EB7">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134" w:type="dxa"/>
            <w:vMerge w:val="restart"/>
            <w:vAlign w:val="center"/>
          </w:tcPr>
          <w:p w14:paraId="62ED6967">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559" w:type="dxa"/>
            <w:vMerge w:val="restart"/>
            <w:vAlign w:val="center"/>
          </w:tcPr>
          <w:p w14:paraId="1D37F691">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4678" w:type="dxa"/>
            <w:gridSpan w:val="2"/>
            <w:vMerge w:val="restart"/>
            <w:vAlign w:val="center"/>
          </w:tcPr>
          <w:p w14:paraId="2F4BE630">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1865" w:type="dxa"/>
            <w:vMerge w:val="restart"/>
            <w:vAlign w:val="center"/>
          </w:tcPr>
          <w:p w14:paraId="78442336">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7968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055AE707">
            <w:pPr>
              <w:rPr>
                <w:rFonts w:ascii="Times New Roman" w:hAnsi="Times New Roman" w:eastAsia="仿宋" w:cs="Times New Roman"/>
                <w:b/>
                <w:szCs w:val="21"/>
              </w:rPr>
            </w:pPr>
          </w:p>
        </w:tc>
        <w:tc>
          <w:tcPr>
            <w:tcW w:w="851" w:type="dxa"/>
            <w:vMerge w:val="continue"/>
            <w:vAlign w:val="center"/>
          </w:tcPr>
          <w:p w14:paraId="6C8EBD85">
            <w:pPr>
              <w:rPr>
                <w:rFonts w:ascii="Times New Roman" w:hAnsi="Times New Roman" w:eastAsia="仿宋" w:cs="Times New Roman"/>
                <w:b/>
                <w:szCs w:val="21"/>
              </w:rPr>
            </w:pPr>
          </w:p>
        </w:tc>
        <w:tc>
          <w:tcPr>
            <w:tcW w:w="425" w:type="dxa"/>
            <w:vAlign w:val="center"/>
          </w:tcPr>
          <w:p w14:paraId="1C9F2C99">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0" w:type="dxa"/>
            <w:vAlign w:val="center"/>
          </w:tcPr>
          <w:p w14:paraId="663F55C3">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6" w:type="dxa"/>
            <w:vAlign w:val="center"/>
          </w:tcPr>
          <w:p w14:paraId="74F3D9FD">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8" w:type="dxa"/>
            <w:vMerge w:val="continue"/>
            <w:vAlign w:val="center"/>
          </w:tcPr>
          <w:p w14:paraId="7B6450AA">
            <w:pPr>
              <w:rPr>
                <w:rFonts w:ascii="Times New Roman" w:hAnsi="Times New Roman" w:eastAsia="仿宋" w:cs="Times New Roman"/>
                <w:b/>
                <w:szCs w:val="21"/>
              </w:rPr>
            </w:pPr>
          </w:p>
        </w:tc>
        <w:tc>
          <w:tcPr>
            <w:tcW w:w="993" w:type="dxa"/>
            <w:vMerge w:val="continue"/>
            <w:vAlign w:val="center"/>
          </w:tcPr>
          <w:p w14:paraId="7152E498">
            <w:pPr>
              <w:rPr>
                <w:rFonts w:ascii="Times New Roman" w:hAnsi="Times New Roman" w:eastAsia="仿宋" w:cs="Times New Roman"/>
                <w:b/>
                <w:szCs w:val="21"/>
              </w:rPr>
            </w:pPr>
          </w:p>
        </w:tc>
        <w:tc>
          <w:tcPr>
            <w:tcW w:w="1134" w:type="dxa"/>
            <w:vMerge w:val="continue"/>
            <w:vAlign w:val="center"/>
          </w:tcPr>
          <w:p w14:paraId="538EC826">
            <w:pPr>
              <w:rPr>
                <w:rFonts w:ascii="Times New Roman" w:hAnsi="Times New Roman" w:eastAsia="仿宋" w:cs="Times New Roman"/>
                <w:b/>
                <w:szCs w:val="21"/>
              </w:rPr>
            </w:pPr>
          </w:p>
        </w:tc>
        <w:tc>
          <w:tcPr>
            <w:tcW w:w="1559" w:type="dxa"/>
            <w:vMerge w:val="continue"/>
            <w:vAlign w:val="center"/>
          </w:tcPr>
          <w:p w14:paraId="50674F27">
            <w:pPr>
              <w:rPr>
                <w:rFonts w:ascii="Times New Roman" w:hAnsi="Times New Roman" w:eastAsia="仿宋" w:cs="Times New Roman"/>
                <w:b/>
                <w:szCs w:val="21"/>
              </w:rPr>
            </w:pPr>
          </w:p>
        </w:tc>
        <w:tc>
          <w:tcPr>
            <w:tcW w:w="4678" w:type="dxa"/>
            <w:gridSpan w:val="2"/>
            <w:vMerge w:val="continue"/>
            <w:vAlign w:val="center"/>
          </w:tcPr>
          <w:p w14:paraId="20B30A82">
            <w:pPr>
              <w:rPr>
                <w:rFonts w:ascii="Times New Roman" w:hAnsi="Times New Roman" w:eastAsia="仿宋" w:cs="Times New Roman"/>
                <w:b/>
                <w:szCs w:val="21"/>
              </w:rPr>
            </w:pPr>
          </w:p>
        </w:tc>
        <w:tc>
          <w:tcPr>
            <w:tcW w:w="1865" w:type="dxa"/>
            <w:vMerge w:val="continue"/>
            <w:vAlign w:val="center"/>
          </w:tcPr>
          <w:p w14:paraId="7AC5A772">
            <w:pPr>
              <w:rPr>
                <w:rFonts w:ascii="Times New Roman" w:hAnsi="Times New Roman" w:eastAsia="仿宋" w:cs="Times New Roman"/>
                <w:b/>
                <w:szCs w:val="21"/>
              </w:rPr>
            </w:pPr>
          </w:p>
        </w:tc>
      </w:tr>
      <w:tr w14:paraId="2084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340ACD0E">
            <w:pPr>
              <w:rPr>
                <w:rFonts w:ascii="Times New Roman" w:hAnsi="Times New Roman" w:eastAsia="仿宋" w:cs="Times New Roman"/>
                <w:szCs w:val="21"/>
              </w:rPr>
            </w:pPr>
            <w:r>
              <w:rPr>
                <w:rFonts w:ascii="Times New Roman" w:hAnsi="Times New Roman" w:eastAsia="仿宋" w:cs="Times New Roman"/>
                <w:szCs w:val="21"/>
              </w:rPr>
              <w:t>ZH43112630002</w:t>
            </w:r>
          </w:p>
        </w:tc>
        <w:tc>
          <w:tcPr>
            <w:tcW w:w="851" w:type="dxa"/>
            <w:vAlign w:val="center"/>
          </w:tcPr>
          <w:p w14:paraId="1F2A9E69">
            <w:pPr>
              <w:rPr>
                <w:rFonts w:ascii="Times New Roman" w:hAnsi="Times New Roman" w:eastAsia="仿宋" w:cs="Times New Roman"/>
                <w:szCs w:val="21"/>
              </w:rPr>
            </w:pPr>
            <w:r>
              <w:rPr>
                <w:rFonts w:ascii="Times New Roman" w:hAnsi="Times New Roman" w:eastAsia="仿宋" w:cs="Times New Roman"/>
                <w:szCs w:val="21"/>
              </w:rPr>
              <w:t>水市镇/天堂镇/中和镇</w:t>
            </w:r>
          </w:p>
        </w:tc>
        <w:tc>
          <w:tcPr>
            <w:tcW w:w="425" w:type="dxa"/>
            <w:vAlign w:val="center"/>
          </w:tcPr>
          <w:p w14:paraId="264D72C4">
            <w:pPr>
              <w:rPr>
                <w:rFonts w:ascii="Times New Roman" w:hAnsi="Times New Roman" w:eastAsia="仿宋" w:cs="Times New Roman"/>
                <w:szCs w:val="21"/>
              </w:rPr>
            </w:pPr>
            <w:r>
              <w:rPr>
                <w:rFonts w:ascii="Times New Roman" w:hAnsi="Times New Roman" w:eastAsia="仿宋" w:cs="Times New Roman"/>
                <w:szCs w:val="21"/>
              </w:rPr>
              <w:t>湖南省</w:t>
            </w:r>
          </w:p>
        </w:tc>
        <w:tc>
          <w:tcPr>
            <w:tcW w:w="420" w:type="dxa"/>
            <w:vAlign w:val="center"/>
          </w:tcPr>
          <w:p w14:paraId="5629F4FA">
            <w:pPr>
              <w:rPr>
                <w:rFonts w:ascii="Times New Roman" w:hAnsi="Times New Roman" w:eastAsia="仿宋" w:cs="Times New Roman"/>
                <w:szCs w:val="21"/>
              </w:rPr>
            </w:pPr>
            <w:r>
              <w:rPr>
                <w:rFonts w:ascii="Times New Roman" w:hAnsi="Times New Roman" w:eastAsia="仿宋" w:cs="Times New Roman"/>
                <w:szCs w:val="21"/>
              </w:rPr>
              <w:t>永州市</w:t>
            </w:r>
          </w:p>
        </w:tc>
        <w:tc>
          <w:tcPr>
            <w:tcW w:w="426" w:type="dxa"/>
            <w:vAlign w:val="center"/>
          </w:tcPr>
          <w:p w14:paraId="4EF742D4">
            <w:pPr>
              <w:rPr>
                <w:rFonts w:ascii="Times New Roman" w:hAnsi="Times New Roman" w:eastAsia="仿宋" w:cs="Times New Roman"/>
                <w:szCs w:val="21"/>
              </w:rPr>
            </w:pPr>
            <w:r>
              <w:rPr>
                <w:rFonts w:ascii="Times New Roman" w:hAnsi="Times New Roman" w:eastAsia="仿宋" w:cs="Times New Roman"/>
                <w:szCs w:val="21"/>
              </w:rPr>
              <w:t>宁远县</w:t>
            </w:r>
          </w:p>
        </w:tc>
        <w:tc>
          <w:tcPr>
            <w:tcW w:w="708" w:type="dxa"/>
            <w:vAlign w:val="center"/>
          </w:tcPr>
          <w:p w14:paraId="7F12864A">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993" w:type="dxa"/>
            <w:vAlign w:val="center"/>
          </w:tcPr>
          <w:p w14:paraId="254B062F">
            <w:pPr>
              <w:jc w:val="center"/>
              <w:rPr>
                <w:rFonts w:ascii="Times New Roman" w:hAnsi="Times New Roman" w:eastAsia="仿宋" w:cs="Times New Roman"/>
                <w:strike/>
                <w:szCs w:val="21"/>
              </w:rPr>
            </w:pPr>
            <w:r>
              <w:rPr>
                <w:rFonts w:ascii="Times New Roman" w:hAnsi="Times New Roman" w:eastAsia="仿宋" w:cs="Times New Roman"/>
                <w:szCs w:val="21"/>
              </w:rPr>
              <w:t>618.23</w:t>
            </w:r>
          </w:p>
        </w:tc>
        <w:tc>
          <w:tcPr>
            <w:tcW w:w="1134" w:type="dxa"/>
            <w:vAlign w:val="center"/>
          </w:tcPr>
          <w:p w14:paraId="6766DC23">
            <w:pPr>
              <w:jc w:val="center"/>
              <w:rPr>
                <w:rFonts w:ascii="Times New Roman" w:hAnsi="Times New Roman" w:eastAsia="仿宋" w:cs="Times New Roman"/>
                <w:szCs w:val="21"/>
              </w:rPr>
            </w:pPr>
            <w:r>
              <w:rPr>
                <w:rFonts w:ascii="Times New Roman" w:hAnsi="Times New Roman" w:eastAsia="仿宋" w:cs="Times New Roman"/>
                <w:szCs w:val="21"/>
              </w:rPr>
              <w:t>水市镇/天堂镇/中和镇</w:t>
            </w:r>
          </w:p>
        </w:tc>
        <w:tc>
          <w:tcPr>
            <w:tcW w:w="1559" w:type="dxa"/>
            <w:vAlign w:val="center"/>
          </w:tcPr>
          <w:p w14:paraId="46E74C77">
            <w:pPr>
              <w:jc w:val="center"/>
              <w:rPr>
                <w:rFonts w:ascii="Times New Roman" w:hAnsi="Times New Roman" w:eastAsia="仿宋" w:cs="Times New Roman"/>
                <w:szCs w:val="21"/>
              </w:rPr>
            </w:pPr>
            <w:r>
              <w:rPr>
                <w:rFonts w:ascii="Times New Roman" w:hAnsi="Times New Roman" w:eastAsia="仿宋" w:cs="Times New Roman"/>
                <w:b/>
                <w:bCs/>
                <w:szCs w:val="21"/>
              </w:rPr>
              <w:t>水市镇：</w:t>
            </w:r>
            <w:r>
              <w:rPr>
                <w:rFonts w:ascii="Times New Roman" w:hAnsi="Times New Roman" w:eastAsia="仿宋" w:cs="Times New Roman"/>
                <w:szCs w:val="21"/>
              </w:rPr>
              <w:t>重点生态功能区；</w:t>
            </w:r>
          </w:p>
          <w:p w14:paraId="184DA730">
            <w:pPr>
              <w:jc w:val="center"/>
              <w:rPr>
                <w:rFonts w:ascii="Times New Roman" w:hAnsi="Times New Roman" w:eastAsia="仿宋" w:cs="Times New Roman"/>
                <w:szCs w:val="21"/>
              </w:rPr>
            </w:pPr>
            <w:r>
              <w:rPr>
                <w:rFonts w:ascii="Times New Roman" w:hAnsi="Times New Roman" w:eastAsia="仿宋" w:cs="Times New Roman"/>
                <w:b/>
                <w:bCs/>
                <w:szCs w:val="21"/>
              </w:rPr>
              <w:t>天堂镇：</w:t>
            </w:r>
            <w:r>
              <w:rPr>
                <w:rFonts w:ascii="Times New Roman" w:hAnsi="Times New Roman" w:eastAsia="仿宋" w:cs="Times New Roman"/>
                <w:szCs w:val="21"/>
              </w:rPr>
              <w:t>农产品主产区；</w:t>
            </w:r>
          </w:p>
          <w:p w14:paraId="46753F9F">
            <w:pPr>
              <w:jc w:val="center"/>
              <w:rPr>
                <w:rFonts w:ascii="Times New Roman" w:hAnsi="Times New Roman" w:eastAsia="仿宋" w:cs="Times New Roman"/>
                <w:szCs w:val="21"/>
              </w:rPr>
            </w:pPr>
            <w:r>
              <w:rPr>
                <w:rFonts w:ascii="Times New Roman" w:hAnsi="Times New Roman" w:eastAsia="仿宋" w:cs="Times New Roman"/>
                <w:b/>
                <w:bCs/>
                <w:szCs w:val="21"/>
              </w:rPr>
              <w:t>中和镇：</w:t>
            </w:r>
            <w:r>
              <w:rPr>
                <w:rFonts w:ascii="Times New Roman" w:hAnsi="Times New Roman" w:eastAsia="仿宋" w:cs="Times New Roman"/>
                <w:szCs w:val="21"/>
              </w:rPr>
              <w:t>重点生态功能区/历史文化资源富集区</w:t>
            </w:r>
          </w:p>
        </w:tc>
        <w:tc>
          <w:tcPr>
            <w:tcW w:w="4678" w:type="dxa"/>
            <w:gridSpan w:val="2"/>
            <w:vAlign w:val="center"/>
          </w:tcPr>
          <w:p w14:paraId="3D096B50">
            <w:pPr>
              <w:rPr>
                <w:rFonts w:ascii="Times New Roman" w:hAnsi="Times New Roman" w:eastAsia="仿宋" w:cs="Times New Roman"/>
                <w:szCs w:val="21"/>
              </w:rPr>
            </w:pPr>
            <w:r>
              <w:rPr>
                <w:rFonts w:ascii="Times New Roman" w:hAnsi="Times New Roman" w:eastAsia="仿宋" w:cs="Times New Roman"/>
                <w:b/>
                <w:bCs/>
                <w:szCs w:val="21"/>
              </w:rPr>
              <w:t>水市镇：</w:t>
            </w:r>
            <w:r>
              <w:rPr>
                <w:rFonts w:ascii="Times New Roman" w:hAnsi="Times New Roman" w:eastAsia="仿宋" w:cs="Times New Roman"/>
                <w:szCs w:val="21"/>
              </w:rPr>
              <w:t>农业、农林产品加工养殖业、制造业、电力。</w:t>
            </w:r>
          </w:p>
          <w:p w14:paraId="588A6ABA">
            <w:pPr>
              <w:rPr>
                <w:rFonts w:ascii="Times New Roman" w:hAnsi="Times New Roman" w:eastAsia="仿宋" w:cs="Times New Roman"/>
                <w:szCs w:val="21"/>
              </w:rPr>
            </w:pPr>
            <w:r>
              <w:rPr>
                <w:rFonts w:ascii="Times New Roman" w:hAnsi="Times New Roman" w:eastAsia="仿宋" w:cs="Times New Roman"/>
                <w:b/>
                <w:szCs w:val="21"/>
              </w:rPr>
              <w:t>天堂镇</w:t>
            </w:r>
            <w:r>
              <w:rPr>
                <w:rFonts w:ascii="Times New Roman" w:hAnsi="Times New Roman" w:eastAsia="仿宋" w:cs="Times New Roman"/>
                <w:szCs w:val="21"/>
              </w:rPr>
              <w:t>：农业、养殖业，辅以承接五里桥工业园产业转移、能源开发等。</w:t>
            </w:r>
          </w:p>
          <w:p w14:paraId="5FD5C306">
            <w:pPr>
              <w:rPr>
                <w:rFonts w:ascii="Times New Roman" w:hAnsi="Times New Roman" w:eastAsia="仿宋" w:cs="Times New Roman"/>
                <w:szCs w:val="21"/>
              </w:rPr>
            </w:pPr>
            <w:r>
              <w:rPr>
                <w:rFonts w:ascii="Times New Roman" w:hAnsi="Times New Roman" w:eastAsia="仿宋" w:cs="Times New Roman"/>
                <w:b/>
                <w:bCs/>
                <w:szCs w:val="21"/>
              </w:rPr>
              <w:t>中和镇：</w:t>
            </w:r>
            <w:r>
              <w:rPr>
                <w:rFonts w:ascii="Times New Roman" w:hAnsi="Times New Roman" w:eastAsia="仿宋" w:cs="Times New Roman"/>
                <w:szCs w:val="21"/>
              </w:rPr>
              <w:t>农业、林业、养殖业、采矿业（砂石土矿）</w:t>
            </w:r>
          </w:p>
        </w:tc>
        <w:tc>
          <w:tcPr>
            <w:tcW w:w="1865" w:type="dxa"/>
            <w:vAlign w:val="center"/>
          </w:tcPr>
          <w:p w14:paraId="2EF51CFF">
            <w:pPr>
              <w:rPr>
                <w:rFonts w:ascii="Times New Roman" w:hAnsi="Times New Roman" w:eastAsia="仿宋" w:cs="Times New Roman"/>
                <w:szCs w:val="21"/>
              </w:rPr>
            </w:pPr>
            <w:r>
              <w:rPr>
                <w:rFonts w:ascii="Times New Roman" w:hAnsi="Times New Roman" w:eastAsia="仿宋" w:cs="Times New Roman"/>
                <w:szCs w:val="21"/>
              </w:rPr>
              <w:t>无明显环境问题。</w:t>
            </w:r>
          </w:p>
          <w:p w14:paraId="48F94D8A">
            <w:pPr>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永州市宁远县中和镇凤仙桥水库饮用水水源保护区、湖南宁远九嶷河国家湿地公园。</w:t>
            </w:r>
          </w:p>
        </w:tc>
      </w:tr>
      <w:tr w14:paraId="673B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0010B9D">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20831684">
            <w:pPr>
              <w:widowControl/>
              <w:rPr>
                <w:rFonts w:ascii="Times New Roman" w:hAnsi="Times New Roman" w:eastAsia="仿宋" w:cs="Times New Roman"/>
                <w:szCs w:val="21"/>
              </w:rPr>
            </w:pPr>
            <w:r>
              <w:rPr>
                <w:rFonts w:ascii="Times New Roman" w:hAnsi="Times New Roman" w:eastAsia="仿宋" w:cs="Times New Roman"/>
                <w:b/>
                <w:szCs w:val="21"/>
              </w:rPr>
              <w:t>水市镇：</w:t>
            </w:r>
          </w:p>
          <w:p w14:paraId="14BF0EB8">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原生态红线/风景名胜区/水土流失敏感区/生物多样性保护功能重要区）；水环境优先保护区/水环境一般管控区；大气环境优先保护区/大气环境受体敏感重点管控区/大气环境弱扩散重点管控区；农用地优先保护区/建设用地重点管控区/一般管控区</w:t>
            </w:r>
          </w:p>
          <w:p w14:paraId="2166FFC5">
            <w:pPr>
              <w:pStyle w:val="8"/>
              <w:spacing w:after="0"/>
              <w:rPr>
                <w:rFonts w:eastAsia="仿宋"/>
                <w:sz w:val="21"/>
                <w:szCs w:val="21"/>
              </w:rPr>
            </w:pPr>
            <w:r>
              <w:rPr>
                <w:rFonts w:eastAsia="仿宋"/>
                <w:b/>
                <w:sz w:val="21"/>
                <w:szCs w:val="21"/>
              </w:rPr>
              <w:t>天堂镇</w:t>
            </w:r>
            <w:r>
              <w:rPr>
                <w:rFonts w:eastAsia="仿宋"/>
                <w:sz w:val="21"/>
                <w:szCs w:val="21"/>
              </w:rPr>
              <w:t>：</w:t>
            </w:r>
          </w:p>
          <w:p w14:paraId="23505239">
            <w:pPr>
              <w:pStyle w:val="8"/>
              <w:spacing w:after="0"/>
              <w:rPr>
                <w:rFonts w:eastAsia="仿宋"/>
                <w:sz w:val="21"/>
                <w:szCs w:val="21"/>
              </w:rPr>
            </w:pPr>
            <w:r>
              <w:rPr>
                <w:rFonts w:eastAsia="仿宋"/>
                <w:sz w:val="21"/>
                <w:szCs w:val="21"/>
              </w:rPr>
              <w:t>红线/一般生态空间（水源涵养重要区/生物多样性保护功能重要区/水土流失敏感区/原生态红线/三区三线生态红线）；水环境一般管控区；大气环境受体敏感重点管控区/大气环境弱扩散重点管控区；农用地优先保护区/一般管控区</w:t>
            </w:r>
          </w:p>
          <w:p w14:paraId="7B70FA08">
            <w:pPr>
              <w:widowControl/>
              <w:rPr>
                <w:rFonts w:ascii="Times New Roman" w:hAnsi="Times New Roman" w:eastAsia="仿宋" w:cs="Times New Roman"/>
                <w:kern w:val="0"/>
                <w:szCs w:val="21"/>
              </w:rPr>
            </w:pPr>
            <w:r>
              <w:rPr>
                <w:rFonts w:ascii="Times New Roman" w:hAnsi="Times New Roman" w:eastAsia="仿宋" w:cs="Times New Roman"/>
                <w:b/>
                <w:szCs w:val="21"/>
              </w:rPr>
              <w:t>中和镇：</w:t>
            </w:r>
          </w:p>
          <w:p w14:paraId="2D32EF6B">
            <w:pPr>
              <w:widowControl/>
              <w:rPr>
                <w:rFonts w:ascii="Times New Roman" w:hAnsi="Times New Roman" w:eastAsia="仿宋" w:cs="Times New Roman"/>
                <w:b/>
                <w:bCs/>
                <w:szCs w:val="21"/>
              </w:rPr>
            </w:pPr>
            <w:r>
              <w:rPr>
                <w:rFonts w:ascii="Times New Roman" w:hAnsi="Times New Roman" w:eastAsia="仿宋" w:cs="Times New Roman"/>
                <w:szCs w:val="21"/>
              </w:rPr>
              <w:t>红线/一般生态空间（水源涵养重要区/三区三线生态红线/生物多样性保护功能重要区/水土保持功能重要区/水土流失敏感区/原生态红线/石漠化敏感区）；水环境一般管控区；大气环境优先保护区/大气环境受体敏感重点管控区/大气环境弱扩散重点管控区；农用地优先保护区/农用地重点管控区/其他重点管控区/一般管控区</w:t>
            </w:r>
          </w:p>
        </w:tc>
      </w:tr>
      <w:tr w14:paraId="1351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E3DB943">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776" w:type="dxa"/>
            <w:gridSpan w:val="9"/>
            <w:vAlign w:val="center"/>
          </w:tcPr>
          <w:p w14:paraId="057F3FFB">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283" w:type="dxa"/>
            <w:gridSpan w:val="2"/>
            <w:vAlign w:val="center"/>
          </w:tcPr>
          <w:p w14:paraId="7CDA1CB9">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E45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8C9240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776" w:type="dxa"/>
            <w:gridSpan w:val="9"/>
            <w:vAlign w:val="center"/>
          </w:tcPr>
          <w:p w14:paraId="380B6679">
            <w:pPr>
              <w:ind w:firstLine="420" w:firstLineChars="200"/>
              <w:rPr>
                <w:rFonts w:ascii="Times New Roman" w:hAnsi="Times New Roman" w:eastAsia="仿宋" w:cs="Times New Roman"/>
                <w:szCs w:val="21"/>
              </w:rPr>
            </w:pPr>
            <w:r>
              <w:rPr>
                <w:rFonts w:ascii="Times New Roman" w:hAnsi="Times New Roman" w:eastAsia="仿宋" w:cs="Times New Roman"/>
                <w:szCs w:val="21"/>
              </w:rPr>
              <w:t>（1.1）产业准入应符合“宁远县产业准入负面清单”的规定。</w:t>
            </w:r>
          </w:p>
          <w:p w14:paraId="694D8272">
            <w:pPr>
              <w:ind w:firstLine="420" w:firstLineChars="200"/>
              <w:rPr>
                <w:rFonts w:ascii="Times New Roman" w:hAnsi="Times New Roman" w:eastAsia="仿宋" w:cs="Times New Roman"/>
                <w:szCs w:val="21"/>
              </w:rPr>
            </w:pPr>
            <w:r>
              <w:rPr>
                <w:rFonts w:ascii="Times New Roman" w:hAnsi="Times New Roman" w:eastAsia="仿宋" w:cs="Times New Roman"/>
                <w:szCs w:val="21"/>
              </w:rPr>
              <w:t>（1.2）畜禽养殖企业布局应符合《宁远县畜禽养殖布局规划》。禁止养殖区内严禁新建、改建、扩建各类畜禽养殖场。不得在县城上风向1000米范围内新建、扩建畜禽养殖场，规模化畜禽养殖场场界周围应有合理的卫生防护距离。</w:t>
            </w:r>
          </w:p>
          <w:p w14:paraId="47098419">
            <w:pPr>
              <w:ind w:firstLine="420" w:firstLineChars="200"/>
              <w:rPr>
                <w:rFonts w:ascii="Times New Roman" w:hAnsi="Times New Roman" w:eastAsia="仿宋" w:cs="Times New Roman"/>
                <w:szCs w:val="21"/>
              </w:rPr>
            </w:pPr>
            <w:r>
              <w:rPr>
                <w:rFonts w:ascii="Times New Roman" w:hAnsi="Times New Roman" w:eastAsia="仿宋" w:cs="Times New Roman"/>
                <w:szCs w:val="21"/>
              </w:rPr>
              <w:t>（1.3）</w:t>
            </w:r>
            <w:r>
              <w:rPr>
                <w:rFonts w:ascii="Times New Roman" w:hAnsi="Times New Roman" w:eastAsia="仿宋" w:cs="Times New Roman"/>
                <w:b/>
                <w:szCs w:val="21"/>
              </w:rPr>
              <w:t>水市镇：</w:t>
            </w:r>
            <w:r>
              <w:rPr>
                <w:rFonts w:ascii="Times New Roman" w:hAnsi="Times New Roman" w:eastAsia="仿宋" w:cs="Times New Roman"/>
                <w:szCs w:val="21"/>
              </w:rPr>
              <w:t>九嶷河国家湿地公园应执行《中华人民共和国湿地保护法》《国家级自然公园管理办法（试行）》《湖南宁远九嶷河国家湿地公园管理办法（试行）》。</w:t>
            </w:r>
          </w:p>
          <w:p w14:paraId="1034643D">
            <w:pPr>
              <w:ind w:firstLine="420" w:firstLineChars="200"/>
              <w:rPr>
                <w:rFonts w:ascii="Times New Roman" w:hAnsi="Times New Roman" w:eastAsia="仿宋" w:cs="Times New Roman"/>
                <w:szCs w:val="21"/>
              </w:rPr>
            </w:pPr>
            <w:r>
              <w:rPr>
                <w:rFonts w:ascii="Times New Roman" w:hAnsi="Times New Roman" w:eastAsia="仿宋" w:cs="Times New Roman"/>
                <w:szCs w:val="21"/>
              </w:rPr>
              <w:t>（1.4）</w:t>
            </w:r>
            <w:r>
              <w:rPr>
                <w:rFonts w:ascii="Times New Roman" w:hAnsi="Times New Roman" w:eastAsia="仿宋" w:cs="Times New Roman"/>
                <w:b/>
                <w:bCs/>
                <w:szCs w:val="21"/>
              </w:rPr>
              <w:t>天堂镇：</w:t>
            </w:r>
            <w:r>
              <w:rPr>
                <w:rFonts w:ascii="Times New Roman" w:hAnsi="Times New Roman" w:eastAsia="仿宋" w:cs="Times New Roman"/>
                <w:szCs w:val="21"/>
              </w:rPr>
              <w:t>承接五里桥工业园产业转移应以符合产业和环保政策为前提，不得引入按规定应当入园的企业。</w:t>
            </w:r>
          </w:p>
          <w:p w14:paraId="3EB999A6">
            <w:pPr>
              <w:ind w:firstLine="420" w:firstLineChars="200"/>
              <w:rPr>
                <w:rFonts w:ascii="Times New Roman" w:hAnsi="Times New Roman" w:eastAsia="仿宋" w:cs="Times New Roman"/>
                <w:b/>
                <w:szCs w:val="21"/>
              </w:rPr>
            </w:pPr>
            <w:r>
              <w:rPr>
                <w:rFonts w:ascii="Times New Roman" w:hAnsi="Times New Roman" w:eastAsia="仿宋" w:cs="Times New Roman"/>
                <w:szCs w:val="21"/>
              </w:rPr>
              <w:t>（1.5）</w:t>
            </w:r>
            <w:r>
              <w:rPr>
                <w:rFonts w:ascii="Times New Roman" w:hAnsi="Times New Roman" w:eastAsia="仿宋" w:cs="Times New Roman"/>
                <w:b/>
                <w:szCs w:val="21"/>
              </w:rPr>
              <w:t>水市镇/天堂镇：</w:t>
            </w:r>
            <w:r>
              <w:rPr>
                <w:rFonts w:ascii="Times New Roman" w:hAnsi="Times New Roman" w:eastAsia="仿宋" w:cs="Times New Roman"/>
                <w:szCs w:val="21"/>
              </w:rPr>
              <w:t>商品混凝土搅拌站建议避让集中居住区与环境敏感区距离300m 以上，并设置不小于20m 的防护绿带。</w:t>
            </w:r>
          </w:p>
        </w:tc>
        <w:tc>
          <w:tcPr>
            <w:tcW w:w="3283" w:type="dxa"/>
            <w:gridSpan w:val="2"/>
            <w:vMerge w:val="restart"/>
            <w:vAlign w:val="center"/>
          </w:tcPr>
          <w:p w14:paraId="687AC5D5">
            <w:pPr>
              <w:rPr>
                <w:rFonts w:ascii="Times New Roman" w:hAnsi="Times New Roman" w:eastAsia="仿宋" w:cs="Times New Roman"/>
                <w:szCs w:val="21"/>
              </w:rPr>
            </w:pPr>
            <w:r>
              <w:rPr>
                <w:rFonts w:ascii="Times New Roman" w:hAnsi="Times New Roman" w:eastAsia="仿宋" w:cs="Times New Roman"/>
                <w:szCs w:val="21"/>
              </w:rPr>
              <w:t>（1.2）宁远县人民政府关于发布《宁远县畜禽养殖布局规划（2020-2024）》的公告（2019年12月）；</w:t>
            </w:r>
          </w:p>
          <w:p w14:paraId="13C7EF7F">
            <w:pPr>
              <w:rPr>
                <w:rFonts w:ascii="Times New Roman" w:hAnsi="Times New Roman" w:eastAsia="仿宋" w:cs="Times New Roman"/>
                <w:szCs w:val="21"/>
              </w:rPr>
            </w:pPr>
            <w:r>
              <w:rPr>
                <w:rFonts w:ascii="Times New Roman" w:hAnsi="Times New Roman" w:eastAsia="仿宋" w:cs="Times New Roman"/>
                <w:szCs w:val="21"/>
              </w:rPr>
              <w:t>（1.3）《湖南宁远九嶷河国家湿地公园管理办法（试行）》（宁常发﹝2017﹞21号）；</w:t>
            </w:r>
          </w:p>
          <w:p w14:paraId="43647F61">
            <w:pPr>
              <w:rPr>
                <w:rFonts w:ascii="Times New Roman" w:hAnsi="Times New Roman" w:eastAsia="仿宋" w:cs="Times New Roman"/>
                <w:szCs w:val="21"/>
              </w:rPr>
            </w:pPr>
            <w:r>
              <w:rPr>
                <w:rFonts w:ascii="Times New Roman" w:hAnsi="Times New Roman" w:eastAsia="仿宋" w:cs="Times New Roman"/>
                <w:szCs w:val="21"/>
              </w:rPr>
              <w:t>（1.5）《宁远县预拌商品混凝土搅拌场站专项规划（2021-2035）》；</w:t>
            </w:r>
          </w:p>
          <w:p w14:paraId="27514A02">
            <w:pPr>
              <w:rPr>
                <w:rFonts w:ascii="Times New Roman" w:hAnsi="Times New Roman" w:eastAsia="仿宋" w:cs="Times New Roman"/>
                <w:szCs w:val="21"/>
              </w:rPr>
            </w:pPr>
            <w:r>
              <w:rPr>
                <w:rFonts w:ascii="Times New Roman" w:hAnsi="Times New Roman" w:eastAsia="仿宋" w:cs="Times New Roman"/>
                <w:szCs w:val="21"/>
              </w:rPr>
              <w:t>（2.1）（3.1）《永州市“十四五”生态环境保护规划》；</w:t>
            </w:r>
          </w:p>
          <w:p w14:paraId="7C91400D">
            <w:pPr>
              <w:rPr>
                <w:rFonts w:ascii="Times New Roman" w:hAnsi="Times New Roman" w:eastAsia="仿宋" w:cs="Times New Roman"/>
                <w:szCs w:val="21"/>
              </w:rPr>
            </w:pPr>
            <w:r>
              <w:rPr>
                <w:rFonts w:ascii="Times New Roman" w:hAnsi="Times New Roman" w:eastAsia="仿宋" w:cs="Times New Roman"/>
                <w:szCs w:val="21"/>
              </w:rPr>
              <w:t>（2.2）（2.4）《宁远县大气污染防治攻坚行动计划（2023-2025）》；</w:t>
            </w:r>
          </w:p>
          <w:p w14:paraId="6A918A56">
            <w:pPr>
              <w:rPr>
                <w:rFonts w:ascii="Times New Roman" w:hAnsi="Times New Roman" w:eastAsia="仿宋" w:cs="Times New Roman"/>
                <w:szCs w:val="21"/>
              </w:rPr>
            </w:pPr>
            <w:r>
              <w:rPr>
                <w:rFonts w:ascii="Times New Roman" w:hAnsi="Times New Roman" w:eastAsia="仿宋" w:cs="Times New Roman"/>
                <w:szCs w:val="21"/>
              </w:rPr>
              <w:t>（2.3）《宁远县畜禽养殖污染防治规划（2021-2025年）》；</w:t>
            </w:r>
          </w:p>
          <w:p w14:paraId="011DE6A9">
            <w:pPr>
              <w:rPr>
                <w:rFonts w:ascii="Times New Roman" w:hAnsi="Times New Roman" w:eastAsia="仿宋" w:cs="Times New Roman"/>
                <w:color w:val="auto"/>
                <w:szCs w:val="21"/>
              </w:rPr>
            </w:pPr>
            <w:r>
              <w:rPr>
                <w:rFonts w:ascii="Times New Roman" w:hAnsi="Times New Roman" w:eastAsia="仿宋" w:cs="Times New Roman"/>
                <w:color w:val="auto"/>
                <w:szCs w:val="21"/>
              </w:rPr>
              <w:t>（3.</w:t>
            </w:r>
            <w:r>
              <w:rPr>
                <w:rFonts w:hint="eastAsia" w:ascii="Times New Roman" w:hAnsi="Times New Roman" w:eastAsia="仿宋" w:cs="Times New Roman"/>
                <w:color w:val="auto"/>
                <w:szCs w:val="21"/>
                <w:lang w:val="en-US" w:eastAsia="zh-CN"/>
              </w:rPr>
              <w:t>1</w:t>
            </w:r>
            <w:r>
              <w:rPr>
                <w:rFonts w:ascii="Times New Roman" w:hAnsi="Times New Roman" w:eastAsia="仿宋" w:cs="Times New Roman"/>
                <w:color w:val="auto"/>
                <w:szCs w:val="21"/>
              </w:rPr>
              <w:t>）</w:t>
            </w:r>
            <w:r>
              <w:rPr>
                <w:rFonts w:hint="eastAsia" w:ascii="Times New Roman" w:hAnsi="Times New Roman" w:eastAsia="仿宋" w:cs="Times New Roman"/>
                <w:color w:val="auto"/>
                <w:szCs w:val="21"/>
              </w:rPr>
              <w:t>《永州市“十四五”生态环境保护规划》</w:t>
            </w:r>
            <w:r>
              <w:rPr>
                <w:rFonts w:ascii="Times New Roman" w:hAnsi="Times New Roman" w:eastAsia="仿宋" w:cs="Times New Roman"/>
                <w:color w:val="auto"/>
                <w:szCs w:val="21"/>
              </w:rPr>
              <w:t>；</w:t>
            </w:r>
          </w:p>
          <w:p w14:paraId="11F5A178">
            <w:pPr>
              <w:rPr>
                <w:rFonts w:ascii="Times New Roman" w:hAnsi="Times New Roman" w:eastAsia="仿宋" w:cs="Times New Roman"/>
                <w:szCs w:val="21"/>
              </w:rPr>
            </w:pPr>
            <w:r>
              <w:rPr>
                <w:rFonts w:ascii="Times New Roman" w:hAnsi="Times New Roman" w:eastAsia="仿宋" w:cs="Times New Roman"/>
                <w:szCs w:val="21"/>
              </w:rPr>
              <w:t>（3.</w:t>
            </w:r>
            <w:r>
              <w:rPr>
                <w:rFonts w:hint="eastAsia" w:ascii="Times New Roman" w:hAnsi="Times New Roman" w:eastAsia="仿宋" w:cs="Times New Roman"/>
                <w:szCs w:val="21"/>
                <w:lang w:val="en-US" w:eastAsia="zh-CN"/>
              </w:rPr>
              <w:t>2</w:t>
            </w:r>
            <w:r>
              <w:rPr>
                <w:rFonts w:ascii="Times New Roman" w:hAnsi="Times New Roman" w:eastAsia="仿宋" w:cs="Times New Roman"/>
                <w:szCs w:val="21"/>
              </w:rPr>
              <w:t>）《宁远县突发环境事件应急预案》（宁政办发〔2018〕2号）；</w:t>
            </w:r>
          </w:p>
          <w:p w14:paraId="6F00AB07">
            <w:pPr>
              <w:rPr>
                <w:rFonts w:ascii="Times New Roman" w:hAnsi="Times New Roman" w:eastAsia="仿宋" w:cs="Times New Roman"/>
                <w:strike/>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772B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174C3F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776" w:type="dxa"/>
            <w:gridSpan w:val="9"/>
            <w:vAlign w:val="center"/>
          </w:tcPr>
          <w:p w14:paraId="709667A1">
            <w:pPr>
              <w:ind w:firstLine="420" w:firstLineChars="200"/>
              <w:rPr>
                <w:rFonts w:ascii="Times New Roman" w:hAnsi="Times New Roman" w:eastAsia="仿宋" w:cs="Times New Roman"/>
                <w:szCs w:val="21"/>
              </w:rPr>
            </w:pPr>
            <w:r>
              <w:rPr>
                <w:rFonts w:ascii="Times New Roman" w:hAnsi="Times New Roman" w:eastAsia="仿宋" w:cs="Times New Roman"/>
                <w:szCs w:val="21"/>
              </w:rPr>
              <w:t>（2.1）完善污水收集体系，补齐污水处理设施短板。加强污水处理厂尾水处理与资源化利用。</w:t>
            </w:r>
          </w:p>
          <w:p w14:paraId="582683EF">
            <w:pPr>
              <w:ind w:firstLine="420" w:firstLineChars="200"/>
              <w:rPr>
                <w:rFonts w:ascii="Times New Roman" w:hAnsi="Times New Roman" w:eastAsia="仿宋" w:cs="Times New Roman"/>
                <w:szCs w:val="21"/>
              </w:rPr>
            </w:pPr>
            <w:r>
              <w:rPr>
                <w:rFonts w:ascii="Times New Roman" w:hAnsi="Times New Roman" w:eastAsia="仿宋" w:cs="Times New Roman"/>
                <w:szCs w:val="21"/>
              </w:rPr>
              <w:t>（2.2）区域内严禁露天焚烧生活垃圾和秸秆。提高秸秆利用率，逐步构建以秸秆肥料化为主、其他形式为补充的多途径利用格局。</w:t>
            </w:r>
          </w:p>
          <w:p w14:paraId="320682D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规范养殖场养殖行为，积极推行畜禽粪污资源化利用管理模式，坚持有条件的养殖场优先实施畜禽粪污资源化利用，确实无法实现资源化利用的养殖场应坚持畜禽粪污处理后达标排放的原则，完善畜禽粪污资源化体制机制，全面推动畜禽粪污资源化利用。</w:t>
            </w:r>
          </w:p>
          <w:p w14:paraId="6199289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（2.4）加强采石、采砂、搅拌站等行业污染整治，做到抑尘到位、遮盖到位、围挡到位、道路清洁到位、车辆冲洗到位。</w:t>
            </w:r>
          </w:p>
        </w:tc>
        <w:tc>
          <w:tcPr>
            <w:tcW w:w="3283" w:type="dxa"/>
            <w:gridSpan w:val="2"/>
            <w:vMerge w:val="continue"/>
            <w:vAlign w:val="center"/>
          </w:tcPr>
          <w:p w14:paraId="07171406">
            <w:pPr>
              <w:rPr>
                <w:rFonts w:ascii="Times New Roman" w:hAnsi="Times New Roman" w:eastAsia="仿宋" w:cs="Times New Roman"/>
                <w:szCs w:val="21"/>
              </w:rPr>
            </w:pPr>
          </w:p>
        </w:tc>
      </w:tr>
      <w:tr w14:paraId="2D77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FB8AC3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776" w:type="dxa"/>
            <w:gridSpan w:val="9"/>
            <w:vAlign w:val="center"/>
          </w:tcPr>
          <w:p w14:paraId="06D48AE6">
            <w:pPr>
              <w:ind w:firstLine="420" w:firstLineChars="200"/>
              <w:rPr>
                <w:rFonts w:ascii="Times New Roman" w:hAnsi="Times New Roman" w:eastAsia="仿宋" w:cs="Times New Roman"/>
                <w:szCs w:val="21"/>
              </w:rPr>
            </w:pPr>
            <w:r>
              <w:rPr>
                <w:rFonts w:ascii="Times New Roman" w:hAnsi="Times New Roman" w:eastAsia="仿宋" w:cs="Times New Roman"/>
                <w:szCs w:val="21"/>
              </w:rPr>
              <w:t>（3.1）定期排查影响水源安全的风险隐患，制定并及时更新水源突发环境事件应急预案，及时依法公布预警信息，积极开展应急演练，不断加强应急能力建设。加强饮用水水源保护区应急物</w:t>
            </w:r>
            <w:r>
              <w:rPr>
                <w:rFonts w:hint="eastAsia" w:ascii="Times New Roman" w:hAnsi="Times New Roman" w:eastAsia="仿宋" w:cs="Times New Roman"/>
                <w:szCs w:val="21"/>
                <w:lang w:eastAsia="zh-CN"/>
              </w:rPr>
              <w:t>资</w:t>
            </w:r>
            <w:r>
              <w:rPr>
                <w:rFonts w:ascii="Times New Roman" w:hAnsi="Times New Roman" w:eastAsia="仿宋" w:cs="Times New Roman"/>
                <w:szCs w:val="21"/>
              </w:rPr>
              <w:t>储备，定期维护事故应急池和导流设施和防护工程设施，提升应急监测能力。</w:t>
            </w:r>
          </w:p>
          <w:p w14:paraId="18AA3446">
            <w:pPr>
              <w:ind w:firstLine="420" w:firstLineChars="200"/>
              <w:rPr>
                <w:rFonts w:ascii="Times New Roman" w:hAnsi="Times New Roman" w:eastAsia="仿宋" w:cs="Times New Roman"/>
                <w:szCs w:val="21"/>
              </w:rPr>
            </w:pPr>
            <w:r>
              <w:rPr>
                <w:rFonts w:ascii="Times New Roman" w:hAnsi="Times New Roman" w:eastAsia="仿宋" w:cs="Times New Roman"/>
                <w:szCs w:val="21"/>
              </w:rPr>
              <w:t>（3.2）建立健全环境风险防控体系，严格落实《宁远县突发环境事件应急预案》的相关要求，严防环境突发事件发生，提高应急处置能力。</w:t>
            </w:r>
          </w:p>
        </w:tc>
        <w:tc>
          <w:tcPr>
            <w:tcW w:w="3283" w:type="dxa"/>
            <w:gridSpan w:val="2"/>
            <w:vMerge w:val="continue"/>
            <w:vAlign w:val="center"/>
          </w:tcPr>
          <w:p w14:paraId="175CE49B">
            <w:pPr>
              <w:rPr>
                <w:rFonts w:ascii="Times New Roman" w:hAnsi="Times New Roman" w:eastAsia="仿宋" w:cs="Times New Roman"/>
                <w:szCs w:val="21"/>
              </w:rPr>
            </w:pPr>
          </w:p>
        </w:tc>
      </w:tr>
      <w:tr w14:paraId="18F6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A25753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776" w:type="dxa"/>
            <w:gridSpan w:val="9"/>
            <w:vAlign w:val="center"/>
          </w:tcPr>
          <w:p w14:paraId="580BEC17">
            <w:pPr>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04C9329E">
            <w:pPr>
              <w:ind w:firstLine="420" w:firstLineChars="200"/>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，万元地区生产总值用水量、万元工业增加值用水量分别比2020年降低15.00%、8.87%，农田灌溉水有效利用系数为0.558。</w:t>
            </w:r>
          </w:p>
        </w:tc>
        <w:tc>
          <w:tcPr>
            <w:tcW w:w="3283" w:type="dxa"/>
            <w:gridSpan w:val="2"/>
            <w:vMerge w:val="continue"/>
            <w:vAlign w:val="center"/>
          </w:tcPr>
          <w:p w14:paraId="5752C27A">
            <w:pPr>
              <w:rPr>
                <w:rFonts w:ascii="Times New Roman" w:hAnsi="Times New Roman" w:eastAsia="仿宋" w:cs="Times New Roman"/>
                <w:szCs w:val="21"/>
              </w:rPr>
            </w:pPr>
          </w:p>
        </w:tc>
      </w:tr>
    </w:tbl>
    <w:p w14:paraId="10CB1526">
      <w:pPr>
        <w:rPr>
          <w:rFonts w:ascii="Times New Roman" w:hAnsi="Times New Roman" w:eastAsia="仿宋" w:cs="Times New Roman"/>
          <w:szCs w:val="21"/>
        </w:rPr>
      </w:pPr>
    </w:p>
    <w:p w14:paraId="549375DB">
      <w:pPr>
        <w:widowControl/>
        <w:jc w:val="left"/>
        <w:rPr>
          <w:rFonts w:ascii="Times New Roman" w:hAnsi="Times New Roman" w:eastAsia="仿宋" w:cs="Times New Roman"/>
          <w:b/>
          <w:szCs w:val="21"/>
        </w:rPr>
        <w:sectPr>
          <w:pgSz w:w="16838" w:h="11906" w:orient="landscape"/>
          <w:pgMar w:top="1800" w:right="1440" w:bottom="1800" w:left="1440" w:header="851" w:footer="992" w:gutter="0"/>
          <w:cols w:space="720" w:num="1"/>
          <w:docGrid w:type="lines" w:linePitch="312" w:charSpace="0"/>
        </w:sectPr>
      </w:pPr>
    </w:p>
    <w:tbl>
      <w:tblPr>
        <w:tblStyle w:val="20"/>
        <w:tblpPr w:leftFromText="180" w:rightFromText="180" w:vertAnchor="text" w:horzAnchor="page" w:tblpX="1426" w:tblpY="288"/>
        <w:tblOverlap w:val="never"/>
        <w:tblW w:w="14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562"/>
        <w:gridCol w:w="425"/>
        <w:gridCol w:w="709"/>
        <w:gridCol w:w="1134"/>
        <w:gridCol w:w="1276"/>
        <w:gridCol w:w="992"/>
        <w:gridCol w:w="1858"/>
        <w:gridCol w:w="2395"/>
        <w:gridCol w:w="2432"/>
      </w:tblGrid>
      <w:tr w14:paraId="6AE9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vAlign w:val="center"/>
          </w:tcPr>
          <w:p w14:paraId="73AD6C72">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2151064D">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412" w:type="dxa"/>
            <w:gridSpan w:val="3"/>
            <w:vAlign w:val="center"/>
          </w:tcPr>
          <w:p w14:paraId="1D823E4C">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9" w:type="dxa"/>
            <w:vMerge w:val="restart"/>
            <w:vAlign w:val="center"/>
          </w:tcPr>
          <w:p w14:paraId="3BB46286">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2F0B4077">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76" w:type="dxa"/>
            <w:vMerge w:val="restart"/>
            <w:vAlign w:val="center"/>
          </w:tcPr>
          <w:p w14:paraId="097B1D1F">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301ECFEB">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4253" w:type="dxa"/>
            <w:gridSpan w:val="2"/>
            <w:vMerge w:val="restart"/>
            <w:vAlign w:val="center"/>
          </w:tcPr>
          <w:p w14:paraId="4D1C7844">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432" w:type="dxa"/>
            <w:vMerge w:val="restart"/>
            <w:vAlign w:val="center"/>
          </w:tcPr>
          <w:p w14:paraId="51EF867E">
            <w:pPr>
              <w:adjustRightInd w:val="0"/>
              <w:snapToGrid w:val="0"/>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12B3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34" w:type="dxa"/>
            <w:vMerge w:val="continue"/>
            <w:vAlign w:val="center"/>
          </w:tcPr>
          <w:p w14:paraId="3307573B">
            <w:pPr>
              <w:adjustRightInd w:val="0"/>
              <w:snapToGrid w:val="0"/>
              <w:rPr>
                <w:rFonts w:ascii="Times New Roman" w:hAnsi="Times New Roman" w:eastAsia="仿宋" w:cs="Times New Roman"/>
                <w:b/>
                <w:szCs w:val="21"/>
              </w:rPr>
            </w:pPr>
          </w:p>
        </w:tc>
        <w:tc>
          <w:tcPr>
            <w:tcW w:w="851" w:type="dxa"/>
            <w:vMerge w:val="continue"/>
            <w:vAlign w:val="center"/>
          </w:tcPr>
          <w:p w14:paraId="6D87A25B">
            <w:pPr>
              <w:adjustRightInd w:val="0"/>
              <w:snapToGrid w:val="0"/>
              <w:rPr>
                <w:rFonts w:ascii="Times New Roman" w:hAnsi="Times New Roman" w:eastAsia="仿宋" w:cs="Times New Roman"/>
                <w:b/>
                <w:szCs w:val="21"/>
              </w:rPr>
            </w:pPr>
          </w:p>
        </w:tc>
        <w:tc>
          <w:tcPr>
            <w:tcW w:w="425" w:type="dxa"/>
            <w:vAlign w:val="center"/>
          </w:tcPr>
          <w:p w14:paraId="2D710B70">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562" w:type="dxa"/>
            <w:vAlign w:val="center"/>
          </w:tcPr>
          <w:p w14:paraId="183EF257">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674ED139">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4B8839BF">
            <w:pPr>
              <w:adjustRightInd w:val="0"/>
              <w:snapToGrid w:val="0"/>
              <w:rPr>
                <w:rFonts w:ascii="Times New Roman" w:hAnsi="Times New Roman" w:eastAsia="仿宋" w:cs="Times New Roman"/>
                <w:b/>
                <w:szCs w:val="21"/>
              </w:rPr>
            </w:pPr>
          </w:p>
        </w:tc>
        <w:tc>
          <w:tcPr>
            <w:tcW w:w="1134" w:type="dxa"/>
            <w:vMerge w:val="continue"/>
            <w:vAlign w:val="center"/>
          </w:tcPr>
          <w:p w14:paraId="6BAAA444">
            <w:pPr>
              <w:adjustRightInd w:val="0"/>
              <w:snapToGrid w:val="0"/>
              <w:rPr>
                <w:rFonts w:ascii="Times New Roman" w:hAnsi="Times New Roman" w:eastAsia="仿宋" w:cs="Times New Roman"/>
                <w:b/>
                <w:szCs w:val="21"/>
              </w:rPr>
            </w:pPr>
          </w:p>
        </w:tc>
        <w:tc>
          <w:tcPr>
            <w:tcW w:w="1276" w:type="dxa"/>
            <w:vMerge w:val="continue"/>
            <w:vAlign w:val="center"/>
          </w:tcPr>
          <w:p w14:paraId="4B116221">
            <w:pPr>
              <w:adjustRightInd w:val="0"/>
              <w:snapToGrid w:val="0"/>
              <w:rPr>
                <w:rFonts w:ascii="Times New Roman" w:hAnsi="Times New Roman" w:eastAsia="仿宋" w:cs="Times New Roman"/>
                <w:b/>
                <w:szCs w:val="21"/>
              </w:rPr>
            </w:pPr>
          </w:p>
        </w:tc>
        <w:tc>
          <w:tcPr>
            <w:tcW w:w="992" w:type="dxa"/>
            <w:vMerge w:val="continue"/>
            <w:vAlign w:val="center"/>
          </w:tcPr>
          <w:p w14:paraId="24A993FA">
            <w:pPr>
              <w:adjustRightInd w:val="0"/>
              <w:snapToGrid w:val="0"/>
              <w:rPr>
                <w:rFonts w:ascii="Times New Roman" w:hAnsi="Times New Roman" w:eastAsia="仿宋" w:cs="Times New Roman"/>
                <w:b/>
                <w:szCs w:val="21"/>
              </w:rPr>
            </w:pPr>
          </w:p>
        </w:tc>
        <w:tc>
          <w:tcPr>
            <w:tcW w:w="4253" w:type="dxa"/>
            <w:gridSpan w:val="2"/>
            <w:vMerge w:val="continue"/>
            <w:vAlign w:val="center"/>
          </w:tcPr>
          <w:p w14:paraId="715EE568">
            <w:pPr>
              <w:adjustRightInd w:val="0"/>
              <w:snapToGrid w:val="0"/>
              <w:rPr>
                <w:rFonts w:ascii="Times New Roman" w:hAnsi="Times New Roman" w:eastAsia="仿宋" w:cs="Times New Roman"/>
                <w:b/>
                <w:szCs w:val="21"/>
              </w:rPr>
            </w:pPr>
          </w:p>
        </w:tc>
        <w:tc>
          <w:tcPr>
            <w:tcW w:w="2432" w:type="dxa"/>
            <w:vMerge w:val="continue"/>
            <w:vAlign w:val="center"/>
          </w:tcPr>
          <w:p w14:paraId="45556E2C">
            <w:pPr>
              <w:adjustRightInd w:val="0"/>
              <w:snapToGrid w:val="0"/>
              <w:rPr>
                <w:rFonts w:ascii="Times New Roman" w:hAnsi="Times New Roman" w:eastAsia="仿宋" w:cs="Times New Roman"/>
                <w:b/>
                <w:szCs w:val="21"/>
              </w:rPr>
            </w:pPr>
          </w:p>
        </w:tc>
      </w:tr>
      <w:tr w14:paraId="400D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34" w:type="dxa"/>
            <w:vAlign w:val="center"/>
          </w:tcPr>
          <w:p w14:paraId="0E1D4451">
            <w:pPr>
              <w:adjustRightInd w:val="0"/>
              <w:snapToGrid w:val="0"/>
              <w:rPr>
                <w:rFonts w:ascii="Times New Roman" w:hAnsi="Times New Roman" w:eastAsia="仿宋" w:cs="Times New Roman"/>
                <w:szCs w:val="21"/>
              </w:rPr>
            </w:pPr>
            <w:r>
              <w:rPr>
                <w:rFonts w:ascii="Times New Roman" w:hAnsi="Times New Roman" w:eastAsia="仿宋" w:cs="Times New Roman"/>
                <w:szCs w:val="21"/>
              </w:rPr>
              <w:t>ZH43112630003</w:t>
            </w:r>
          </w:p>
        </w:tc>
        <w:tc>
          <w:tcPr>
            <w:tcW w:w="851" w:type="dxa"/>
            <w:vAlign w:val="center"/>
          </w:tcPr>
          <w:p w14:paraId="477064F0">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禾亭镇/冷水镇/太平镇</w:t>
            </w:r>
          </w:p>
        </w:tc>
        <w:tc>
          <w:tcPr>
            <w:tcW w:w="425" w:type="dxa"/>
            <w:vAlign w:val="center"/>
          </w:tcPr>
          <w:p w14:paraId="28283A2B">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562" w:type="dxa"/>
            <w:vAlign w:val="center"/>
          </w:tcPr>
          <w:p w14:paraId="19F9B723">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5" w:type="dxa"/>
            <w:vAlign w:val="center"/>
          </w:tcPr>
          <w:p w14:paraId="75EDC828">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宁远县</w:t>
            </w:r>
          </w:p>
        </w:tc>
        <w:tc>
          <w:tcPr>
            <w:tcW w:w="709" w:type="dxa"/>
            <w:vAlign w:val="center"/>
          </w:tcPr>
          <w:p w14:paraId="5684C794">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1134" w:type="dxa"/>
            <w:vAlign w:val="center"/>
          </w:tcPr>
          <w:p w14:paraId="2CB9CFFE">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382.60</w:t>
            </w:r>
          </w:p>
        </w:tc>
        <w:tc>
          <w:tcPr>
            <w:tcW w:w="1276" w:type="dxa"/>
            <w:vAlign w:val="center"/>
          </w:tcPr>
          <w:p w14:paraId="59330177">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/禾亭镇/冷水镇/太平镇</w:t>
            </w:r>
          </w:p>
        </w:tc>
        <w:tc>
          <w:tcPr>
            <w:tcW w:w="992" w:type="dxa"/>
            <w:vAlign w:val="center"/>
          </w:tcPr>
          <w:p w14:paraId="4A37AFF3">
            <w:pPr>
              <w:adjustRightInd w:val="0"/>
              <w:snapToGrid w:val="0"/>
              <w:jc w:val="center"/>
              <w:rPr>
                <w:rFonts w:ascii="Times New Roman" w:hAnsi="Times New Roman" w:eastAsia="仿宋" w:cs="Times New Roman"/>
                <w:szCs w:val="21"/>
              </w:rPr>
            </w:pPr>
            <w:r>
              <w:rPr>
                <w:rFonts w:ascii="Times New Roman" w:hAnsi="Times New Roman" w:eastAsia="仿宋" w:cs="Times New Roman"/>
                <w:szCs w:val="21"/>
              </w:rPr>
              <w:t>重点生态功能区；</w:t>
            </w:r>
          </w:p>
          <w:p w14:paraId="2D321BE6">
            <w:pPr>
              <w:adjustRightInd w:val="0"/>
              <w:snapToGrid w:val="0"/>
              <w:jc w:val="center"/>
              <w:rPr>
                <w:rFonts w:ascii="Times New Roman" w:hAnsi="Times New Roman" w:eastAsia="仿宋" w:cs="Times New Roman"/>
                <w:szCs w:val="21"/>
              </w:rPr>
            </w:pPr>
          </w:p>
        </w:tc>
        <w:tc>
          <w:tcPr>
            <w:tcW w:w="4253" w:type="dxa"/>
            <w:gridSpan w:val="2"/>
            <w:vAlign w:val="center"/>
          </w:tcPr>
          <w:p w14:paraId="0B371DF7">
            <w:pPr>
              <w:adjustRightInd w:val="0"/>
              <w:snapToGrid w:val="0"/>
              <w:rPr>
                <w:rFonts w:ascii="Times New Roman" w:hAnsi="Times New Roman" w:eastAsia="仿宋" w:cs="Times New Roman"/>
                <w:szCs w:val="21"/>
              </w:rPr>
            </w:pPr>
            <w:r>
              <w:rPr>
                <w:rFonts w:ascii="Times New Roman" w:hAnsi="Times New Roman" w:eastAsia="仿宋" w:cs="Times New Roman"/>
                <w:b/>
                <w:bCs/>
                <w:szCs w:val="21"/>
              </w:rPr>
              <w:t>禾亭镇：</w:t>
            </w:r>
            <w:r>
              <w:rPr>
                <w:rFonts w:ascii="Times New Roman" w:hAnsi="Times New Roman" w:eastAsia="仿宋" w:cs="Times New Roman"/>
                <w:szCs w:val="21"/>
              </w:rPr>
              <w:t>农业、养殖业、农林产品加工、采矿业（砂石土矿）。</w:t>
            </w:r>
          </w:p>
          <w:p w14:paraId="649997FC">
            <w:pPr>
              <w:adjustRightInd w:val="0"/>
              <w:snapToGrid w:val="0"/>
              <w:rPr>
                <w:rFonts w:ascii="Times New Roman" w:hAnsi="Times New Roman" w:eastAsia="仿宋" w:cs="Times New Roman"/>
                <w:szCs w:val="21"/>
              </w:rPr>
            </w:pPr>
            <w:r>
              <w:rPr>
                <w:rFonts w:ascii="Times New Roman" w:hAnsi="Times New Roman" w:eastAsia="仿宋" w:cs="Times New Roman"/>
                <w:b/>
                <w:bCs/>
                <w:szCs w:val="21"/>
              </w:rPr>
              <w:t>清水桥镇：</w:t>
            </w:r>
            <w:r>
              <w:rPr>
                <w:rFonts w:ascii="Times New Roman" w:hAnsi="Times New Roman" w:eastAsia="仿宋" w:cs="Times New Roman"/>
                <w:szCs w:val="21"/>
              </w:rPr>
              <w:t>农业、制造业、采矿业（砂石土矿）</w:t>
            </w:r>
          </w:p>
          <w:p w14:paraId="441B8F20">
            <w:pPr>
              <w:adjustRightInd w:val="0"/>
              <w:snapToGrid w:val="0"/>
              <w:rPr>
                <w:rFonts w:ascii="Times New Roman" w:hAnsi="Times New Roman" w:eastAsia="仿宋" w:cs="Times New Roman"/>
                <w:szCs w:val="21"/>
              </w:rPr>
            </w:pPr>
            <w:r>
              <w:rPr>
                <w:rFonts w:ascii="Times New Roman" w:hAnsi="Times New Roman" w:eastAsia="仿宋" w:cs="Times New Roman"/>
                <w:b/>
                <w:bCs/>
                <w:szCs w:val="21"/>
              </w:rPr>
              <w:t>太平镇：</w:t>
            </w:r>
            <w:r>
              <w:rPr>
                <w:rFonts w:ascii="Times New Roman" w:hAnsi="Times New Roman" w:eastAsia="仿宋" w:cs="Times New Roman"/>
                <w:szCs w:val="21"/>
              </w:rPr>
              <w:t>农业、养殖业、制造业</w:t>
            </w:r>
          </w:p>
        </w:tc>
        <w:tc>
          <w:tcPr>
            <w:tcW w:w="2432" w:type="dxa"/>
            <w:vAlign w:val="center"/>
          </w:tcPr>
          <w:p w14:paraId="462855D9">
            <w:pPr>
              <w:adjustRightInd w:val="0"/>
              <w:snapToGrid w:val="0"/>
              <w:rPr>
                <w:rFonts w:ascii="Times New Roman" w:hAnsi="Times New Roman" w:eastAsia="仿宋" w:cs="Times New Roman"/>
                <w:szCs w:val="21"/>
              </w:rPr>
            </w:pPr>
            <w:r>
              <w:rPr>
                <w:rFonts w:ascii="Times New Roman" w:hAnsi="Times New Roman" w:eastAsia="仿宋" w:cs="Times New Roman"/>
                <w:b/>
                <w:szCs w:val="21"/>
              </w:rPr>
              <w:t>禾亭镇、冷水镇：</w:t>
            </w:r>
            <w:r>
              <w:rPr>
                <w:rFonts w:ascii="Times New Roman" w:hAnsi="Times New Roman" w:eastAsia="仿宋" w:cs="Times New Roman"/>
                <w:szCs w:val="21"/>
              </w:rPr>
              <w:t>建材生产废气。</w:t>
            </w:r>
          </w:p>
          <w:p w14:paraId="2A3DAD7C">
            <w:pPr>
              <w:pStyle w:val="8"/>
              <w:adjustRightInd w:val="0"/>
              <w:snapToGrid w:val="0"/>
              <w:spacing w:after="0"/>
              <w:rPr>
                <w:rFonts w:eastAsia="仿宋"/>
                <w:bCs/>
                <w:kern w:val="2"/>
                <w:sz w:val="21"/>
                <w:szCs w:val="21"/>
              </w:rPr>
            </w:pPr>
            <w:r>
              <w:rPr>
                <w:rFonts w:eastAsia="仿宋"/>
                <w:b/>
                <w:kern w:val="2"/>
                <w:sz w:val="21"/>
                <w:szCs w:val="21"/>
              </w:rPr>
              <w:t>太平镇：</w:t>
            </w:r>
            <w:r>
              <w:rPr>
                <w:rFonts w:eastAsia="仿宋"/>
                <w:bCs/>
                <w:kern w:val="2"/>
                <w:sz w:val="21"/>
                <w:szCs w:val="21"/>
              </w:rPr>
              <w:t>畜禽养殖污染。</w:t>
            </w:r>
          </w:p>
          <w:p w14:paraId="17170E0A">
            <w:pPr>
              <w:pStyle w:val="8"/>
              <w:adjustRightInd w:val="0"/>
              <w:snapToGrid w:val="0"/>
              <w:spacing w:after="0"/>
              <w:rPr>
                <w:rFonts w:eastAsia="仿宋"/>
                <w:bCs/>
                <w:kern w:val="2"/>
                <w:sz w:val="21"/>
                <w:szCs w:val="21"/>
              </w:rPr>
            </w:pPr>
            <w:r>
              <w:rPr>
                <w:rFonts w:eastAsia="仿宋"/>
                <w:b/>
                <w:kern w:val="2"/>
                <w:sz w:val="21"/>
                <w:szCs w:val="21"/>
              </w:rPr>
              <w:t>环保目标：</w:t>
            </w:r>
            <w:r>
              <w:rPr>
                <w:rFonts w:eastAsia="仿宋"/>
                <w:bCs/>
                <w:kern w:val="2"/>
                <w:sz w:val="21"/>
                <w:szCs w:val="21"/>
              </w:rPr>
              <w:t>永州市宁远县冷水镇金钩挂水库饮用水水源保护区、永州市宁远县冷水镇冷水河饮用水水源保护区、永州市宁远县禾亭镇永佳水库饮用水水源保护区。</w:t>
            </w:r>
          </w:p>
        </w:tc>
      </w:tr>
      <w:tr w14:paraId="3001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663409C9">
            <w:pPr>
              <w:adjustRightInd w:val="0"/>
              <w:snapToGrid w:val="0"/>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320EE3FE">
            <w:pPr>
              <w:widowControl/>
              <w:adjustRightInd w:val="0"/>
              <w:snapToGrid w:val="0"/>
              <w:rPr>
                <w:rFonts w:ascii="Times New Roman" w:hAnsi="Times New Roman" w:eastAsia="仿宋" w:cs="Times New Roman"/>
                <w:b/>
                <w:bCs/>
                <w:szCs w:val="21"/>
              </w:rPr>
            </w:pPr>
            <w:r>
              <w:rPr>
                <w:rFonts w:ascii="Times New Roman" w:hAnsi="Times New Roman" w:eastAsia="仿宋" w:cs="Times New Roman"/>
                <w:b/>
                <w:bCs/>
                <w:szCs w:val="21"/>
              </w:rPr>
              <w:t>禾亭镇：</w:t>
            </w:r>
          </w:p>
          <w:p w14:paraId="3285722A">
            <w:pPr>
              <w:widowControl/>
              <w:adjustRightInd w:val="0"/>
              <w:snapToGrid w:val="0"/>
              <w:rPr>
                <w:rFonts w:ascii="Times New Roman" w:hAnsi="Times New Roman" w:eastAsia="仿宋" w:cs="Times New Roman"/>
                <w:bCs/>
                <w:szCs w:val="21"/>
              </w:rPr>
            </w:pPr>
            <w:r>
              <w:rPr>
                <w:rFonts w:ascii="Times New Roman" w:hAnsi="Times New Roman" w:eastAsia="仿宋" w:cs="Times New Roman"/>
                <w:bCs/>
                <w:szCs w:val="21"/>
              </w:rPr>
              <w:t>红线/一般生态空间（水源涵养重要区/三区三线生态红线/生物多样性保护功能重要区/水土流失敏感区/原生态红线/水土保持功能重要区）；水环境一般管控区；大气环境受体敏感重点管控区/大气环境弱扩散重点管控区；农用地优先保护区/其他重点管控区/一般管控区</w:t>
            </w:r>
          </w:p>
          <w:p w14:paraId="668B9D66">
            <w:pPr>
              <w:widowControl/>
              <w:adjustRightInd w:val="0"/>
              <w:snapToGrid w:val="0"/>
              <w:rPr>
                <w:rFonts w:ascii="Times New Roman" w:hAnsi="Times New Roman" w:eastAsia="仿宋" w:cs="Times New Roman"/>
                <w:b/>
                <w:bCs/>
                <w:szCs w:val="21"/>
              </w:rPr>
            </w:pPr>
            <w:r>
              <w:rPr>
                <w:rFonts w:ascii="Times New Roman" w:hAnsi="Times New Roman" w:eastAsia="仿宋" w:cs="Times New Roman"/>
                <w:b/>
                <w:bCs/>
                <w:szCs w:val="21"/>
              </w:rPr>
              <w:t>冷水镇：</w:t>
            </w:r>
          </w:p>
          <w:p w14:paraId="75E5D268">
            <w:pPr>
              <w:widowControl/>
              <w:adjustRightInd w:val="0"/>
              <w:snapToGrid w:val="0"/>
              <w:rPr>
                <w:rFonts w:ascii="Times New Roman" w:hAnsi="Times New Roman" w:eastAsia="仿宋" w:cs="Times New Roman"/>
                <w:szCs w:val="21"/>
              </w:rPr>
            </w:pPr>
            <w:r>
              <w:rPr>
                <w:rFonts w:ascii="Times New Roman" w:hAnsi="Times New Roman" w:eastAsia="仿宋" w:cs="Times New Roman"/>
                <w:szCs w:val="21"/>
              </w:rPr>
              <w:t>红线/一般生态空间（风景名胜区/水源涵养重要区/生物多样性保护功能重要区/三区三线生态红线/原生态红线/水土流失敏感区/水土保持功能重要区）；水环境一般管控区；大气环境优先保护区/大气环境高排放重点管控区/大气环境受体敏感重点管控区/大气环境弱扩散重点管控区；农用地优先保护区/其他重点管控区/一般管控区</w:t>
            </w:r>
          </w:p>
          <w:p w14:paraId="3A590D87">
            <w:pPr>
              <w:widowControl/>
              <w:adjustRightInd w:val="0"/>
              <w:snapToGrid w:val="0"/>
              <w:rPr>
                <w:rFonts w:ascii="Times New Roman" w:hAnsi="Times New Roman" w:eastAsia="仿宋" w:cs="Times New Roman"/>
                <w:b/>
                <w:bCs/>
                <w:szCs w:val="21"/>
              </w:rPr>
            </w:pPr>
            <w:r>
              <w:rPr>
                <w:rFonts w:ascii="Times New Roman" w:hAnsi="Times New Roman" w:eastAsia="仿宋" w:cs="Times New Roman"/>
                <w:b/>
                <w:bCs/>
                <w:szCs w:val="21"/>
              </w:rPr>
              <w:t>太平镇：</w:t>
            </w:r>
          </w:p>
          <w:p w14:paraId="11D06723">
            <w:pPr>
              <w:widowControl/>
              <w:adjustRightInd w:val="0"/>
              <w:snapToGrid w:val="0"/>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原生态红线/水土流失敏感区/生物多样性保护功能重要区）；水环境其他重点管控区/水环境一般管控区；大气环境优先保护区/大气环境受体敏感重点管控区/大气环境弱扩散重点管控区；农用地优先保护区/农用地重点管控区/建设用地重点管控区/其他重点管控区/一般管控区</w:t>
            </w:r>
          </w:p>
        </w:tc>
      </w:tr>
      <w:tr w14:paraId="3FAC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20B3A96F">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232" w:type="dxa"/>
            <w:gridSpan w:val="9"/>
            <w:vAlign w:val="center"/>
          </w:tcPr>
          <w:p w14:paraId="41407635">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4827" w:type="dxa"/>
            <w:gridSpan w:val="2"/>
            <w:vAlign w:val="center"/>
          </w:tcPr>
          <w:p w14:paraId="409F5452">
            <w:pPr>
              <w:adjustRightInd w:val="0"/>
              <w:snapToGrid w:val="0"/>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DF6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346F8F1">
            <w:pPr>
              <w:widowControl/>
              <w:adjustRightInd w:val="0"/>
              <w:snapToGrid w:val="0"/>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232" w:type="dxa"/>
            <w:gridSpan w:val="9"/>
            <w:vAlign w:val="center"/>
          </w:tcPr>
          <w:p w14:paraId="57647063">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1.1）畜禽养殖企业布局应符合《宁远县畜禽养殖布局规划》。禁止养殖区内严禁新建、改建、扩建各类畜禽养殖场。不得在县城上风向1000米范围内新建、扩建畜禽养殖场，规模化畜禽养殖场场界周围应有合理的卫生防护距离。</w:t>
            </w:r>
          </w:p>
          <w:p w14:paraId="0569DB27">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（1.2）商品混凝土搅拌站建议避让集中居住区与环境敏感区距离300m 以上，并设置不小于20m 的防护绿带。</w:t>
            </w:r>
          </w:p>
        </w:tc>
        <w:tc>
          <w:tcPr>
            <w:tcW w:w="4827" w:type="dxa"/>
            <w:gridSpan w:val="2"/>
            <w:vMerge w:val="restart"/>
            <w:vAlign w:val="center"/>
          </w:tcPr>
          <w:p w14:paraId="31F3A056">
            <w:pPr>
              <w:adjustRightInd w:val="0"/>
              <w:snapToGrid w:val="0"/>
              <w:rPr>
                <w:rFonts w:ascii="Times New Roman" w:hAnsi="Times New Roman" w:eastAsia="仿宋" w:cs="Times New Roman"/>
                <w:szCs w:val="21"/>
              </w:rPr>
            </w:pPr>
            <w:r>
              <w:rPr>
                <w:rFonts w:ascii="Times New Roman" w:hAnsi="Times New Roman" w:eastAsia="仿宋" w:cs="Times New Roman"/>
                <w:szCs w:val="21"/>
              </w:rPr>
              <w:t>（1.1）宁远县人民政府关于发布《宁远县畜禽养殖布局规划（2020-2024）》的公告（2019年12月）</w:t>
            </w:r>
          </w:p>
          <w:p w14:paraId="7F8B4A72">
            <w:pPr>
              <w:adjustRightInd w:val="0"/>
              <w:snapToGrid w:val="0"/>
              <w:rPr>
                <w:rFonts w:ascii="Times New Roman" w:hAnsi="Times New Roman" w:eastAsia="仿宋" w:cs="Times New Roman"/>
                <w:szCs w:val="21"/>
              </w:rPr>
            </w:pPr>
            <w:r>
              <w:rPr>
                <w:rFonts w:ascii="Times New Roman" w:hAnsi="Times New Roman" w:eastAsia="仿宋" w:cs="Times New Roman"/>
                <w:szCs w:val="21"/>
              </w:rPr>
              <w:t>（1.2）《宁远县预拌商品混凝土搅拌场站专项规划（2021-2035）》；</w:t>
            </w:r>
          </w:p>
          <w:p w14:paraId="5B802CD7">
            <w:pPr>
              <w:adjustRightInd w:val="0"/>
              <w:snapToGrid w:val="0"/>
              <w:rPr>
                <w:rFonts w:ascii="Times New Roman" w:hAnsi="Times New Roman" w:eastAsia="仿宋" w:cs="Times New Roman"/>
                <w:szCs w:val="21"/>
              </w:rPr>
            </w:pPr>
            <w:r>
              <w:rPr>
                <w:rFonts w:ascii="Times New Roman" w:hAnsi="Times New Roman" w:eastAsia="仿宋" w:cs="Times New Roman"/>
                <w:szCs w:val="21"/>
              </w:rPr>
              <w:t>（2.1）《永州市“十四五”生态环境保护规划》；</w:t>
            </w:r>
          </w:p>
          <w:p w14:paraId="1CB6B9E1">
            <w:pPr>
              <w:adjustRightInd w:val="0"/>
              <w:snapToGrid w:val="0"/>
              <w:rPr>
                <w:rFonts w:ascii="Times New Roman" w:hAnsi="Times New Roman" w:eastAsia="仿宋" w:cs="Times New Roman"/>
                <w:szCs w:val="21"/>
              </w:rPr>
            </w:pPr>
            <w:r>
              <w:rPr>
                <w:rFonts w:ascii="Times New Roman" w:hAnsi="Times New Roman" w:eastAsia="仿宋" w:cs="Times New Roman"/>
                <w:szCs w:val="21"/>
              </w:rPr>
              <w:t>（2.2）《宁远县大气污染防治攻坚行动计划（2023-2025）》；</w:t>
            </w:r>
          </w:p>
          <w:p w14:paraId="48160B80">
            <w:pPr>
              <w:adjustRightInd w:val="0"/>
              <w:snapToGrid w:val="0"/>
              <w:rPr>
                <w:rFonts w:ascii="Times New Roman" w:hAnsi="Times New Roman" w:eastAsia="仿宋" w:cs="Times New Roman"/>
                <w:szCs w:val="21"/>
              </w:rPr>
            </w:pPr>
            <w:r>
              <w:rPr>
                <w:rFonts w:ascii="Times New Roman" w:hAnsi="Times New Roman" w:eastAsia="仿宋" w:cs="Times New Roman"/>
                <w:szCs w:val="21"/>
              </w:rPr>
              <w:t>（2.3）《宁远县畜禽养殖污染防治规划（2021-2025年）》；</w:t>
            </w:r>
          </w:p>
          <w:p w14:paraId="390A64AB">
            <w:pPr>
              <w:adjustRightInd w:val="0"/>
              <w:snapToGrid w:val="0"/>
              <w:rPr>
                <w:rFonts w:ascii="Times New Roman" w:hAnsi="Times New Roman" w:eastAsia="仿宋" w:cs="Times New Roman"/>
                <w:szCs w:val="21"/>
              </w:rPr>
            </w:pPr>
            <w:r>
              <w:rPr>
                <w:rFonts w:ascii="Times New Roman" w:hAnsi="Times New Roman" w:eastAsia="仿宋" w:cs="Times New Roman"/>
                <w:szCs w:val="21"/>
              </w:rPr>
              <w:t>（2.4）《永州市“十四五”生态环境保护规划》；</w:t>
            </w:r>
          </w:p>
          <w:p w14:paraId="208F9B17">
            <w:pPr>
              <w:adjustRightInd w:val="0"/>
              <w:snapToGrid w:val="0"/>
              <w:rPr>
                <w:rFonts w:ascii="Times New Roman" w:hAnsi="Times New Roman" w:eastAsia="仿宋" w:cs="Times New Roman"/>
                <w:szCs w:val="21"/>
              </w:rPr>
            </w:pPr>
            <w:r>
              <w:rPr>
                <w:rFonts w:ascii="Times New Roman" w:hAnsi="Times New Roman" w:eastAsia="仿宋" w:cs="Times New Roman"/>
                <w:szCs w:val="21"/>
              </w:rPr>
              <w:t>（2.5）《宁远县大气污染防治攻坚行动计划（2023-2025）》；</w:t>
            </w:r>
          </w:p>
          <w:p w14:paraId="31A0CEFD">
            <w:pPr>
              <w:adjustRightInd w:val="0"/>
              <w:snapToGrid w:val="0"/>
              <w:rPr>
                <w:rFonts w:ascii="Times New Roman" w:hAnsi="Times New Roman" w:eastAsia="仿宋" w:cs="Times New Roman"/>
                <w:szCs w:val="21"/>
              </w:rPr>
            </w:pPr>
            <w:r>
              <w:rPr>
                <w:rFonts w:ascii="Times New Roman" w:hAnsi="Times New Roman" w:eastAsia="仿宋" w:cs="Times New Roman"/>
                <w:szCs w:val="21"/>
              </w:rPr>
              <w:t>（3.1）《宁远县突发环境事件应急预案》（宁政办发〔2018〕2号）；</w:t>
            </w:r>
          </w:p>
          <w:p w14:paraId="61B535F4">
            <w:pPr>
              <w:autoSpaceDE w:val="0"/>
              <w:autoSpaceDN w:val="0"/>
              <w:adjustRightInd w:val="0"/>
              <w:snapToGrid w:val="0"/>
              <w:jc w:val="left"/>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410D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2B65F1F">
            <w:pPr>
              <w:widowControl/>
              <w:adjustRightInd w:val="0"/>
              <w:snapToGrid w:val="0"/>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232" w:type="dxa"/>
            <w:gridSpan w:val="9"/>
            <w:vAlign w:val="center"/>
          </w:tcPr>
          <w:p w14:paraId="45DED16E">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（2.1）完善污水收集体系，补齐污水处理设施短板。加强污水处理厂尾水处理与资源化利用。</w:t>
            </w:r>
          </w:p>
          <w:p w14:paraId="2FF9A1C3">
            <w:pPr>
              <w:tabs>
                <w:tab w:val="left" w:pos="1021"/>
              </w:tabs>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（2.2）严管生物质露天焚烧。推进秸秆综合利用和秸秆焚烧网格化管理制度。</w:t>
            </w:r>
          </w:p>
          <w:p w14:paraId="55AF4AFC">
            <w:pPr>
              <w:tabs>
                <w:tab w:val="left" w:pos="1021"/>
              </w:tabs>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2.3）规范养殖场养殖行为，积极推行畜禽粪污资源化利用管理模式，坚持有条件的养殖场优先实施畜禽粪污资源化利用，确实无法实现资源化利用的养殖场应坚持畜禽粪污处理后达标排放的原则，完善畜禽粪污资源化体制机制，全面推动畜禽粪污资源化利用。</w:t>
            </w:r>
          </w:p>
          <w:p w14:paraId="0195F60D">
            <w:pPr>
              <w:tabs>
                <w:tab w:val="left" w:pos="1021"/>
              </w:tabs>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2.4）建立健全符合农村实际、方式多样的生活垃圾收运处置体系，对农村生活垃圾实施可回收物、有害垃圾、易腐垃圾、其他垃圾“四分类”处理。推广“户分类、村收集、镇转运、县处理”的垃圾处理模式，鼓励实行城乡垃圾处理一体化。</w:t>
            </w:r>
          </w:p>
          <w:p w14:paraId="3BE8727C">
            <w:pPr>
              <w:tabs>
                <w:tab w:val="left" w:pos="1021"/>
              </w:tabs>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（2.5）加强采石、采砂、搅拌站等行业污染整治，做到抑尘到位、遮盖到位、围挡到位、道路清洁到位、车辆冲洗到位。</w:t>
            </w:r>
          </w:p>
        </w:tc>
        <w:tc>
          <w:tcPr>
            <w:tcW w:w="4827" w:type="dxa"/>
            <w:gridSpan w:val="2"/>
            <w:vMerge w:val="continue"/>
            <w:vAlign w:val="center"/>
          </w:tcPr>
          <w:p w14:paraId="51F7A05E">
            <w:pPr>
              <w:adjustRightInd w:val="0"/>
              <w:snapToGrid w:val="0"/>
              <w:rPr>
                <w:rFonts w:ascii="Times New Roman" w:hAnsi="Times New Roman" w:eastAsia="仿宋" w:cs="Times New Roman"/>
                <w:szCs w:val="21"/>
              </w:rPr>
            </w:pPr>
          </w:p>
        </w:tc>
      </w:tr>
      <w:tr w14:paraId="54CE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EBBAD3E">
            <w:pPr>
              <w:widowControl/>
              <w:adjustRightInd w:val="0"/>
              <w:snapToGrid w:val="0"/>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232" w:type="dxa"/>
            <w:gridSpan w:val="9"/>
            <w:vAlign w:val="center"/>
          </w:tcPr>
          <w:p w14:paraId="7896B368">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（3.1）建立健全环境风险防控体系，严格落实《宁远县突发环境事件应急预案》的相关要求，严防环境突发事件发生，提高应急处置能力。</w:t>
            </w:r>
          </w:p>
        </w:tc>
        <w:tc>
          <w:tcPr>
            <w:tcW w:w="4827" w:type="dxa"/>
            <w:gridSpan w:val="2"/>
            <w:vMerge w:val="continue"/>
            <w:vAlign w:val="center"/>
          </w:tcPr>
          <w:p w14:paraId="7F920FAB">
            <w:pPr>
              <w:adjustRightInd w:val="0"/>
              <w:snapToGrid w:val="0"/>
              <w:rPr>
                <w:rFonts w:ascii="Times New Roman" w:hAnsi="Times New Roman" w:eastAsia="仿宋" w:cs="Times New Roman"/>
                <w:szCs w:val="21"/>
              </w:rPr>
            </w:pPr>
          </w:p>
        </w:tc>
      </w:tr>
      <w:tr w14:paraId="3A28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4AC52C50">
            <w:pPr>
              <w:widowControl/>
              <w:adjustRightInd w:val="0"/>
              <w:snapToGrid w:val="0"/>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232" w:type="dxa"/>
            <w:gridSpan w:val="9"/>
            <w:vAlign w:val="center"/>
          </w:tcPr>
          <w:p w14:paraId="69ADA7EC">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2DC5DE44">
            <w:pPr>
              <w:adjustRightInd w:val="0"/>
              <w:snapToGrid w:val="0"/>
              <w:ind w:firstLine="420" w:firstLineChars="200"/>
              <w:rPr>
                <w:rFonts w:ascii="Times New Roman" w:hAnsi="Times New Roman" w:eastAsia="仿宋" w:cs="Times New Roman"/>
                <w:szCs w:val="21"/>
              </w:rPr>
            </w:pPr>
            <w:r>
              <w:rPr>
                <w:rFonts w:ascii="Times New Roman" w:hAnsi="Times New Roman" w:eastAsia="仿宋" w:cs="Times New Roman"/>
                <w:szCs w:val="21"/>
              </w:rPr>
              <w:t>（4.2）2025年，宁远县用水总量目标为32323万m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，农业用水总量控制在25138万m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，万元地区生产总值用水量、万元工业增加值用水量分别比2020年降低15.00%、8.87%，农田灌溉水有效利用系数为0.558。</w:t>
            </w:r>
          </w:p>
        </w:tc>
        <w:tc>
          <w:tcPr>
            <w:tcW w:w="4827" w:type="dxa"/>
            <w:gridSpan w:val="2"/>
            <w:vMerge w:val="continue"/>
            <w:vAlign w:val="center"/>
          </w:tcPr>
          <w:p w14:paraId="5F46A0F2">
            <w:pPr>
              <w:adjustRightInd w:val="0"/>
              <w:snapToGrid w:val="0"/>
              <w:rPr>
                <w:rFonts w:ascii="Times New Roman" w:hAnsi="Times New Roman" w:eastAsia="仿宋" w:cs="Times New Roman"/>
                <w:szCs w:val="21"/>
              </w:rPr>
            </w:pPr>
          </w:p>
        </w:tc>
      </w:tr>
    </w:tbl>
    <w:p w14:paraId="4023D27F">
      <w:pPr>
        <w:widowControl/>
        <w:jc w:val="left"/>
        <w:rPr>
          <w:rFonts w:ascii="Times New Roman" w:hAnsi="Times New Roman" w:eastAsia="仿宋" w:cs="Times New Roman"/>
          <w:b/>
          <w:szCs w:val="21"/>
        </w:rPr>
      </w:pPr>
    </w:p>
    <w:p w14:paraId="378F90C7">
      <w:pPr>
        <w:rPr>
          <w:rFonts w:ascii="Times New Roman" w:hAnsi="Times New Roman" w:eastAsia="仿宋" w:cs="Times New Roman"/>
          <w:b/>
          <w:szCs w:val="21"/>
        </w:rPr>
      </w:pPr>
      <w:bookmarkStart w:id="62" w:name="_Toc160709118"/>
      <w:bookmarkStart w:id="63" w:name="_Toc58452427"/>
      <w:bookmarkStart w:id="64" w:name="_Toc14419470"/>
      <w:bookmarkStart w:id="65" w:name="_Toc6587"/>
      <w:r>
        <w:rPr>
          <w:rFonts w:ascii="Times New Roman" w:hAnsi="Times New Roman" w:eastAsia="仿宋" w:cs="Times New Roman"/>
          <w:b/>
          <w:szCs w:val="21"/>
        </w:rPr>
        <w:br w:type="page"/>
      </w:r>
    </w:p>
    <w:p w14:paraId="1B357580">
      <w:pPr>
        <w:spacing w:line="348" w:lineRule="auto"/>
        <w:jc w:val="center"/>
        <w:outlineLvl w:val="0"/>
        <w:rPr>
          <w:rFonts w:ascii="Times New Roman" w:hAnsi="Times New Roman" w:eastAsia="仿宋" w:cs="Times New Roman"/>
          <w:b/>
          <w:szCs w:val="21"/>
        </w:rPr>
      </w:pPr>
      <w:r>
        <w:rPr>
          <w:rFonts w:ascii="Times New Roman" w:hAnsi="Times New Roman" w:eastAsia="仿宋" w:cs="Times New Roman"/>
          <w:b/>
          <w:szCs w:val="21"/>
        </w:rPr>
        <w:t>9  蓝山县</w:t>
      </w:r>
      <w:bookmarkEnd w:id="62"/>
      <w:bookmarkEnd w:id="63"/>
      <w:bookmarkEnd w:id="64"/>
      <w:bookmarkEnd w:id="65"/>
    </w:p>
    <w:tbl>
      <w:tblPr>
        <w:tblStyle w:val="20"/>
        <w:tblW w:w="14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29"/>
        <w:gridCol w:w="425"/>
        <w:gridCol w:w="420"/>
        <w:gridCol w:w="567"/>
        <w:gridCol w:w="1134"/>
        <w:gridCol w:w="1134"/>
        <w:gridCol w:w="1282"/>
        <w:gridCol w:w="1637"/>
        <w:gridCol w:w="1605"/>
        <w:gridCol w:w="1156"/>
        <w:gridCol w:w="2406"/>
      </w:tblGrid>
      <w:tr w14:paraId="302C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66617E2F">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t>环境管控单元编码</w:t>
            </w:r>
          </w:p>
        </w:tc>
        <w:tc>
          <w:tcPr>
            <w:tcW w:w="1129" w:type="dxa"/>
            <w:vMerge w:val="restart"/>
            <w:vAlign w:val="center"/>
          </w:tcPr>
          <w:p w14:paraId="2DC67B13">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412" w:type="dxa"/>
            <w:gridSpan w:val="3"/>
            <w:vAlign w:val="center"/>
          </w:tcPr>
          <w:p w14:paraId="227DA756">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51B57D1B">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148701C1">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82" w:type="dxa"/>
            <w:vMerge w:val="restart"/>
            <w:vAlign w:val="center"/>
          </w:tcPr>
          <w:p w14:paraId="07C70722">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637" w:type="dxa"/>
            <w:vMerge w:val="restart"/>
            <w:vAlign w:val="center"/>
          </w:tcPr>
          <w:p w14:paraId="2D81CA3C">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761" w:type="dxa"/>
            <w:gridSpan w:val="2"/>
            <w:vMerge w:val="restart"/>
            <w:vAlign w:val="center"/>
          </w:tcPr>
          <w:p w14:paraId="5F5D36E1">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406" w:type="dxa"/>
            <w:vMerge w:val="restart"/>
            <w:vAlign w:val="center"/>
          </w:tcPr>
          <w:p w14:paraId="3F43F6CE">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2791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389EE00">
            <w:pPr>
              <w:jc w:val="center"/>
              <w:rPr>
                <w:rFonts w:ascii="Times New Roman" w:hAnsi="Times New Roman" w:eastAsia="仿宋" w:cs="Times New Roman"/>
                <w:b/>
                <w:szCs w:val="21"/>
              </w:rPr>
            </w:pPr>
          </w:p>
        </w:tc>
        <w:tc>
          <w:tcPr>
            <w:tcW w:w="1129" w:type="dxa"/>
            <w:vMerge w:val="continue"/>
            <w:vAlign w:val="center"/>
          </w:tcPr>
          <w:p w14:paraId="597C4F50">
            <w:pPr>
              <w:jc w:val="center"/>
              <w:rPr>
                <w:rFonts w:ascii="Times New Roman" w:hAnsi="Times New Roman" w:eastAsia="仿宋" w:cs="Times New Roman"/>
                <w:b/>
                <w:szCs w:val="21"/>
              </w:rPr>
            </w:pPr>
          </w:p>
        </w:tc>
        <w:tc>
          <w:tcPr>
            <w:tcW w:w="425" w:type="dxa"/>
            <w:vAlign w:val="center"/>
          </w:tcPr>
          <w:p w14:paraId="48155D5B">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0" w:type="dxa"/>
            <w:vAlign w:val="center"/>
          </w:tcPr>
          <w:p w14:paraId="295BB808">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567" w:type="dxa"/>
            <w:vAlign w:val="center"/>
          </w:tcPr>
          <w:p w14:paraId="1FA04B48">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4DBA2048">
            <w:pPr>
              <w:jc w:val="center"/>
              <w:rPr>
                <w:rFonts w:ascii="Times New Roman" w:hAnsi="Times New Roman" w:eastAsia="仿宋" w:cs="Times New Roman"/>
                <w:b/>
                <w:szCs w:val="21"/>
              </w:rPr>
            </w:pPr>
          </w:p>
        </w:tc>
        <w:tc>
          <w:tcPr>
            <w:tcW w:w="1134" w:type="dxa"/>
            <w:vMerge w:val="continue"/>
            <w:vAlign w:val="center"/>
          </w:tcPr>
          <w:p w14:paraId="7AACD0BF">
            <w:pPr>
              <w:jc w:val="center"/>
              <w:rPr>
                <w:rFonts w:ascii="Times New Roman" w:hAnsi="Times New Roman" w:eastAsia="仿宋" w:cs="Times New Roman"/>
                <w:b/>
                <w:szCs w:val="21"/>
              </w:rPr>
            </w:pPr>
          </w:p>
        </w:tc>
        <w:tc>
          <w:tcPr>
            <w:tcW w:w="1282" w:type="dxa"/>
            <w:vMerge w:val="continue"/>
            <w:vAlign w:val="center"/>
          </w:tcPr>
          <w:p w14:paraId="0C262DC6">
            <w:pPr>
              <w:jc w:val="center"/>
              <w:rPr>
                <w:rFonts w:ascii="Times New Roman" w:hAnsi="Times New Roman" w:eastAsia="仿宋" w:cs="Times New Roman"/>
                <w:b/>
                <w:szCs w:val="21"/>
              </w:rPr>
            </w:pPr>
          </w:p>
        </w:tc>
        <w:tc>
          <w:tcPr>
            <w:tcW w:w="1637" w:type="dxa"/>
            <w:vMerge w:val="continue"/>
            <w:vAlign w:val="center"/>
          </w:tcPr>
          <w:p w14:paraId="1225FD3B">
            <w:pPr>
              <w:jc w:val="center"/>
              <w:rPr>
                <w:rFonts w:ascii="Times New Roman" w:hAnsi="Times New Roman" w:eastAsia="仿宋" w:cs="Times New Roman"/>
                <w:b/>
                <w:szCs w:val="21"/>
              </w:rPr>
            </w:pPr>
          </w:p>
        </w:tc>
        <w:tc>
          <w:tcPr>
            <w:tcW w:w="2761" w:type="dxa"/>
            <w:gridSpan w:val="2"/>
            <w:vMerge w:val="continue"/>
            <w:vAlign w:val="center"/>
          </w:tcPr>
          <w:p w14:paraId="2B6E8DB0">
            <w:pPr>
              <w:jc w:val="center"/>
              <w:rPr>
                <w:rFonts w:ascii="Times New Roman" w:hAnsi="Times New Roman" w:eastAsia="仿宋" w:cs="Times New Roman"/>
                <w:b/>
                <w:szCs w:val="21"/>
              </w:rPr>
            </w:pPr>
          </w:p>
        </w:tc>
        <w:tc>
          <w:tcPr>
            <w:tcW w:w="2406" w:type="dxa"/>
            <w:vMerge w:val="continue"/>
            <w:vAlign w:val="center"/>
          </w:tcPr>
          <w:p w14:paraId="3F81A72E">
            <w:pPr>
              <w:jc w:val="center"/>
              <w:rPr>
                <w:rFonts w:ascii="Times New Roman" w:hAnsi="Times New Roman" w:eastAsia="仿宋" w:cs="Times New Roman"/>
                <w:b/>
                <w:szCs w:val="21"/>
              </w:rPr>
            </w:pPr>
          </w:p>
        </w:tc>
      </w:tr>
      <w:tr w14:paraId="7AE0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323F5BF3">
            <w:pPr>
              <w:jc w:val="center"/>
              <w:rPr>
                <w:rFonts w:ascii="Times New Roman" w:hAnsi="Times New Roman" w:eastAsia="仿宋" w:cs="Times New Roman"/>
                <w:szCs w:val="21"/>
              </w:rPr>
            </w:pPr>
            <w:bookmarkStart w:id="66" w:name="_Hlk58579907"/>
            <w:r>
              <w:rPr>
                <w:rFonts w:ascii="Times New Roman" w:hAnsi="Times New Roman" w:eastAsia="仿宋" w:cs="Times New Roman"/>
                <w:szCs w:val="21"/>
              </w:rPr>
              <w:t>ZH43112710001</w:t>
            </w:r>
            <w:bookmarkEnd w:id="66"/>
          </w:p>
        </w:tc>
        <w:tc>
          <w:tcPr>
            <w:tcW w:w="1129" w:type="dxa"/>
            <w:vAlign w:val="center"/>
          </w:tcPr>
          <w:p w14:paraId="45EE3D3B">
            <w:pPr>
              <w:jc w:val="center"/>
              <w:rPr>
                <w:rFonts w:ascii="Times New Roman" w:hAnsi="Times New Roman" w:eastAsia="仿宋" w:cs="Times New Roman"/>
                <w:szCs w:val="21"/>
              </w:rPr>
            </w:pPr>
            <w:r>
              <w:rPr>
                <w:rFonts w:ascii="Times New Roman" w:hAnsi="Times New Roman" w:eastAsia="仿宋" w:cs="Times New Roman"/>
                <w:szCs w:val="21"/>
              </w:rPr>
              <w:t>祠堂圩镇/塔峰镇/太平圩镇</w:t>
            </w:r>
          </w:p>
        </w:tc>
        <w:tc>
          <w:tcPr>
            <w:tcW w:w="425" w:type="dxa"/>
            <w:vAlign w:val="center"/>
          </w:tcPr>
          <w:p w14:paraId="051D6324">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0" w:type="dxa"/>
            <w:vAlign w:val="center"/>
          </w:tcPr>
          <w:p w14:paraId="3DDED3E8">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567" w:type="dxa"/>
            <w:vAlign w:val="center"/>
          </w:tcPr>
          <w:p w14:paraId="1A37C87F">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1134" w:type="dxa"/>
            <w:vAlign w:val="center"/>
          </w:tcPr>
          <w:p w14:paraId="28ED6237">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34" w:type="dxa"/>
            <w:vAlign w:val="center"/>
          </w:tcPr>
          <w:p w14:paraId="3ED1A2D2">
            <w:pPr>
              <w:jc w:val="center"/>
              <w:rPr>
                <w:rFonts w:ascii="Times New Roman" w:hAnsi="Times New Roman" w:eastAsia="仿宋" w:cs="Times New Roman"/>
                <w:szCs w:val="21"/>
              </w:rPr>
            </w:pPr>
            <w:r>
              <w:rPr>
                <w:rFonts w:ascii="Times New Roman" w:hAnsi="Times New Roman" w:eastAsia="仿宋" w:cs="Times New Roman"/>
                <w:szCs w:val="21"/>
              </w:rPr>
              <w:t>368.31</w:t>
            </w:r>
          </w:p>
        </w:tc>
        <w:tc>
          <w:tcPr>
            <w:tcW w:w="1282" w:type="dxa"/>
            <w:vAlign w:val="center"/>
          </w:tcPr>
          <w:p w14:paraId="65033276">
            <w:pPr>
              <w:jc w:val="center"/>
              <w:rPr>
                <w:rFonts w:ascii="Times New Roman" w:hAnsi="Times New Roman" w:eastAsia="仿宋" w:cs="Times New Roman"/>
                <w:szCs w:val="21"/>
              </w:rPr>
            </w:pPr>
            <w:r>
              <w:rPr>
                <w:rFonts w:ascii="Times New Roman" w:hAnsi="Times New Roman" w:eastAsia="仿宋" w:cs="Times New Roman"/>
                <w:szCs w:val="21"/>
              </w:rPr>
              <w:t>祠堂圩镇/塔峰镇/太平圩镇</w:t>
            </w:r>
          </w:p>
        </w:tc>
        <w:tc>
          <w:tcPr>
            <w:tcW w:w="1637" w:type="dxa"/>
            <w:vAlign w:val="center"/>
          </w:tcPr>
          <w:p w14:paraId="4E3A3538">
            <w:pPr>
              <w:jc w:val="center"/>
              <w:rPr>
                <w:rFonts w:ascii="Times New Roman" w:hAnsi="Times New Roman" w:eastAsia="仿宋" w:cs="Times New Roman"/>
                <w:szCs w:val="21"/>
              </w:rPr>
            </w:pPr>
            <w:r>
              <w:rPr>
                <w:rFonts w:ascii="Times New Roman" w:hAnsi="Times New Roman" w:eastAsia="仿宋" w:cs="Times New Roman"/>
                <w:b/>
                <w:bCs/>
                <w:szCs w:val="21"/>
              </w:rPr>
              <w:t>祠堂圩镇：</w:t>
            </w:r>
            <w:r>
              <w:rPr>
                <w:rFonts w:ascii="Times New Roman" w:hAnsi="Times New Roman" w:eastAsia="仿宋" w:cs="Times New Roman"/>
                <w:szCs w:val="21"/>
              </w:rPr>
              <w:t>重点生态功能区；</w:t>
            </w:r>
          </w:p>
          <w:p w14:paraId="72F7EFFA">
            <w:pPr>
              <w:jc w:val="center"/>
              <w:rPr>
                <w:rFonts w:ascii="Times New Roman" w:hAnsi="Times New Roman" w:eastAsia="仿宋" w:cs="Times New Roman"/>
                <w:szCs w:val="21"/>
              </w:rPr>
            </w:pPr>
            <w:r>
              <w:rPr>
                <w:rFonts w:ascii="Times New Roman" w:hAnsi="Times New Roman" w:eastAsia="仿宋" w:cs="Times New Roman"/>
                <w:b/>
                <w:bCs/>
                <w:szCs w:val="21"/>
              </w:rPr>
              <w:t>塔峰镇：</w:t>
            </w:r>
            <w:r>
              <w:rPr>
                <w:rFonts w:ascii="Times New Roman" w:hAnsi="Times New Roman" w:eastAsia="仿宋" w:cs="Times New Roman"/>
                <w:szCs w:val="21"/>
              </w:rPr>
              <w:t>城市化地区；</w:t>
            </w:r>
          </w:p>
          <w:p w14:paraId="779CB0DB">
            <w:pPr>
              <w:jc w:val="center"/>
              <w:rPr>
                <w:rFonts w:ascii="Times New Roman" w:hAnsi="Times New Roman" w:eastAsia="仿宋" w:cs="Times New Roman"/>
                <w:szCs w:val="21"/>
              </w:rPr>
            </w:pPr>
            <w:r>
              <w:rPr>
                <w:rFonts w:ascii="Times New Roman" w:hAnsi="Times New Roman" w:eastAsia="仿宋" w:cs="Times New Roman"/>
                <w:b/>
                <w:bCs/>
                <w:szCs w:val="21"/>
              </w:rPr>
              <w:t>太平圩镇：</w:t>
            </w:r>
            <w:r>
              <w:rPr>
                <w:rFonts w:ascii="Times New Roman" w:hAnsi="Times New Roman" w:eastAsia="仿宋" w:cs="Times New Roman"/>
                <w:szCs w:val="21"/>
              </w:rPr>
              <w:t>农产品主产区</w:t>
            </w:r>
          </w:p>
        </w:tc>
        <w:tc>
          <w:tcPr>
            <w:tcW w:w="2761" w:type="dxa"/>
            <w:gridSpan w:val="2"/>
            <w:vAlign w:val="center"/>
          </w:tcPr>
          <w:p w14:paraId="5C4CEC89">
            <w:pPr>
              <w:rPr>
                <w:rFonts w:ascii="Times New Roman" w:hAnsi="Times New Roman" w:eastAsia="仿宋" w:cs="Times New Roman"/>
                <w:szCs w:val="21"/>
              </w:rPr>
            </w:pPr>
            <w:r>
              <w:rPr>
                <w:rFonts w:ascii="Times New Roman" w:hAnsi="Times New Roman" w:eastAsia="仿宋" w:cs="Times New Roman"/>
                <w:b/>
                <w:bCs/>
                <w:szCs w:val="21"/>
              </w:rPr>
              <w:t>祠堂圩镇：</w:t>
            </w:r>
            <w:r>
              <w:rPr>
                <w:rFonts w:ascii="Times New Roman" w:hAnsi="Times New Roman" w:eastAsia="仿宋" w:cs="Times New Roman"/>
                <w:szCs w:val="21"/>
              </w:rPr>
              <w:t>农业、旅游业、建材（砖厂）。</w:t>
            </w:r>
          </w:p>
          <w:p w14:paraId="63149CF8">
            <w:pPr>
              <w:pStyle w:val="8"/>
              <w:spacing w:after="0"/>
              <w:rPr>
                <w:rFonts w:eastAsia="仿宋"/>
                <w:kern w:val="2"/>
                <w:sz w:val="21"/>
                <w:szCs w:val="21"/>
              </w:rPr>
            </w:pPr>
            <w:r>
              <w:rPr>
                <w:rFonts w:eastAsia="仿宋"/>
                <w:b/>
                <w:bCs/>
                <w:kern w:val="2"/>
                <w:sz w:val="21"/>
                <w:szCs w:val="21"/>
              </w:rPr>
              <w:t>塔峰镇：</w:t>
            </w:r>
            <w:r>
              <w:rPr>
                <w:rFonts w:eastAsia="仿宋"/>
                <w:sz w:val="21"/>
                <w:szCs w:val="21"/>
              </w:rPr>
              <w:t>农业、旅游业</w:t>
            </w:r>
            <w:r>
              <w:rPr>
                <w:rFonts w:eastAsia="仿宋"/>
                <w:kern w:val="2"/>
                <w:sz w:val="21"/>
                <w:szCs w:val="21"/>
              </w:rPr>
              <w:t>、养殖业、采石等。</w:t>
            </w:r>
          </w:p>
          <w:p w14:paraId="765EE278">
            <w:pPr>
              <w:rPr>
                <w:rFonts w:ascii="Times New Roman" w:hAnsi="Times New Roman" w:eastAsia="仿宋" w:cs="Times New Roman"/>
                <w:szCs w:val="21"/>
              </w:rPr>
            </w:pPr>
            <w:r>
              <w:rPr>
                <w:rFonts w:ascii="Times New Roman" w:hAnsi="Times New Roman" w:eastAsia="仿宋" w:cs="Times New Roman"/>
                <w:b/>
                <w:bCs/>
                <w:kern w:val="0"/>
                <w:szCs w:val="21"/>
              </w:rPr>
              <w:t>太平圩镇：</w:t>
            </w:r>
            <w:r>
              <w:rPr>
                <w:rFonts w:ascii="Times New Roman" w:hAnsi="Times New Roman" w:eastAsia="仿宋" w:cs="Times New Roman"/>
                <w:kern w:val="0"/>
                <w:szCs w:val="21"/>
              </w:rPr>
              <w:t>锰铁矿产品加工业、农业、养殖业、旅游业、铸造业等</w:t>
            </w:r>
            <w:r>
              <w:rPr>
                <w:rFonts w:ascii="Times New Roman" w:hAnsi="Times New Roman" w:eastAsia="仿宋" w:cs="Times New Roman"/>
                <w:szCs w:val="21"/>
              </w:rPr>
              <w:t>。</w:t>
            </w:r>
          </w:p>
        </w:tc>
        <w:tc>
          <w:tcPr>
            <w:tcW w:w="2406" w:type="dxa"/>
            <w:vAlign w:val="center"/>
          </w:tcPr>
          <w:p w14:paraId="10CA5726">
            <w:pPr>
              <w:rPr>
                <w:rFonts w:ascii="Times New Roman" w:hAnsi="Times New Roman" w:eastAsia="仿宋" w:cs="Times New Roman"/>
                <w:szCs w:val="21"/>
              </w:rPr>
            </w:pPr>
            <w:r>
              <w:rPr>
                <w:rFonts w:ascii="Times New Roman" w:hAnsi="Times New Roman" w:eastAsia="仿宋" w:cs="Times New Roman"/>
                <w:b/>
                <w:bCs/>
                <w:szCs w:val="21"/>
              </w:rPr>
              <w:t>祠堂圩镇/塔峰镇：</w:t>
            </w:r>
            <w:r>
              <w:rPr>
                <w:rFonts w:ascii="Times New Roman" w:hAnsi="Times New Roman" w:eastAsia="仿宋" w:cs="Times New Roman"/>
                <w:szCs w:val="21"/>
              </w:rPr>
              <w:t>无明显环境问题。</w:t>
            </w:r>
          </w:p>
          <w:p w14:paraId="7BDF54CC">
            <w:pPr>
              <w:rPr>
                <w:rFonts w:ascii="Times New Roman" w:hAnsi="Times New Roman" w:eastAsia="仿宋" w:cs="Times New Roman"/>
                <w:kern w:val="0"/>
                <w:szCs w:val="21"/>
              </w:rPr>
            </w:pPr>
            <w:r>
              <w:rPr>
                <w:rFonts w:ascii="Times New Roman" w:hAnsi="Times New Roman" w:eastAsia="仿宋" w:cs="Times New Roman"/>
                <w:b/>
                <w:bCs/>
                <w:kern w:val="0"/>
                <w:szCs w:val="21"/>
              </w:rPr>
              <w:t>太平圩镇：</w:t>
            </w:r>
            <w:r>
              <w:rPr>
                <w:rFonts w:ascii="Times New Roman" w:hAnsi="Times New Roman" w:eastAsia="仿宋" w:cs="Times New Roman"/>
                <w:kern w:val="0"/>
                <w:szCs w:val="21"/>
              </w:rPr>
              <w:t>部分铸造企业未对气型污染物进行收集处理；锰铁矿开采造成生态破坏。</w:t>
            </w:r>
          </w:p>
          <w:p w14:paraId="3E65D402">
            <w:pPr>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湖南蓝山舜水河省级湿地公园。</w:t>
            </w:r>
          </w:p>
        </w:tc>
      </w:tr>
      <w:tr w14:paraId="3207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9" w:hRule="atLeast"/>
          <w:jc w:val="center"/>
        </w:trPr>
        <w:tc>
          <w:tcPr>
            <w:tcW w:w="1134" w:type="dxa"/>
            <w:vAlign w:val="center"/>
          </w:tcPr>
          <w:p w14:paraId="21EED0C5">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2895" w:type="dxa"/>
            <w:gridSpan w:val="11"/>
            <w:vAlign w:val="center"/>
          </w:tcPr>
          <w:p w14:paraId="0DC3C10D">
            <w:pPr>
              <w:rPr>
                <w:rFonts w:ascii="Times New Roman" w:hAnsi="Times New Roman" w:eastAsia="仿宋" w:cs="Times New Roman"/>
                <w:szCs w:val="21"/>
              </w:rPr>
            </w:pPr>
            <w:r>
              <w:rPr>
                <w:rFonts w:ascii="Times New Roman" w:hAnsi="Times New Roman" w:eastAsia="仿宋" w:cs="Times New Roman"/>
                <w:b/>
                <w:bCs/>
                <w:szCs w:val="21"/>
              </w:rPr>
              <w:t>祠堂圩镇：</w:t>
            </w:r>
          </w:p>
          <w:p w14:paraId="55412BBD">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风景名胜区/三区三线生态红线/水土流失敏感区/原生态红线/生物多样性保护功能重要区）；水环境一般管控区；大气环境优先保护区/大气环境受体敏感重点管控区/大气环境弱扩散重点管控区；农用地优先保护区/其他重点管控区/一般管控区</w:t>
            </w:r>
          </w:p>
          <w:p w14:paraId="33D21E4D">
            <w:pPr>
              <w:rPr>
                <w:rFonts w:ascii="Times New Roman" w:hAnsi="Times New Roman" w:eastAsia="仿宋" w:cs="Times New Roman"/>
                <w:szCs w:val="21"/>
              </w:rPr>
            </w:pPr>
            <w:r>
              <w:rPr>
                <w:rFonts w:ascii="Times New Roman" w:hAnsi="Times New Roman" w:eastAsia="仿宋" w:cs="Times New Roman"/>
                <w:b/>
                <w:szCs w:val="21"/>
              </w:rPr>
              <w:t>塔峰镇：</w:t>
            </w:r>
          </w:p>
          <w:p w14:paraId="67C1A3F3">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原生态红线/水土流失敏感区/森林公园/生物多样性保护功能重要区）；水环境优先保护区/水环境工业污染重点管控区/水环境一般管控区；大气环境优先保护区/大气环境高排放重点管控区/大气环境受体敏感重点管控区/大气环境弱扩散重点管控区；农用地优先保护区/建设用地重点管控区/其他重点管控区/一般管控区；高污染燃料禁燃区</w:t>
            </w:r>
          </w:p>
          <w:p w14:paraId="53F94111">
            <w:pPr>
              <w:rPr>
                <w:rFonts w:ascii="Times New Roman" w:hAnsi="Times New Roman" w:eastAsia="仿宋" w:cs="Times New Roman"/>
                <w:kern w:val="0"/>
                <w:szCs w:val="21"/>
              </w:rPr>
            </w:pPr>
            <w:r>
              <w:rPr>
                <w:rFonts w:ascii="Times New Roman" w:hAnsi="Times New Roman" w:eastAsia="仿宋" w:cs="Times New Roman"/>
                <w:b/>
                <w:szCs w:val="21"/>
              </w:rPr>
              <w:t>太平圩镇：</w:t>
            </w:r>
          </w:p>
          <w:p w14:paraId="745AE3C9">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湿地公园/水土流失敏感区/三区三线生态红线/石漠化敏感区）；水环境优先保护区/水环境其他重点管控区/水环境一般管控区；大气环境优先保护区/大气环境受体敏感重点管控区/大气环境弱扩散重点管控区；农用地优先保护区/建设用地重点管控区/其他重点管控区/一般管控区</w:t>
            </w:r>
          </w:p>
        </w:tc>
      </w:tr>
      <w:tr w14:paraId="64D6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3C5B60F">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333" w:type="dxa"/>
            <w:gridSpan w:val="9"/>
            <w:vAlign w:val="center"/>
          </w:tcPr>
          <w:p w14:paraId="6ABA296C">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562" w:type="dxa"/>
            <w:gridSpan w:val="2"/>
            <w:vAlign w:val="center"/>
          </w:tcPr>
          <w:p w14:paraId="70734DB0">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DB9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4DD4A2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333" w:type="dxa"/>
            <w:gridSpan w:val="9"/>
            <w:vAlign w:val="center"/>
          </w:tcPr>
          <w:p w14:paraId="27772AB7">
            <w:pPr>
              <w:pStyle w:val="55"/>
              <w:rPr>
                <w:rFonts w:eastAsia="仿宋"/>
                <w:szCs w:val="21"/>
              </w:rPr>
            </w:pPr>
            <w:r>
              <w:rPr>
                <w:rFonts w:eastAsia="仿宋"/>
                <w:szCs w:val="21"/>
              </w:rPr>
              <w:t>（1.1）产业准入应严格执行国家、省级关于主体功能区划的环境保护及产业准入负面清单要求。</w:t>
            </w:r>
          </w:p>
          <w:p w14:paraId="68565CE5">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3562" w:type="dxa"/>
            <w:gridSpan w:val="2"/>
            <w:vMerge w:val="restart"/>
            <w:vAlign w:val="center"/>
          </w:tcPr>
          <w:p w14:paraId="199844A0">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w:t>
            </w:r>
          </w:p>
          <w:p w14:paraId="17E2359B">
            <w:pPr>
              <w:rPr>
                <w:rFonts w:ascii="Times New Roman" w:hAnsi="Times New Roman" w:eastAsia="仿宋" w:cs="Times New Roman"/>
                <w:szCs w:val="21"/>
              </w:rPr>
            </w:pPr>
            <w:r>
              <w:rPr>
                <w:rFonts w:ascii="Times New Roman" w:hAnsi="Times New Roman" w:eastAsia="仿宋" w:cs="Times New Roman"/>
                <w:szCs w:val="21"/>
              </w:rPr>
              <w:t>（2.1）蓝山县生态环境保护委员会关于印发《蓝山县大气特护期污染防治工作方案》的通知（蓝生环委发〔2022〕6号）；</w:t>
            </w:r>
          </w:p>
          <w:p w14:paraId="38DBFCC1">
            <w:pPr>
              <w:rPr>
                <w:rFonts w:ascii="Times New Roman" w:hAnsi="Times New Roman" w:eastAsia="仿宋" w:cs="Times New Roman"/>
                <w:szCs w:val="21"/>
              </w:rPr>
            </w:pPr>
            <w:r>
              <w:rPr>
                <w:rFonts w:ascii="Times New Roman" w:hAnsi="Times New Roman" w:eastAsia="仿宋" w:cs="Times New Roman"/>
                <w:szCs w:val="21"/>
              </w:rPr>
              <w:t>（2.2）（2.3）（3.1）《蓝山县“十四五”生态环境保护规划》；</w:t>
            </w:r>
          </w:p>
          <w:p w14:paraId="7BC236CA">
            <w:pPr>
              <w:rPr>
                <w:rFonts w:ascii="Times New Roman" w:hAnsi="Times New Roman" w:eastAsia="仿宋" w:cs="Times New Roman"/>
                <w:szCs w:val="21"/>
              </w:rPr>
            </w:pPr>
            <w:r>
              <w:rPr>
                <w:rFonts w:ascii="Times New Roman" w:hAnsi="Times New Roman" w:eastAsia="仿宋" w:cs="Times New Roman"/>
                <w:szCs w:val="21"/>
              </w:rPr>
              <w:t>（3.3）蓝山县人民政府办公室关于印发《蓝山县突发环境事件应急预案》和《蓝山县重污染天气应急预案（试行）》的通知（蓝政办发〔2019〕15号）；</w:t>
            </w:r>
          </w:p>
          <w:p w14:paraId="31734280">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045586A4">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5B98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CD0EF4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333" w:type="dxa"/>
            <w:gridSpan w:val="9"/>
            <w:vAlign w:val="center"/>
          </w:tcPr>
          <w:p w14:paraId="6074E596">
            <w:pPr>
              <w:pStyle w:val="55"/>
              <w:rPr>
                <w:rFonts w:eastAsia="仿宋"/>
                <w:szCs w:val="21"/>
              </w:rPr>
            </w:pPr>
            <w:r>
              <w:rPr>
                <w:rFonts w:eastAsia="仿宋"/>
                <w:szCs w:val="21"/>
              </w:rPr>
              <w:t>（2.1）禁止农作物秸秆、建筑废弃物等露天焚烧。</w:t>
            </w:r>
          </w:p>
          <w:p w14:paraId="0D627F33">
            <w:pPr>
              <w:ind w:firstLine="420" w:firstLineChars="200"/>
              <w:rPr>
                <w:rFonts w:ascii="Times New Roman" w:hAnsi="Times New Roman" w:eastAsia="仿宋" w:cs="Times New Roman"/>
                <w:szCs w:val="21"/>
              </w:rPr>
            </w:pPr>
            <w:r>
              <w:rPr>
                <w:rFonts w:ascii="Times New Roman" w:hAnsi="Times New Roman" w:eastAsia="仿宋" w:cs="Times New Roman"/>
                <w:szCs w:val="21"/>
              </w:rPr>
              <w:t>（2.2）全面推进农村环境综合整治。因地制宜地开展农村污水、垃圾污染治理。</w:t>
            </w:r>
          </w:p>
          <w:p w14:paraId="38D4CF01">
            <w:pPr>
              <w:ind w:firstLine="420" w:firstLineChars="200"/>
              <w:rPr>
                <w:rFonts w:ascii="Times New Roman" w:hAnsi="Times New Roman" w:eastAsia="仿宋" w:cs="Times New Roman"/>
                <w:szCs w:val="21"/>
              </w:rPr>
            </w:pPr>
            <w:r>
              <w:rPr>
                <w:rFonts w:ascii="Times New Roman" w:hAnsi="Times New Roman" w:eastAsia="仿宋" w:cs="Times New Roman"/>
                <w:szCs w:val="21"/>
              </w:rPr>
              <w:t>（2.3）禁止使用剧毒、高残留性农药，大力提倡使用高效、低毒、低残留农药，提倡科学施肥、科学用药，推广采用生物农药和生物防治技术。加大农药残余的监督管理力度。</w:t>
            </w:r>
          </w:p>
          <w:p w14:paraId="68EF0F9C">
            <w:pPr>
              <w:ind w:firstLine="420" w:firstLineChars="200"/>
              <w:rPr>
                <w:rFonts w:ascii="Times New Roman" w:hAnsi="Times New Roman" w:eastAsia="仿宋" w:cs="Times New Roman"/>
                <w:szCs w:val="21"/>
              </w:rPr>
            </w:pPr>
            <w:r>
              <w:rPr>
                <w:rFonts w:ascii="Times New Roman" w:hAnsi="Times New Roman" w:eastAsia="仿宋" w:cs="Times New Roman"/>
                <w:szCs w:val="21"/>
              </w:rPr>
              <w:t>（2.4）太平圩镇：铸造企业应当对大气污染物进行收集处理，避免造成大气污染；对锰铁矿开采区实施生态修复。</w:t>
            </w:r>
          </w:p>
        </w:tc>
        <w:tc>
          <w:tcPr>
            <w:tcW w:w="3562" w:type="dxa"/>
            <w:gridSpan w:val="2"/>
            <w:vMerge w:val="continue"/>
            <w:vAlign w:val="center"/>
          </w:tcPr>
          <w:p w14:paraId="7733C27D">
            <w:pPr>
              <w:rPr>
                <w:rFonts w:ascii="Times New Roman" w:hAnsi="Times New Roman" w:eastAsia="仿宋" w:cs="Times New Roman"/>
                <w:szCs w:val="21"/>
              </w:rPr>
            </w:pPr>
          </w:p>
        </w:tc>
      </w:tr>
      <w:tr w14:paraId="7076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5DCD6F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333" w:type="dxa"/>
            <w:gridSpan w:val="9"/>
            <w:vAlign w:val="center"/>
          </w:tcPr>
          <w:p w14:paraId="4CD2B60D">
            <w:pPr>
              <w:ind w:firstLine="420" w:firstLineChars="200"/>
              <w:rPr>
                <w:rFonts w:ascii="Times New Roman" w:hAnsi="Times New Roman" w:eastAsia="仿宋" w:cs="Times New Roman"/>
                <w:szCs w:val="21"/>
              </w:rPr>
            </w:pPr>
            <w:r>
              <w:rPr>
                <w:rFonts w:ascii="Times New Roman" w:hAnsi="Times New Roman" w:eastAsia="仿宋" w:cs="Times New Roman"/>
                <w:szCs w:val="21"/>
              </w:rPr>
              <w:t>（3.1）加强农村集中式饮用水水源地环境监管，依法取缔农村集中式饮用水源保护区内违法建设项目和排污口，防止水源污染事故的发生。</w:t>
            </w:r>
          </w:p>
          <w:p w14:paraId="1BB4C266">
            <w:pPr>
              <w:ind w:firstLine="420" w:firstLineChars="200"/>
              <w:rPr>
                <w:rFonts w:ascii="Times New Roman" w:hAnsi="Times New Roman" w:eastAsia="仿宋" w:cs="Times New Roman"/>
                <w:szCs w:val="21"/>
              </w:rPr>
            </w:pPr>
            <w:bookmarkStart w:id="67" w:name="_Hlk58579917"/>
            <w:r>
              <w:rPr>
                <w:rFonts w:ascii="Times New Roman" w:hAnsi="Times New Roman" w:eastAsia="仿宋" w:cs="Times New Roman"/>
                <w:szCs w:val="21"/>
              </w:rPr>
              <w:t>（3.2）</w:t>
            </w:r>
            <w:r>
              <w:rPr>
                <w:rFonts w:ascii="Times New Roman" w:hAnsi="Times New Roman" w:eastAsia="仿宋" w:cs="Times New Roman"/>
                <w:b/>
                <w:bCs/>
                <w:szCs w:val="21"/>
              </w:rPr>
              <w:t>太平圩镇：</w:t>
            </w:r>
            <w:r>
              <w:rPr>
                <w:rFonts w:ascii="Times New Roman" w:hAnsi="Times New Roman" w:eastAsia="仿宋" w:cs="Times New Roman"/>
                <w:szCs w:val="21"/>
              </w:rPr>
              <w:t>锰铁矿开采企业应做好生态修复、水土保持以及防渗措施，保护生态环境，防治重金属污染。</w:t>
            </w:r>
            <w:bookmarkEnd w:id="67"/>
          </w:p>
          <w:p w14:paraId="338D4C1A">
            <w:pPr>
              <w:ind w:firstLine="420" w:firstLineChars="200"/>
              <w:rPr>
                <w:rFonts w:ascii="Times New Roman" w:hAnsi="Times New Roman" w:eastAsia="仿宋" w:cs="Times New Roman"/>
                <w:szCs w:val="21"/>
              </w:rPr>
            </w:pPr>
            <w:r>
              <w:rPr>
                <w:rFonts w:ascii="Times New Roman" w:hAnsi="Times New Roman" w:eastAsia="仿宋" w:cs="Times New Roman"/>
                <w:szCs w:val="21"/>
              </w:rPr>
              <w:t>（3.3）按蓝山县突发环境事件应急预案有关要求执行。</w:t>
            </w:r>
          </w:p>
        </w:tc>
        <w:tc>
          <w:tcPr>
            <w:tcW w:w="3562" w:type="dxa"/>
            <w:gridSpan w:val="2"/>
            <w:vMerge w:val="continue"/>
            <w:vAlign w:val="center"/>
          </w:tcPr>
          <w:p w14:paraId="66493E9E">
            <w:pPr>
              <w:rPr>
                <w:rFonts w:ascii="Times New Roman" w:hAnsi="Times New Roman" w:eastAsia="仿宋" w:cs="Times New Roman"/>
                <w:szCs w:val="21"/>
              </w:rPr>
            </w:pPr>
          </w:p>
        </w:tc>
      </w:tr>
      <w:tr w14:paraId="16D5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544D55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333" w:type="dxa"/>
            <w:gridSpan w:val="9"/>
            <w:vAlign w:val="center"/>
          </w:tcPr>
          <w:p w14:paraId="52BB0F59">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7E6B21DE">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6F6DF416">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3562" w:type="dxa"/>
            <w:gridSpan w:val="2"/>
            <w:vMerge w:val="continue"/>
            <w:vAlign w:val="center"/>
          </w:tcPr>
          <w:p w14:paraId="53DE6831">
            <w:pPr>
              <w:rPr>
                <w:rFonts w:ascii="Times New Roman" w:hAnsi="Times New Roman" w:eastAsia="仿宋" w:cs="Times New Roman"/>
                <w:szCs w:val="21"/>
              </w:rPr>
            </w:pPr>
          </w:p>
        </w:tc>
      </w:tr>
    </w:tbl>
    <w:p w14:paraId="0D4923C0">
      <w:pPr>
        <w:widowControl/>
        <w:jc w:val="left"/>
        <w:rPr>
          <w:rFonts w:ascii="Times New Roman" w:hAnsi="Times New Roman" w:eastAsia="仿宋" w:cs="Times New Roman"/>
          <w:b/>
          <w:szCs w:val="21"/>
        </w:rPr>
      </w:pPr>
    </w:p>
    <w:p w14:paraId="2418CECB">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0"/>
        <w:gridCol w:w="425"/>
        <w:gridCol w:w="425"/>
        <w:gridCol w:w="426"/>
        <w:gridCol w:w="850"/>
        <w:gridCol w:w="1134"/>
        <w:gridCol w:w="1701"/>
        <w:gridCol w:w="992"/>
        <w:gridCol w:w="1242"/>
        <w:gridCol w:w="1597"/>
        <w:gridCol w:w="2287"/>
      </w:tblGrid>
      <w:tr w14:paraId="6748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FF71FD8">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980" w:type="dxa"/>
            <w:vMerge w:val="restart"/>
            <w:vAlign w:val="center"/>
          </w:tcPr>
          <w:p w14:paraId="527AD437">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276" w:type="dxa"/>
            <w:gridSpan w:val="3"/>
            <w:vAlign w:val="center"/>
          </w:tcPr>
          <w:p w14:paraId="374D4B65">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850" w:type="dxa"/>
            <w:vMerge w:val="restart"/>
            <w:vAlign w:val="center"/>
          </w:tcPr>
          <w:p w14:paraId="1B674182">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4195176A">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701" w:type="dxa"/>
            <w:vMerge w:val="restart"/>
            <w:vAlign w:val="center"/>
          </w:tcPr>
          <w:p w14:paraId="64E4094B">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00B37F04">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839" w:type="dxa"/>
            <w:gridSpan w:val="2"/>
            <w:vMerge w:val="restart"/>
            <w:vAlign w:val="center"/>
          </w:tcPr>
          <w:p w14:paraId="5EA9B5A3">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287" w:type="dxa"/>
            <w:vMerge w:val="restart"/>
            <w:vAlign w:val="center"/>
          </w:tcPr>
          <w:p w14:paraId="23F035BB">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vertAlign w:val="superscript"/>
              </w:rPr>
              <w:t>①</w:t>
            </w:r>
          </w:p>
        </w:tc>
      </w:tr>
      <w:tr w14:paraId="1DDD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708D9732">
            <w:pPr>
              <w:jc w:val="center"/>
              <w:rPr>
                <w:rFonts w:ascii="Times New Roman" w:hAnsi="Times New Roman" w:eastAsia="仿宋" w:cs="Times New Roman"/>
                <w:b/>
                <w:szCs w:val="21"/>
              </w:rPr>
            </w:pPr>
          </w:p>
        </w:tc>
        <w:tc>
          <w:tcPr>
            <w:tcW w:w="1980" w:type="dxa"/>
            <w:vMerge w:val="continue"/>
            <w:vAlign w:val="center"/>
          </w:tcPr>
          <w:p w14:paraId="74686338">
            <w:pPr>
              <w:jc w:val="center"/>
              <w:rPr>
                <w:rFonts w:ascii="Times New Roman" w:hAnsi="Times New Roman" w:eastAsia="仿宋" w:cs="Times New Roman"/>
                <w:b/>
                <w:szCs w:val="21"/>
              </w:rPr>
            </w:pPr>
          </w:p>
        </w:tc>
        <w:tc>
          <w:tcPr>
            <w:tcW w:w="425" w:type="dxa"/>
            <w:vAlign w:val="center"/>
          </w:tcPr>
          <w:p w14:paraId="6B8BBC3E">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3357E192">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6" w:type="dxa"/>
            <w:vAlign w:val="center"/>
          </w:tcPr>
          <w:p w14:paraId="5BA78358">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850" w:type="dxa"/>
            <w:vMerge w:val="continue"/>
            <w:vAlign w:val="center"/>
          </w:tcPr>
          <w:p w14:paraId="68318BB6">
            <w:pPr>
              <w:jc w:val="center"/>
              <w:rPr>
                <w:rFonts w:ascii="Times New Roman" w:hAnsi="Times New Roman" w:eastAsia="仿宋" w:cs="Times New Roman"/>
                <w:b/>
                <w:szCs w:val="21"/>
              </w:rPr>
            </w:pPr>
          </w:p>
        </w:tc>
        <w:tc>
          <w:tcPr>
            <w:tcW w:w="1134" w:type="dxa"/>
            <w:vMerge w:val="continue"/>
            <w:vAlign w:val="center"/>
          </w:tcPr>
          <w:p w14:paraId="0E89859B">
            <w:pPr>
              <w:jc w:val="center"/>
              <w:rPr>
                <w:rFonts w:ascii="Times New Roman" w:hAnsi="Times New Roman" w:eastAsia="仿宋" w:cs="Times New Roman"/>
                <w:b/>
                <w:szCs w:val="21"/>
              </w:rPr>
            </w:pPr>
          </w:p>
        </w:tc>
        <w:tc>
          <w:tcPr>
            <w:tcW w:w="1701" w:type="dxa"/>
            <w:vMerge w:val="continue"/>
            <w:vAlign w:val="center"/>
          </w:tcPr>
          <w:p w14:paraId="06C06275">
            <w:pPr>
              <w:jc w:val="center"/>
              <w:rPr>
                <w:rFonts w:ascii="Times New Roman" w:hAnsi="Times New Roman" w:eastAsia="仿宋" w:cs="Times New Roman"/>
                <w:b/>
                <w:szCs w:val="21"/>
              </w:rPr>
            </w:pPr>
          </w:p>
        </w:tc>
        <w:tc>
          <w:tcPr>
            <w:tcW w:w="992" w:type="dxa"/>
            <w:vMerge w:val="continue"/>
            <w:vAlign w:val="center"/>
          </w:tcPr>
          <w:p w14:paraId="4AB00813">
            <w:pPr>
              <w:jc w:val="center"/>
              <w:rPr>
                <w:rFonts w:ascii="Times New Roman" w:hAnsi="Times New Roman" w:eastAsia="仿宋" w:cs="Times New Roman"/>
                <w:b/>
                <w:szCs w:val="21"/>
              </w:rPr>
            </w:pPr>
          </w:p>
        </w:tc>
        <w:tc>
          <w:tcPr>
            <w:tcW w:w="2839" w:type="dxa"/>
            <w:gridSpan w:val="2"/>
            <w:vMerge w:val="continue"/>
            <w:vAlign w:val="center"/>
          </w:tcPr>
          <w:p w14:paraId="016F597A">
            <w:pPr>
              <w:jc w:val="center"/>
              <w:rPr>
                <w:rFonts w:ascii="Times New Roman" w:hAnsi="Times New Roman" w:eastAsia="仿宋" w:cs="Times New Roman"/>
                <w:b/>
                <w:szCs w:val="21"/>
              </w:rPr>
            </w:pPr>
          </w:p>
        </w:tc>
        <w:tc>
          <w:tcPr>
            <w:tcW w:w="2287" w:type="dxa"/>
            <w:vMerge w:val="continue"/>
            <w:vAlign w:val="center"/>
          </w:tcPr>
          <w:p w14:paraId="5FD90889">
            <w:pPr>
              <w:jc w:val="center"/>
              <w:rPr>
                <w:rFonts w:ascii="Times New Roman" w:hAnsi="Times New Roman" w:eastAsia="仿宋" w:cs="Times New Roman"/>
                <w:b/>
                <w:szCs w:val="21"/>
              </w:rPr>
            </w:pPr>
          </w:p>
        </w:tc>
      </w:tr>
      <w:tr w14:paraId="6670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68B96D36">
            <w:pPr>
              <w:jc w:val="center"/>
              <w:rPr>
                <w:rFonts w:ascii="Times New Roman" w:hAnsi="Times New Roman" w:eastAsia="仿宋" w:cs="Times New Roman"/>
                <w:szCs w:val="21"/>
              </w:rPr>
            </w:pPr>
            <w:r>
              <w:rPr>
                <w:rFonts w:ascii="Times New Roman" w:hAnsi="Times New Roman" w:eastAsia="仿宋" w:cs="Times New Roman"/>
                <w:szCs w:val="21"/>
              </w:rPr>
              <w:t>ZH43112710002</w:t>
            </w:r>
          </w:p>
        </w:tc>
        <w:tc>
          <w:tcPr>
            <w:tcW w:w="1980" w:type="dxa"/>
            <w:vAlign w:val="center"/>
          </w:tcPr>
          <w:p w14:paraId="1C638E85">
            <w:pPr>
              <w:jc w:val="center"/>
              <w:rPr>
                <w:rFonts w:ascii="Times New Roman" w:hAnsi="Times New Roman" w:eastAsia="仿宋" w:cs="Times New Roman"/>
                <w:szCs w:val="21"/>
              </w:rPr>
            </w:pPr>
            <w:r>
              <w:rPr>
                <w:rFonts w:ascii="Times New Roman" w:hAnsi="Times New Roman" w:eastAsia="仿宋" w:cs="Times New Roman"/>
                <w:szCs w:val="21"/>
              </w:rPr>
              <w:t>汇源瑶族乡/浆洞瑶族乡/所城镇</w:t>
            </w:r>
          </w:p>
        </w:tc>
        <w:tc>
          <w:tcPr>
            <w:tcW w:w="425" w:type="dxa"/>
            <w:vAlign w:val="center"/>
          </w:tcPr>
          <w:p w14:paraId="7E534851">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013181DF">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6" w:type="dxa"/>
            <w:vAlign w:val="center"/>
          </w:tcPr>
          <w:p w14:paraId="655FCEB7">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850" w:type="dxa"/>
            <w:vAlign w:val="center"/>
          </w:tcPr>
          <w:p w14:paraId="2B1BD41C">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34" w:type="dxa"/>
            <w:vAlign w:val="center"/>
          </w:tcPr>
          <w:p w14:paraId="6DCAE9E0">
            <w:pPr>
              <w:jc w:val="center"/>
              <w:rPr>
                <w:rFonts w:ascii="Times New Roman" w:hAnsi="Times New Roman" w:eastAsia="仿宋" w:cs="Times New Roman"/>
                <w:szCs w:val="21"/>
              </w:rPr>
            </w:pPr>
            <w:r>
              <w:rPr>
                <w:rFonts w:ascii="Times New Roman" w:hAnsi="Times New Roman" w:eastAsia="仿宋" w:cs="Times New Roman"/>
                <w:szCs w:val="21"/>
              </w:rPr>
              <w:t>392.79</w:t>
            </w:r>
          </w:p>
        </w:tc>
        <w:tc>
          <w:tcPr>
            <w:tcW w:w="1701" w:type="dxa"/>
            <w:vAlign w:val="center"/>
          </w:tcPr>
          <w:p w14:paraId="74E85A8E">
            <w:pPr>
              <w:jc w:val="center"/>
              <w:rPr>
                <w:rFonts w:ascii="Times New Roman" w:hAnsi="Times New Roman" w:eastAsia="仿宋" w:cs="Times New Roman"/>
                <w:szCs w:val="21"/>
              </w:rPr>
            </w:pPr>
            <w:r>
              <w:rPr>
                <w:rFonts w:ascii="Times New Roman" w:hAnsi="Times New Roman" w:eastAsia="仿宋" w:cs="Times New Roman"/>
                <w:szCs w:val="21"/>
              </w:rPr>
              <w:t>汇源瑶族乡/浆洞瑶族乡/所城镇</w:t>
            </w:r>
          </w:p>
        </w:tc>
        <w:tc>
          <w:tcPr>
            <w:tcW w:w="992" w:type="dxa"/>
            <w:vAlign w:val="center"/>
          </w:tcPr>
          <w:p w14:paraId="24E72045">
            <w:pPr>
              <w:jc w:val="center"/>
              <w:rPr>
                <w:rFonts w:ascii="Times New Roman" w:hAnsi="Times New Roman" w:eastAsia="仿宋" w:cs="Times New Roman"/>
                <w:szCs w:val="21"/>
              </w:rPr>
            </w:pPr>
            <w:r>
              <w:rPr>
                <w:rFonts w:ascii="Times New Roman" w:hAnsi="Times New Roman" w:eastAsia="仿宋" w:cs="Times New Roman"/>
                <w:szCs w:val="21"/>
              </w:rPr>
              <w:t>重点生态功能区</w:t>
            </w:r>
          </w:p>
        </w:tc>
        <w:tc>
          <w:tcPr>
            <w:tcW w:w="2839" w:type="dxa"/>
            <w:gridSpan w:val="2"/>
            <w:vAlign w:val="center"/>
          </w:tcPr>
          <w:p w14:paraId="394E00B5">
            <w:pPr>
              <w:pStyle w:val="8"/>
              <w:spacing w:after="0"/>
              <w:rPr>
                <w:rFonts w:eastAsia="仿宋"/>
                <w:kern w:val="2"/>
                <w:sz w:val="21"/>
                <w:szCs w:val="21"/>
              </w:rPr>
            </w:pPr>
            <w:r>
              <w:rPr>
                <w:rFonts w:eastAsia="仿宋"/>
                <w:kern w:val="2"/>
                <w:sz w:val="21"/>
                <w:szCs w:val="21"/>
              </w:rPr>
              <w:t>农业、林业、旅游业、养殖业、风电开发、采矿等。</w:t>
            </w:r>
          </w:p>
        </w:tc>
        <w:tc>
          <w:tcPr>
            <w:tcW w:w="2287" w:type="dxa"/>
            <w:vAlign w:val="center"/>
          </w:tcPr>
          <w:p w14:paraId="60388215">
            <w:pP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5E6118C2">
            <w:pPr>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湖南蓝山舜水河省级湿地公园。</w:t>
            </w:r>
          </w:p>
        </w:tc>
      </w:tr>
      <w:tr w14:paraId="5306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266DB56">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28132219">
            <w:pPr>
              <w:rPr>
                <w:rFonts w:ascii="Times New Roman" w:hAnsi="Times New Roman" w:eastAsia="仿宋" w:cs="Times New Roman"/>
                <w:szCs w:val="21"/>
              </w:rPr>
            </w:pPr>
            <w:r>
              <w:rPr>
                <w:rFonts w:ascii="Times New Roman" w:hAnsi="Times New Roman" w:eastAsia="仿宋" w:cs="Times New Roman"/>
                <w:b/>
                <w:szCs w:val="21"/>
              </w:rPr>
              <w:t>汇源瑶族乡：</w:t>
            </w:r>
          </w:p>
          <w:p w14:paraId="372892EF">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红线/一般生态空间（水源涵养重要区/三区三线生态红线/水土保持功能重要区）；水环境优先保护区/水环境一般管控区；农用地优先保护区/其他重点管控区/一般管控区</w:t>
            </w:r>
          </w:p>
          <w:p w14:paraId="4875E4B3">
            <w:pPr>
              <w:rPr>
                <w:rFonts w:ascii="Times New Roman" w:hAnsi="Times New Roman" w:eastAsia="仿宋" w:cs="Times New Roman"/>
                <w:bCs/>
                <w:szCs w:val="21"/>
              </w:rPr>
            </w:pPr>
            <w:r>
              <w:rPr>
                <w:rFonts w:ascii="Times New Roman" w:hAnsi="Times New Roman" w:eastAsia="仿宋" w:cs="Times New Roman"/>
                <w:b/>
                <w:szCs w:val="21"/>
              </w:rPr>
              <w:t>浆洞瑶族乡：</w:t>
            </w:r>
            <w:r>
              <w:rPr>
                <w:rFonts w:ascii="Times New Roman" w:hAnsi="Times New Roman" w:eastAsia="仿宋" w:cs="Times New Roman"/>
                <w:bCs/>
                <w:szCs w:val="21"/>
              </w:rPr>
              <w:t>红线/一般生态空间（水源涵养重要区/森林公园/三区三线生态红线/原生态红线/水土流失敏感区）；水环境一般管控区；大气环境优先保护区/大气环境受体敏感重点管控区；农用地优先保护区/其他重点管控区/一般管控区</w:t>
            </w:r>
          </w:p>
          <w:p w14:paraId="7A2C0EE8">
            <w:pPr>
              <w:pStyle w:val="8"/>
              <w:spacing w:after="0"/>
              <w:rPr>
                <w:rFonts w:eastAsia="仿宋"/>
                <w:sz w:val="21"/>
                <w:szCs w:val="21"/>
              </w:rPr>
            </w:pPr>
            <w:r>
              <w:rPr>
                <w:rFonts w:eastAsia="仿宋"/>
                <w:b/>
                <w:kern w:val="2"/>
                <w:sz w:val="21"/>
                <w:szCs w:val="21"/>
              </w:rPr>
              <w:t>所城镇</w:t>
            </w:r>
            <w:r>
              <w:rPr>
                <w:rFonts w:eastAsia="仿宋"/>
                <w:b/>
                <w:bCs/>
                <w:sz w:val="21"/>
                <w:szCs w:val="21"/>
              </w:rPr>
              <w:t>：</w:t>
            </w:r>
          </w:p>
          <w:p w14:paraId="50CA5432">
            <w:pPr>
              <w:pStyle w:val="8"/>
              <w:spacing w:after="0"/>
              <w:rPr>
                <w:rFonts w:eastAsia="仿宋"/>
                <w:sz w:val="21"/>
                <w:szCs w:val="21"/>
              </w:rPr>
            </w:pPr>
            <w:r>
              <w:rPr>
                <w:rFonts w:eastAsia="仿宋"/>
                <w:sz w:val="21"/>
                <w:szCs w:val="21"/>
              </w:rPr>
              <w:t>红线/一般生态空间（水源涵养重要区/三区三线生态红线/湿地公园/原生态红线/水土流失敏感区/森林公园/水土保持功能重要区）；水环境优先保护区/水环境一般管控区；大气环境优先保护区/大气环境受体敏感重点管控区；农用地优先保护区/建设用地重点管控区/其他重点管控区/一般管控区</w:t>
            </w:r>
          </w:p>
        </w:tc>
      </w:tr>
      <w:tr w14:paraId="52C8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EDC7F95">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175" w:type="dxa"/>
            <w:gridSpan w:val="9"/>
            <w:vAlign w:val="center"/>
          </w:tcPr>
          <w:p w14:paraId="426ECF6E">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884" w:type="dxa"/>
            <w:gridSpan w:val="2"/>
            <w:vAlign w:val="center"/>
          </w:tcPr>
          <w:p w14:paraId="2BA864B4">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FA3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D4C873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175" w:type="dxa"/>
            <w:gridSpan w:val="9"/>
            <w:vAlign w:val="center"/>
          </w:tcPr>
          <w:p w14:paraId="70D1A262">
            <w:pPr>
              <w:pStyle w:val="55"/>
              <w:rPr>
                <w:rFonts w:eastAsia="仿宋"/>
                <w:szCs w:val="21"/>
              </w:rPr>
            </w:pPr>
            <w:r>
              <w:rPr>
                <w:rFonts w:eastAsia="仿宋"/>
                <w:szCs w:val="21"/>
              </w:rPr>
              <w:t>（1.1）产业准入应严格执行国家、省级关于主体功能区划的环境保护及产业准入负面清单要求。</w:t>
            </w:r>
          </w:p>
          <w:p w14:paraId="2B078FC5">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3884" w:type="dxa"/>
            <w:gridSpan w:val="2"/>
            <w:vMerge w:val="restart"/>
            <w:vAlign w:val="center"/>
          </w:tcPr>
          <w:p w14:paraId="2974316A">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关于印发《蓝山县畜禽养殖污染防治规划（2021-2025年）的通知》（蓝生环委办发〔2022〕16号）；</w:t>
            </w:r>
          </w:p>
          <w:p w14:paraId="21024BC4">
            <w:pPr>
              <w:rPr>
                <w:rFonts w:ascii="Times New Roman" w:hAnsi="Times New Roman" w:eastAsia="仿宋" w:cs="Times New Roman"/>
                <w:szCs w:val="21"/>
              </w:rPr>
            </w:pPr>
            <w:r>
              <w:rPr>
                <w:rFonts w:ascii="Times New Roman" w:hAnsi="Times New Roman" w:eastAsia="仿宋" w:cs="Times New Roman"/>
                <w:szCs w:val="21"/>
              </w:rPr>
              <w:t>（2.1）（2.2）（2.3）（2.4）（3.1）（3.2）《蓝山县“十四五”生态环境保护规划》；</w:t>
            </w:r>
          </w:p>
          <w:p w14:paraId="05881012">
            <w:pPr>
              <w:rPr>
                <w:rFonts w:ascii="Times New Roman" w:hAnsi="Times New Roman" w:eastAsia="仿宋" w:cs="Times New Roman"/>
                <w:szCs w:val="21"/>
              </w:rPr>
            </w:pPr>
            <w:r>
              <w:rPr>
                <w:rFonts w:ascii="Times New Roman" w:hAnsi="Times New Roman" w:eastAsia="仿宋" w:cs="Times New Roman"/>
                <w:szCs w:val="21"/>
              </w:rPr>
              <w:t>（3.3）蓝山县人民政府办公室关于印发《蓝山县突发环境事件应急预案》和《蓝山县重污染天气应急预案（试行）》的通知（蓝政办发〔2019〕15号）；</w:t>
            </w:r>
          </w:p>
          <w:p w14:paraId="6284111A">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22790B36">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0AF6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3CFD14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175" w:type="dxa"/>
            <w:gridSpan w:val="9"/>
            <w:vAlign w:val="center"/>
          </w:tcPr>
          <w:p w14:paraId="76B4AF29">
            <w:pPr>
              <w:ind w:firstLine="420" w:firstLineChars="200"/>
              <w:rPr>
                <w:rFonts w:ascii="Times New Roman" w:hAnsi="Times New Roman" w:eastAsia="仿宋" w:cs="Times New Roman"/>
                <w:szCs w:val="21"/>
              </w:rPr>
            </w:pPr>
            <w:r>
              <w:rPr>
                <w:rFonts w:ascii="Times New Roman" w:hAnsi="Times New Roman" w:eastAsia="仿宋" w:cs="Times New Roman"/>
                <w:szCs w:val="21"/>
              </w:rPr>
              <w:t>（2.1）实施蓝山县舜水河、俊水河、钟水河、蓝溪水、濛溪水等河流水环境综合整治项目，严格控制湘江源头地区的开发活动，保护自然环境，防止生态退化。深入推进河流整治工作，加强流经蓝山的河流综合整治，改善水环境质量。</w:t>
            </w:r>
          </w:p>
          <w:p w14:paraId="1139A615">
            <w:pPr>
              <w:pStyle w:val="55"/>
              <w:rPr>
                <w:rFonts w:eastAsia="仿宋"/>
                <w:szCs w:val="21"/>
              </w:rPr>
            </w:pPr>
            <w:r>
              <w:rPr>
                <w:rFonts w:eastAsia="仿宋"/>
                <w:szCs w:val="21"/>
              </w:rPr>
              <w:t>（2.2）依法取缔非法采矿、采石和采砂企业。新、改、扩建涉及VOCs排放项目，从原辅材料和工艺过程大力推广使用低（无）VOCs含量的涂料、有机溶剂、胶黏剂、油墨等原辅材料，配套改进生产工艺，强化末端深度治理工艺。</w:t>
            </w:r>
          </w:p>
          <w:p w14:paraId="1C989889">
            <w:pPr>
              <w:ind w:firstLine="420" w:firstLineChars="200"/>
              <w:rPr>
                <w:rFonts w:ascii="Times New Roman" w:hAnsi="Times New Roman" w:eastAsia="仿宋" w:cs="Times New Roman"/>
                <w:szCs w:val="21"/>
              </w:rPr>
            </w:pPr>
            <w:r>
              <w:rPr>
                <w:rFonts w:ascii="Times New Roman" w:hAnsi="Times New Roman" w:eastAsia="仿宋" w:cs="Times New Roman"/>
                <w:szCs w:val="21"/>
              </w:rPr>
              <w:t>（2.3）全面推进农村环境综合整治。因地制宜地开展农村污水、垃圾污染治理。</w:t>
            </w:r>
          </w:p>
        </w:tc>
        <w:tc>
          <w:tcPr>
            <w:tcW w:w="3884" w:type="dxa"/>
            <w:gridSpan w:val="2"/>
            <w:vMerge w:val="continue"/>
            <w:vAlign w:val="center"/>
          </w:tcPr>
          <w:p w14:paraId="64C15B39">
            <w:pPr>
              <w:rPr>
                <w:rFonts w:ascii="Times New Roman" w:hAnsi="Times New Roman" w:eastAsia="仿宋" w:cs="Times New Roman"/>
                <w:szCs w:val="21"/>
              </w:rPr>
            </w:pPr>
          </w:p>
        </w:tc>
      </w:tr>
      <w:tr w14:paraId="3461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3E3394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175" w:type="dxa"/>
            <w:gridSpan w:val="9"/>
            <w:vAlign w:val="center"/>
          </w:tcPr>
          <w:p w14:paraId="29CE46ED">
            <w:pPr>
              <w:ind w:firstLine="420" w:firstLineChars="200"/>
              <w:rPr>
                <w:rFonts w:ascii="Times New Roman" w:hAnsi="Times New Roman" w:eastAsia="仿宋" w:cs="Times New Roman"/>
                <w:szCs w:val="21"/>
              </w:rPr>
            </w:pPr>
            <w:r>
              <w:rPr>
                <w:rFonts w:ascii="Times New Roman" w:hAnsi="Times New Roman" w:eastAsia="仿宋" w:cs="Times New Roman"/>
                <w:szCs w:val="21"/>
              </w:rPr>
              <w:t>（3.1）加强集中式饮用水水源地环境监管，依法取缔保护区内违法建设项目和排污口，防止水源污染事故的发生。</w:t>
            </w:r>
          </w:p>
          <w:p w14:paraId="7C6B9797">
            <w:pPr>
              <w:ind w:firstLine="420" w:firstLineChars="200"/>
              <w:rPr>
                <w:rFonts w:ascii="Times New Roman" w:hAnsi="Times New Roman" w:eastAsia="仿宋" w:cs="Times New Roman"/>
                <w:szCs w:val="21"/>
              </w:rPr>
            </w:pPr>
            <w:r>
              <w:rPr>
                <w:rFonts w:ascii="Times New Roman" w:hAnsi="Times New Roman" w:eastAsia="仿宋" w:cs="Times New Roman"/>
                <w:szCs w:val="21"/>
              </w:rPr>
              <w:t>（3.2）开展土壤环境污染调查。加强污染源、污染地块的监管。</w:t>
            </w:r>
          </w:p>
          <w:p w14:paraId="01CCF5E0">
            <w:pPr>
              <w:ind w:firstLine="420" w:firstLineChars="200"/>
              <w:rPr>
                <w:rFonts w:ascii="Times New Roman" w:hAnsi="Times New Roman" w:eastAsia="仿宋" w:cs="Times New Roman"/>
                <w:szCs w:val="21"/>
              </w:rPr>
            </w:pPr>
            <w:r>
              <w:rPr>
                <w:rFonts w:ascii="Times New Roman" w:hAnsi="Times New Roman" w:eastAsia="仿宋" w:cs="Times New Roman"/>
                <w:szCs w:val="21"/>
              </w:rPr>
              <w:t>（3.3）按蓝山县突发环境事件应急预案有关要求执行。</w:t>
            </w:r>
          </w:p>
        </w:tc>
        <w:tc>
          <w:tcPr>
            <w:tcW w:w="3884" w:type="dxa"/>
            <w:gridSpan w:val="2"/>
            <w:vMerge w:val="continue"/>
            <w:vAlign w:val="center"/>
          </w:tcPr>
          <w:p w14:paraId="5C2BEE0C">
            <w:pPr>
              <w:rPr>
                <w:rFonts w:ascii="Times New Roman" w:hAnsi="Times New Roman" w:eastAsia="仿宋" w:cs="Times New Roman"/>
                <w:szCs w:val="21"/>
              </w:rPr>
            </w:pPr>
          </w:p>
        </w:tc>
      </w:tr>
      <w:tr w14:paraId="72F4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893C98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175" w:type="dxa"/>
            <w:gridSpan w:val="9"/>
            <w:vAlign w:val="center"/>
          </w:tcPr>
          <w:p w14:paraId="47648000">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19EFCAC2">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72ACD13E">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3884" w:type="dxa"/>
            <w:gridSpan w:val="2"/>
            <w:vMerge w:val="continue"/>
            <w:vAlign w:val="center"/>
          </w:tcPr>
          <w:p w14:paraId="00E767E6">
            <w:pPr>
              <w:rPr>
                <w:rFonts w:ascii="Times New Roman" w:hAnsi="Times New Roman" w:eastAsia="仿宋" w:cs="Times New Roman"/>
                <w:szCs w:val="21"/>
              </w:rPr>
            </w:pPr>
          </w:p>
        </w:tc>
      </w:tr>
    </w:tbl>
    <w:p w14:paraId="6FE44243">
      <w:pPr>
        <w:rPr>
          <w:rFonts w:ascii="Times New Roman" w:hAnsi="Times New Roman" w:eastAsia="仿宋" w:cs="Times New Roman"/>
          <w:szCs w:val="21"/>
        </w:rPr>
      </w:pPr>
    </w:p>
    <w:p w14:paraId="244F1725">
      <w:pPr>
        <w:rPr>
          <w:rFonts w:ascii="Times New Roman" w:hAnsi="Times New Roman" w:eastAsia="仿宋" w:cs="Times New Roman"/>
          <w:szCs w:val="21"/>
        </w:rPr>
      </w:pPr>
    </w:p>
    <w:p w14:paraId="7315EF0E">
      <w:pPr>
        <w:rPr>
          <w:rFonts w:ascii="Times New Roman" w:hAnsi="Times New Roman" w:eastAsia="仿宋" w:cs="Times New Roman"/>
          <w:szCs w:val="21"/>
        </w:rPr>
      </w:pPr>
    </w:p>
    <w:p w14:paraId="7B854543">
      <w:pPr>
        <w:rPr>
          <w:rFonts w:ascii="Times New Roman" w:hAnsi="Times New Roman" w:eastAsia="仿宋" w:cs="Times New Roman"/>
          <w:szCs w:val="21"/>
        </w:rPr>
      </w:pPr>
    </w:p>
    <w:p w14:paraId="073523E1">
      <w:pPr>
        <w:rPr>
          <w:rFonts w:ascii="Times New Roman" w:hAnsi="Times New Roman" w:eastAsia="仿宋" w:cs="Times New Roman"/>
          <w:szCs w:val="21"/>
        </w:rPr>
      </w:pPr>
    </w:p>
    <w:p w14:paraId="40CDC8B5">
      <w:pPr>
        <w:rPr>
          <w:rFonts w:ascii="Times New Roman" w:hAnsi="Times New Roman" w:eastAsia="仿宋" w:cs="Times New Roman"/>
          <w:szCs w:val="21"/>
        </w:rPr>
      </w:pPr>
    </w:p>
    <w:p w14:paraId="632753C8">
      <w:pPr>
        <w:rPr>
          <w:rFonts w:ascii="Times New Roman" w:hAnsi="Times New Roman" w:eastAsia="仿宋" w:cs="Times New Roman"/>
          <w:szCs w:val="21"/>
        </w:rPr>
      </w:pPr>
    </w:p>
    <w:p w14:paraId="547D6F51">
      <w:pPr>
        <w:rPr>
          <w:rFonts w:ascii="Times New Roman" w:hAnsi="Times New Roman" w:eastAsia="仿宋" w:cs="Times New Roman"/>
          <w:szCs w:val="21"/>
        </w:rPr>
      </w:pPr>
    </w:p>
    <w:p w14:paraId="2A6E6CF0">
      <w:pPr>
        <w:rPr>
          <w:rFonts w:ascii="Times New Roman" w:hAnsi="Times New Roman" w:eastAsia="仿宋" w:cs="Times New Roman"/>
          <w:szCs w:val="21"/>
        </w:rPr>
      </w:pPr>
    </w:p>
    <w:p w14:paraId="2B39BDB2">
      <w:pPr>
        <w:rPr>
          <w:rFonts w:ascii="Times New Roman" w:hAnsi="Times New Roman" w:eastAsia="仿宋" w:cs="Times New Roman"/>
          <w:szCs w:val="21"/>
        </w:rPr>
      </w:pPr>
    </w:p>
    <w:p w14:paraId="054B3149">
      <w:pPr>
        <w:rPr>
          <w:rFonts w:ascii="Times New Roman" w:hAnsi="Times New Roman" w:eastAsia="仿宋" w:cs="Times New Roman"/>
          <w:szCs w:val="21"/>
        </w:rPr>
      </w:pPr>
    </w:p>
    <w:p w14:paraId="060EE8F6">
      <w:pPr>
        <w:rPr>
          <w:rFonts w:ascii="Times New Roman" w:hAnsi="Times New Roman" w:eastAsia="仿宋" w:cs="Times New Roman"/>
          <w:szCs w:val="21"/>
        </w:rPr>
      </w:pPr>
    </w:p>
    <w:p w14:paraId="38946BE9">
      <w:pPr>
        <w:rPr>
          <w:rFonts w:ascii="Times New Roman" w:hAnsi="Times New Roman" w:eastAsia="仿宋" w:cs="Times New Roman"/>
          <w:szCs w:val="21"/>
        </w:rPr>
      </w:pPr>
    </w:p>
    <w:p w14:paraId="3D74959E">
      <w:pPr>
        <w:rPr>
          <w:rFonts w:ascii="Times New Roman" w:hAnsi="Times New Roman" w:eastAsia="仿宋" w:cs="Times New Roman"/>
          <w:szCs w:val="21"/>
        </w:rPr>
      </w:pPr>
    </w:p>
    <w:p w14:paraId="26AA098E">
      <w:pPr>
        <w:rPr>
          <w:rFonts w:ascii="Times New Roman" w:hAnsi="Times New Roman" w:eastAsia="仿宋" w:cs="Times New Roman"/>
          <w:szCs w:val="21"/>
        </w:rPr>
      </w:pPr>
    </w:p>
    <w:p w14:paraId="647371EA">
      <w:pPr>
        <w:rPr>
          <w:rFonts w:ascii="Times New Roman" w:hAnsi="Times New Roman" w:eastAsia="仿宋" w:cs="Times New Roman"/>
          <w:szCs w:val="21"/>
        </w:rPr>
      </w:pP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0"/>
        <w:gridCol w:w="425"/>
        <w:gridCol w:w="425"/>
        <w:gridCol w:w="426"/>
        <w:gridCol w:w="850"/>
        <w:gridCol w:w="1134"/>
        <w:gridCol w:w="1701"/>
        <w:gridCol w:w="992"/>
        <w:gridCol w:w="1242"/>
        <w:gridCol w:w="1597"/>
        <w:gridCol w:w="2287"/>
      </w:tblGrid>
      <w:tr w14:paraId="32A3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33C8084E">
            <w:pPr>
              <w:jc w:val="center"/>
              <w:rPr>
                <w:rFonts w:ascii="Times New Roman" w:hAnsi="Times New Roman" w:eastAsia="仿宋" w:cs="Times New Roman"/>
                <w:b/>
                <w:szCs w:val="21"/>
              </w:rPr>
            </w:pP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980" w:type="dxa"/>
            <w:vMerge w:val="restart"/>
            <w:vAlign w:val="center"/>
          </w:tcPr>
          <w:p w14:paraId="2140A1FD">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276" w:type="dxa"/>
            <w:gridSpan w:val="3"/>
            <w:vAlign w:val="center"/>
          </w:tcPr>
          <w:p w14:paraId="37161B23">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850" w:type="dxa"/>
            <w:vMerge w:val="restart"/>
            <w:vAlign w:val="center"/>
          </w:tcPr>
          <w:p w14:paraId="49278823">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4F5E875A">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701" w:type="dxa"/>
            <w:vMerge w:val="restart"/>
            <w:vAlign w:val="center"/>
          </w:tcPr>
          <w:p w14:paraId="656E6764">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992" w:type="dxa"/>
            <w:vMerge w:val="restart"/>
            <w:vAlign w:val="center"/>
          </w:tcPr>
          <w:p w14:paraId="2C7255E1">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839" w:type="dxa"/>
            <w:gridSpan w:val="2"/>
            <w:vMerge w:val="restart"/>
            <w:vAlign w:val="center"/>
          </w:tcPr>
          <w:p w14:paraId="37399164">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287" w:type="dxa"/>
            <w:vMerge w:val="restart"/>
            <w:vAlign w:val="center"/>
          </w:tcPr>
          <w:p w14:paraId="51F34940">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vertAlign w:val="superscript"/>
              </w:rPr>
              <w:t>①</w:t>
            </w:r>
          </w:p>
        </w:tc>
      </w:tr>
      <w:tr w14:paraId="44B5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441570D6">
            <w:pPr>
              <w:jc w:val="center"/>
              <w:rPr>
                <w:rFonts w:ascii="Times New Roman" w:hAnsi="Times New Roman" w:eastAsia="仿宋" w:cs="Times New Roman"/>
                <w:b/>
                <w:szCs w:val="21"/>
              </w:rPr>
            </w:pPr>
          </w:p>
        </w:tc>
        <w:tc>
          <w:tcPr>
            <w:tcW w:w="1980" w:type="dxa"/>
            <w:vMerge w:val="continue"/>
            <w:vAlign w:val="center"/>
          </w:tcPr>
          <w:p w14:paraId="588FD5D6">
            <w:pPr>
              <w:jc w:val="center"/>
              <w:rPr>
                <w:rFonts w:ascii="Times New Roman" w:hAnsi="Times New Roman" w:eastAsia="仿宋" w:cs="Times New Roman"/>
                <w:b/>
                <w:szCs w:val="21"/>
              </w:rPr>
            </w:pPr>
          </w:p>
        </w:tc>
        <w:tc>
          <w:tcPr>
            <w:tcW w:w="425" w:type="dxa"/>
            <w:vAlign w:val="center"/>
          </w:tcPr>
          <w:p w14:paraId="169B8E0F">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02EF3249">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6" w:type="dxa"/>
            <w:vAlign w:val="center"/>
          </w:tcPr>
          <w:p w14:paraId="7974CC30">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850" w:type="dxa"/>
            <w:vMerge w:val="continue"/>
            <w:vAlign w:val="center"/>
          </w:tcPr>
          <w:p w14:paraId="6F6A3729">
            <w:pPr>
              <w:jc w:val="center"/>
              <w:rPr>
                <w:rFonts w:ascii="Times New Roman" w:hAnsi="Times New Roman" w:eastAsia="仿宋" w:cs="Times New Roman"/>
                <w:b/>
                <w:szCs w:val="21"/>
              </w:rPr>
            </w:pPr>
          </w:p>
        </w:tc>
        <w:tc>
          <w:tcPr>
            <w:tcW w:w="1134" w:type="dxa"/>
            <w:vMerge w:val="continue"/>
            <w:vAlign w:val="center"/>
          </w:tcPr>
          <w:p w14:paraId="3F80D6E9">
            <w:pPr>
              <w:jc w:val="center"/>
              <w:rPr>
                <w:rFonts w:ascii="Times New Roman" w:hAnsi="Times New Roman" w:eastAsia="仿宋" w:cs="Times New Roman"/>
                <w:b/>
                <w:szCs w:val="21"/>
              </w:rPr>
            </w:pPr>
          </w:p>
        </w:tc>
        <w:tc>
          <w:tcPr>
            <w:tcW w:w="1701" w:type="dxa"/>
            <w:vMerge w:val="continue"/>
            <w:vAlign w:val="center"/>
          </w:tcPr>
          <w:p w14:paraId="4760EFE0">
            <w:pPr>
              <w:jc w:val="center"/>
              <w:rPr>
                <w:rFonts w:ascii="Times New Roman" w:hAnsi="Times New Roman" w:eastAsia="仿宋" w:cs="Times New Roman"/>
                <w:b/>
                <w:szCs w:val="21"/>
              </w:rPr>
            </w:pPr>
          </w:p>
        </w:tc>
        <w:tc>
          <w:tcPr>
            <w:tcW w:w="992" w:type="dxa"/>
            <w:vMerge w:val="continue"/>
            <w:vAlign w:val="center"/>
          </w:tcPr>
          <w:p w14:paraId="6896AD52">
            <w:pPr>
              <w:jc w:val="center"/>
              <w:rPr>
                <w:rFonts w:ascii="Times New Roman" w:hAnsi="Times New Roman" w:eastAsia="仿宋" w:cs="Times New Roman"/>
                <w:b/>
                <w:szCs w:val="21"/>
              </w:rPr>
            </w:pPr>
          </w:p>
        </w:tc>
        <w:tc>
          <w:tcPr>
            <w:tcW w:w="2839" w:type="dxa"/>
            <w:gridSpan w:val="2"/>
            <w:vMerge w:val="continue"/>
            <w:vAlign w:val="center"/>
          </w:tcPr>
          <w:p w14:paraId="5F1EC7FE">
            <w:pPr>
              <w:jc w:val="center"/>
              <w:rPr>
                <w:rFonts w:ascii="Times New Roman" w:hAnsi="Times New Roman" w:eastAsia="仿宋" w:cs="Times New Roman"/>
                <w:b/>
                <w:szCs w:val="21"/>
              </w:rPr>
            </w:pPr>
          </w:p>
        </w:tc>
        <w:tc>
          <w:tcPr>
            <w:tcW w:w="2287" w:type="dxa"/>
            <w:vMerge w:val="continue"/>
            <w:vAlign w:val="center"/>
          </w:tcPr>
          <w:p w14:paraId="53C3D8E8">
            <w:pPr>
              <w:jc w:val="center"/>
              <w:rPr>
                <w:rFonts w:ascii="Times New Roman" w:hAnsi="Times New Roman" w:eastAsia="仿宋" w:cs="Times New Roman"/>
                <w:b/>
                <w:szCs w:val="21"/>
              </w:rPr>
            </w:pPr>
          </w:p>
        </w:tc>
      </w:tr>
      <w:tr w14:paraId="60C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73A46E64">
            <w:pPr>
              <w:jc w:val="center"/>
              <w:rPr>
                <w:rFonts w:ascii="Times New Roman" w:hAnsi="Times New Roman" w:eastAsia="仿宋" w:cs="Times New Roman"/>
                <w:szCs w:val="21"/>
              </w:rPr>
            </w:pPr>
            <w:r>
              <w:rPr>
                <w:rFonts w:ascii="Times New Roman" w:hAnsi="Times New Roman" w:eastAsia="仿宋" w:cs="Times New Roman"/>
                <w:szCs w:val="21"/>
              </w:rPr>
              <w:t>ZH43112710003</w:t>
            </w:r>
          </w:p>
        </w:tc>
        <w:tc>
          <w:tcPr>
            <w:tcW w:w="1980" w:type="dxa"/>
            <w:vAlign w:val="center"/>
          </w:tcPr>
          <w:p w14:paraId="753BC979">
            <w:pPr>
              <w:jc w:val="center"/>
              <w:rPr>
                <w:rFonts w:ascii="Times New Roman" w:hAnsi="Times New Roman" w:eastAsia="仿宋" w:cs="Times New Roman"/>
                <w:szCs w:val="21"/>
              </w:rPr>
            </w:pPr>
            <w:r>
              <w:rPr>
                <w:rFonts w:ascii="Times New Roman" w:hAnsi="Times New Roman" w:eastAsia="仿宋" w:cs="Times New Roman"/>
                <w:szCs w:val="21"/>
              </w:rPr>
              <w:t>大桥瑶族乡/荆竹瑶族乡/湘江源瑶族乡</w:t>
            </w:r>
          </w:p>
        </w:tc>
        <w:tc>
          <w:tcPr>
            <w:tcW w:w="425" w:type="dxa"/>
            <w:vAlign w:val="center"/>
          </w:tcPr>
          <w:p w14:paraId="1C540210">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30D1106F">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6" w:type="dxa"/>
            <w:vAlign w:val="center"/>
          </w:tcPr>
          <w:p w14:paraId="74479B42">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850" w:type="dxa"/>
            <w:vAlign w:val="center"/>
          </w:tcPr>
          <w:p w14:paraId="5A978CE3">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34" w:type="dxa"/>
            <w:vAlign w:val="center"/>
          </w:tcPr>
          <w:p w14:paraId="2BA7F780">
            <w:pPr>
              <w:jc w:val="center"/>
              <w:rPr>
                <w:rFonts w:ascii="Times New Roman" w:hAnsi="Times New Roman" w:eastAsia="仿宋" w:cs="Times New Roman"/>
                <w:szCs w:val="21"/>
              </w:rPr>
            </w:pPr>
            <w:r>
              <w:rPr>
                <w:rFonts w:ascii="Times New Roman" w:hAnsi="Times New Roman" w:eastAsia="仿宋" w:cs="Times New Roman"/>
                <w:szCs w:val="21"/>
              </w:rPr>
              <w:t>468.38</w:t>
            </w:r>
          </w:p>
        </w:tc>
        <w:tc>
          <w:tcPr>
            <w:tcW w:w="1701" w:type="dxa"/>
            <w:vAlign w:val="center"/>
          </w:tcPr>
          <w:p w14:paraId="4D3FF7B7">
            <w:pPr>
              <w:jc w:val="center"/>
              <w:rPr>
                <w:rFonts w:ascii="Times New Roman" w:hAnsi="Times New Roman" w:eastAsia="仿宋" w:cs="Times New Roman"/>
                <w:szCs w:val="21"/>
              </w:rPr>
            </w:pPr>
            <w:r>
              <w:rPr>
                <w:rFonts w:ascii="Times New Roman" w:hAnsi="Times New Roman" w:eastAsia="仿宋" w:cs="Times New Roman"/>
                <w:szCs w:val="21"/>
              </w:rPr>
              <w:t>大桥瑶族乡/荆竹瑶族乡/湘江源瑶族乡</w:t>
            </w:r>
          </w:p>
        </w:tc>
        <w:tc>
          <w:tcPr>
            <w:tcW w:w="992" w:type="dxa"/>
            <w:vAlign w:val="center"/>
          </w:tcPr>
          <w:p w14:paraId="16511EED">
            <w:pPr>
              <w:jc w:val="center"/>
              <w:rPr>
                <w:rFonts w:ascii="Times New Roman" w:hAnsi="Times New Roman" w:eastAsia="仿宋" w:cs="Times New Roman"/>
                <w:szCs w:val="21"/>
              </w:rPr>
            </w:pPr>
            <w:r>
              <w:rPr>
                <w:rFonts w:ascii="Times New Roman" w:hAnsi="Times New Roman" w:eastAsia="仿宋" w:cs="Times New Roman"/>
                <w:szCs w:val="21"/>
              </w:rPr>
              <w:t>重点生态功能区</w:t>
            </w:r>
          </w:p>
        </w:tc>
        <w:tc>
          <w:tcPr>
            <w:tcW w:w="2839" w:type="dxa"/>
            <w:gridSpan w:val="2"/>
            <w:vAlign w:val="center"/>
          </w:tcPr>
          <w:p w14:paraId="3B08C86C">
            <w:pPr>
              <w:pStyle w:val="8"/>
              <w:spacing w:after="0"/>
              <w:rPr>
                <w:rFonts w:eastAsia="仿宋"/>
                <w:kern w:val="2"/>
                <w:sz w:val="21"/>
                <w:szCs w:val="21"/>
              </w:rPr>
            </w:pPr>
            <w:r>
              <w:rPr>
                <w:rFonts w:eastAsia="仿宋"/>
                <w:b/>
                <w:bCs/>
                <w:kern w:val="2"/>
                <w:sz w:val="21"/>
                <w:szCs w:val="21"/>
              </w:rPr>
              <w:t>大桥瑶族乡：</w:t>
            </w:r>
            <w:r>
              <w:rPr>
                <w:rFonts w:eastAsia="仿宋"/>
                <w:kern w:val="2"/>
                <w:sz w:val="21"/>
                <w:szCs w:val="21"/>
              </w:rPr>
              <w:t>农业、养殖业、农副产品加工业、旅游业、风电开发等。</w:t>
            </w:r>
          </w:p>
          <w:p w14:paraId="4A99DF9E">
            <w:pPr>
              <w:pStyle w:val="8"/>
              <w:spacing w:after="0"/>
              <w:rPr>
                <w:rFonts w:eastAsia="仿宋"/>
                <w:kern w:val="2"/>
                <w:sz w:val="21"/>
                <w:szCs w:val="21"/>
              </w:rPr>
            </w:pPr>
            <w:r>
              <w:rPr>
                <w:rFonts w:eastAsia="仿宋"/>
                <w:b/>
                <w:bCs/>
                <w:kern w:val="2"/>
                <w:sz w:val="21"/>
                <w:szCs w:val="21"/>
              </w:rPr>
              <w:t>其他乡镇：</w:t>
            </w:r>
            <w:r>
              <w:rPr>
                <w:rFonts w:eastAsia="仿宋"/>
                <w:kern w:val="2"/>
                <w:sz w:val="21"/>
                <w:szCs w:val="21"/>
              </w:rPr>
              <w:t>农业、林业、旅游业、养殖业、风电开发、采矿等。</w:t>
            </w:r>
          </w:p>
        </w:tc>
        <w:tc>
          <w:tcPr>
            <w:tcW w:w="2287" w:type="dxa"/>
            <w:vAlign w:val="center"/>
          </w:tcPr>
          <w:p w14:paraId="710A2148">
            <w:pP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1A310F20">
            <w:pPr>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湖南湘江源国家森林公园。</w:t>
            </w:r>
          </w:p>
        </w:tc>
      </w:tr>
      <w:tr w14:paraId="2F09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9" w:hRule="atLeast"/>
          <w:jc w:val="center"/>
        </w:trPr>
        <w:tc>
          <w:tcPr>
            <w:tcW w:w="1134" w:type="dxa"/>
            <w:vAlign w:val="center"/>
          </w:tcPr>
          <w:p w14:paraId="5DFECA91">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25C7D632">
            <w:pPr>
              <w:widowControl/>
              <w:rPr>
                <w:rFonts w:ascii="Times New Roman" w:hAnsi="Times New Roman" w:eastAsia="仿宋" w:cs="Times New Roman"/>
                <w:b/>
                <w:szCs w:val="21"/>
              </w:rPr>
            </w:pPr>
            <w:r>
              <w:rPr>
                <w:rFonts w:ascii="Times New Roman" w:hAnsi="Times New Roman" w:eastAsia="仿宋" w:cs="Times New Roman"/>
                <w:b/>
                <w:szCs w:val="21"/>
              </w:rPr>
              <w:t>大桥瑶族乡：</w:t>
            </w:r>
          </w:p>
          <w:p w14:paraId="5BE4F41F">
            <w:pPr>
              <w:widowControl/>
              <w:rPr>
                <w:rFonts w:ascii="Times New Roman" w:hAnsi="Times New Roman" w:eastAsia="仿宋" w:cs="Times New Roman"/>
                <w:bCs/>
                <w:szCs w:val="21"/>
              </w:rPr>
            </w:pPr>
            <w:r>
              <w:rPr>
                <w:rFonts w:ascii="Times New Roman" w:hAnsi="Times New Roman" w:eastAsia="仿宋" w:cs="Times New Roman"/>
                <w:bCs/>
                <w:szCs w:val="21"/>
              </w:rPr>
              <w:t>红线/一般生态空间（水源涵养重要区/森林公园/三区三线生态红线/水土保持功能重要区/原生态红线/生物多样性保护功能重要区/水土流失敏感区）；水环境优先保护区/水环境一般管控区；大气环境优先保护区/大气环境受体敏感重点管控区；农用地优先保护区/建设用地重点管控区/其他重点管控区/一般管控区</w:t>
            </w:r>
          </w:p>
          <w:p w14:paraId="4ECD273F">
            <w:pPr>
              <w:widowControl/>
              <w:rPr>
                <w:rFonts w:ascii="Times New Roman" w:hAnsi="Times New Roman" w:eastAsia="仿宋" w:cs="Times New Roman"/>
                <w:b/>
                <w:szCs w:val="21"/>
              </w:rPr>
            </w:pPr>
            <w:r>
              <w:rPr>
                <w:rFonts w:ascii="Times New Roman" w:hAnsi="Times New Roman" w:eastAsia="仿宋" w:cs="Times New Roman"/>
                <w:b/>
                <w:szCs w:val="21"/>
              </w:rPr>
              <w:t>荆竹瑶族乡：</w:t>
            </w:r>
          </w:p>
          <w:p w14:paraId="0D5EE1F1">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森林公园/风景名胜区/水土保持功能重要区/生物多样性保护功能重要区）；水环境优先保护区/水环境一般管控区；大气环境优先保护区；农用地优先保护区/其他重点管控区/一般管控区</w:t>
            </w:r>
          </w:p>
          <w:p w14:paraId="754D57A2">
            <w:pPr>
              <w:rPr>
                <w:rFonts w:ascii="Times New Roman" w:hAnsi="Times New Roman" w:eastAsia="仿宋" w:cs="Times New Roman"/>
                <w:b/>
                <w:szCs w:val="21"/>
              </w:rPr>
            </w:pPr>
            <w:r>
              <w:rPr>
                <w:rFonts w:ascii="Times New Roman" w:hAnsi="Times New Roman" w:eastAsia="仿宋" w:cs="Times New Roman"/>
                <w:b/>
                <w:szCs w:val="21"/>
              </w:rPr>
              <w:t>湘江源瑶族乡：</w:t>
            </w:r>
          </w:p>
          <w:p w14:paraId="20AE7EE8">
            <w:pPr>
              <w:rPr>
                <w:rFonts w:ascii="Times New Roman" w:hAnsi="Times New Roman" w:eastAsia="仿宋" w:cs="Times New Roman"/>
                <w:szCs w:val="21"/>
              </w:rPr>
            </w:pPr>
            <w:r>
              <w:rPr>
                <w:rFonts w:ascii="Times New Roman" w:hAnsi="Times New Roman" w:eastAsia="仿宋" w:cs="Times New Roman"/>
                <w:szCs w:val="21"/>
              </w:rPr>
              <w:t>红线/一般生态空间（森林公园/水源涵养重要区/三区三线生态红线/水土保持功能重要区/原生态红线/生物多样性保护功能重要区/水土流失敏感区/风景名胜区/自然保护区）；水环境优先保护区/水环境一般管控区；大气环境优先保护区/大气环境受体敏感重点管控区；农用地优先保护区/建设用地重点管控区/其他重点管控区/一般管控区</w:t>
            </w:r>
          </w:p>
        </w:tc>
      </w:tr>
      <w:tr w14:paraId="1B6B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8492284">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175" w:type="dxa"/>
            <w:gridSpan w:val="9"/>
            <w:vAlign w:val="center"/>
          </w:tcPr>
          <w:p w14:paraId="48670A49">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884" w:type="dxa"/>
            <w:gridSpan w:val="2"/>
            <w:vAlign w:val="center"/>
          </w:tcPr>
          <w:p w14:paraId="38364C9A">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633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1134" w:type="dxa"/>
            <w:vAlign w:val="center"/>
          </w:tcPr>
          <w:p w14:paraId="73264EDA">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175" w:type="dxa"/>
            <w:gridSpan w:val="9"/>
            <w:vAlign w:val="center"/>
          </w:tcPr>
          <w:p w14:paraId="338E9D95">
            <w:pPr>
              <w:pStyle w:val="55"/>
              <w:rPr>
                <w:rFonts w:eastAsia="仿宋"/>
                <w:szCs w:val="21"/>
              </w:rPr>
            </w:pPr>
            <w:r>
              <w:rPr>
                <w:rFonts w:eastAsia="仿宋"/>
                <w:szCs w:val="21"/>
              </w:rPr>
              <w:t>（1.1）产业准入应严格执行国家、省级关于主体功能区划的环境保护及产业准入负面清单要求。</w:t>
            </w:r>
          </w:p>
          <w:p w14:paraId="0A5C34AF">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3884" w:type="dxa"/>
            <w:gridSpan w:val="2"/>
            <w:vMerge w:val="restart"/>
            <w:vAlign w:val="center"/>
          </w:tcPr>
          <w:p w14:paraId="0D87188A">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关于印发《蓝山县畜禽养殖污染防治规划（2021-2025年）的通知》（蓝生环委办发〔2022〕16号）；</w:t>
            </w:r>
          </w:p>
          <w:p w14:paraId="1CDD46E2">
            <w:pPr>
              <w:rPr>
                <w:rFonts w:ascii="Times New Roman" w:hAnsi="Times New Roman" w:eastAsia="仿宋" w:cs="Times New Roman"/>
                <w:szCs w:val="21"/>
              </w:rPr>
            </w:pPr>
            <w:r>
              <w:rPr>
                <w:rFonts w:ascii="Times New Roman" w:hAnsi="Times New Roman" w:eastAsia="仿宋" w:cs="Times New Roman"/>
                <w:szCs w:val="21"/>
              </w:rPr>
              <w:t>（2.1）（2.2）（2.3）（2.4）（3.1）（3.2）《蓝山县“十四五”生态环境保护规划》；</w:t>
            </w:r>
          </w:p>
          <w:p w14:paraId="0A90FD58">
            <w:pPr>
              <w:rPr>
                <w:rFonts w:ascii="Times New Roman" w:hAnsi="Times New Roman" w:eastAsia="仿宋" w:cs="Times New Roman"/>
                <w:szCs w:val="21"/>
              </w:rPr>
            </w:pPr>
            <w:r>
              <w:rPr>
                <w:rFonts w:ascii="Times New Roman" w:hAnsi="Times New Roman" w:eastAsia="仿宋" w:cs="Times New Roman"/>
                <w:szCs w:val="21"/>
              </w:rPr>
              <w:t>（3.3）蓝山县人民政府办公室关于印发《蓝山县突发环境事件应急预案》和《蓝山县重污染天气应急预案（试行）》的通知（蓝政办发〔2019〕15号）；</w:t>
            </w:r>
          </w:p>
          <w:p w14:paraId="13DFE299">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5FBC26A8">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3BEB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5FA71E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175" w:type="dxa"/>
            <w:gridSpan w:val="9"/>
            <w:vAlign w:val="center"/>
          </w:tcPr>
          <w:p w14:paraId="4946E0CE">
            <w:pPr>
              <w:ind w:firstLine="420" w:firstLineChars="200"/>
              <w:rPr>
                <w:rFonts w:ascii="Times New Roman" w:hAnsi="Times New Roman" w:eastAsia="仿宋" w:cs="Times New Roman"/>
                <w:szCs w:val="21"/>
              </w:rPr>
            </w:pPr>
            <w:r>
              <w:rPr>
                <w:rFonts w:ascii="Times New Roman" w:hAnsi="Times New Roman" w:eastAsia="仿宋" w:cs="Times New Roman"/>
                <w:szCs w:val="21"/>
              </w:rPr>
              <w:t>（2.1）实施蓝山县舜水河、俊水河、钟水河、蓝溪水、濛溪水等河流水环境综合整治项目，严格控制湘江源头地区的开发活动，保护自然环境，防止生态退化。深入推进河流整治工作，加强流经蓝山的河流综合整治，改善水环境质量。</w:t>
            </w:r>
          </w:p>
          <w:p w14:paraId="04DBFFDB">
            <w:pPr>
              <w:pStyle w:val="55"/>
              <w:rPr>
                <w:rFonts w:eastAsia="仿宋"/>
                <w:szCs w:val="21"/>
              </w:rPr>
            </w:pPr>
            <w:r>
              <w:rPr>
                <w:rFonts w:eastAsia="仿宋"/>
                <w:szCs w:val="21"/>
              </w:rPr>
              <w:t>（2.2）依法取缔非法采矿、采石和采砂企业。新、改、扩建涉及VOCs排放项目，从原辅材料和工艺过程大力推广使用低（无）VOCs含量的涂料、有机溶剂、胶黏剂、油墨等原辅材料，配套改进生产工艺，强化末端深度治理工艺。</w:t>
            </w:r>
          </w:p>
          <w:p w14:paraId="77BB69EE">
            <w:pPr>
              <w:ind w:firstLine="420" w:firstLineChars="200"/>
              <w:rPr>
                <w:rFonts w:ascii="Times New Roman" w:hAnsi="Times New Roman" w:eastAsia="仿宋" w:cs="Times New Roman"/>
                <w:szCs w:val="21"/>
              </w:rPr>
            </w:pPr>
            <w:r>
              <w:rPr>
                <w:rFonts w:ascii="Times New Roman" w:hAnsi="Times New Roman" w:eastAsia="仿宋" w:cs="Times New Roman"/>
                <w:szCs w:val="21"/>
              </w:rPr>
              <w:t>（2.3）全面推进农村环境综合整治。因地制宜地开展农村污水、垃圾污染治理。</w:t>
            </w:r>
          </w:p>
        </w:tc>
        <w:tc>
          <w:tcPr>
            <w:tcW w:w="3884" w:type="dxa"/>
            <w:gridSpan w:val="2"/>
            <w:vMerge w:val="continue"/>
            <w:vAlign w:val="center"/>
          </w:tcPr>
          <w:p w14:paraId="1715753C">
            <w:pPr>
              <w:rPr>
                <w:rFonts w:ascii="Times New Roman" w:hAnsi="Times New Roman" w:eastAsia="仿宋" w:cs="Times New Roman"/>
                <w:szCs w:val="21"/>
              </w:rPr>
            </w:pPr>
          </w:p>
        </w:tc>
      </w:tr>
      <w:tr w14:paraId="1B5F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C66A89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175" w:type="dxa"/>
            <w:gridSpan w:val="9"/>
            <w:vAlign w:val="center"/>
          </w:tcPr>
          <w:p w14:paraId="7D00495E">
            <w:pPr>
              <w:ind w:firstLine="420" w:firstLineChars="200"/>
              <w:rPr>
                <w:rFonts w:ascii="Times New Roman" w:hAnsi="Times New Roman" w:eastAsia="仿宋" w:cs="Times New Roman"/>
                <w:szCs w:val="21"/>
              </w:rPr>
            </w:pPr>
            <w:r>
              <w:rPr>
                <w:rFonts w:ascii="Times New Roman" w:hAnsi="Times New Roman" w:eastAsia="仿宋" w:cs="Times New Roman"/>
                <w:szCs w:val="21"/>
              </w:rPr>
              <w:t>（3.1）加强集中式饮用水水源地环境监管，依法取缔保护区内违法建设项目和排污口，防止水源污染事故的发生。</w:t>
            </w:r>
          </w:p>
          <w:p w14:paraId="52D104DC">
            <w:pPr>
              <w:ind w:firstLine="420" w:firstLineChars="200"/>
              <w:rPr>
                <w:rFonts w:ascii="Times New Roman" w:hAnsi="Times New Roman" w:eastAsia="仿宋" w:cs="Times New Roman"/>
                <w:szCs w:val="21"/>
              </w:rPr>
            </w:pPr>
            <w:r>
              <w:rPr>
                <w:rFonts w:ascii="Times New Roman" w:hAnsi="Times New Roman" w:eastAsia="仿宋" w:cs="Times New Roman"/>
                <w:szCs w:val="21"/>
              </w:rPr>
              <w:t>（3.2）开展土壤环境污染调查。加强污染源、污染地块的监管。</w:t>
            </w:r>
          </w:p>
          <w:p w14:paraId="4B8B822F">
            <w:pPr>
              <w:ind w:firstLine="420" w:firstLineChars="200"/>
              <w:rPr>
                <w:rFonts w:ascii="Times New Roman" w:hAnsi="Times New Roman" w:eastAsia="仿宋" w:cs="Times New Roman"/>
                <w:szCs w:val="21"/>
              </w:rPr>
            </w:pPr>
            <w:r>
              <w:rPr>
                <w:rFonts w:ascii="Times New Roman" w:hAnsi="Times New Roman" w:eastAsia="仿宋" w:cs="Times New Roman"/>
                <w:szCs w:val="21"/>
              </w:rPr>
              <w:t>（3.3）按蓝山县突发环境事件应急预案有关要求执行。</w:t>
            </w:r>
          </w:p>
        </w:tc>
        <w:tc>
          <w:tcPr>
            <w:tcW w:w="3884" w:type="dxa"/>
            <w:gridSpan w:val="2"/>
            <w:vMerge w:val="continue"/>
            <w:vAlign w:val="center"/>
          </w:tcPr>
          <w:p w14:paraId="0E63A38B">
            <w:pPr>
              <w:rPr>
                <w:rFonts w:ascii="Times New Roman" w:hAnsi="Times New Roman" w:eastAsia="仿宋" w:cs="Times New Roman"/>
                <w:szCs w:val="21"/>
              </w:rPr>
            </w:pPr>
          </w:p>
        </w:tc>
      </w:tr>
      <w:tr w14:paraId="4238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27DC52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175" w:type="dxa"/>
            <w:gridSpan w:val="9"/>
            <w:vAlign w:val="center"/>
          </w:tcPr>
          <w:p w14:paraId="0EB855F7">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541CD19B">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237274CB">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，农业用水总量为11457万m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3884" w:type="dxa"/>
            <w:gridSpan w:val="2"/>
            <w:vMerge w:val="continue"/>
            <w:vAlign w:val="center"/>
          </w:tcPr>
          <w:p w14:paraId="548DAFE9">
            <w:pPr>
              <w:rPr>
                <w:rFonts w:ascii="Times New Roman" w:hAnsi="Times New Roman" w:eastAsia="仿宋" w:cs="Times New Roman"/>
                <w:szCs w:val="21"/>
              </w:rPr>
            </w:pPr>
          </w:p>
        </w:tc>
      </w:tr>
    </w:tbl>
    <w:p w14:paraId="50607559">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426"/>
        <w:gridCol w:w="708"/>
        <w:gridCol w:w="1134"/>
        <w:gridCol w:w="1134"/>
        <w:gridCol w:w="1560"/>
        <w:gridCol w:w="2277"/>
        <w:gridCol w:w="1975"/>
        <w:gridCol w:w="2149"/>
      </w:tblGrid>
      <w:tr w14:paraId="3557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2BF93D0B">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61BC0283">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271" w:type="dxa"/>
            <w:gridSpan w:val="3"/>
            <w:vAlign w:val="center"/>
          </w:tcPr>
          <w:p w14:paraId="0186D106">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8" w:type="dxa"/>
            <w:vMerge w:val="restart"/>
            <w:vAlign w:val="center"/>
          </w:tcPr>
          <w:p w14:paraId="4C67572D">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535E328F">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134" w:type="dxa"/>
            <w:vMerge w:val="restart"/>
            <w:vAlign w:val="center"/>
          </w:tcPr>
          <w:p w14:paraId="79BCBC94">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560" w:type="dxa"/>
            <w:vMerge w:val="restart"/>
            <w:vAlign w:val="center"/>
          </w:tcPr>
          <w:p w14:paraId="49B72AE3">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4252" w:type="dxa"/>
            <w:gridSpan w:val="2"/>
            <w:vMerge w:val="restart"/>
            <w:vAlign w:val="center"/>
          </w:tcPr>
          <w:p w14:paraId="1A2CCA56">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149" w:type="dxa"/>
            <w:vMerge w:val="restart"/>
            <w:vAlign w:val="center"/>
          </w:tcPr>
          <w:p w14:paraId="29453FF1">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w:t>
            </w:r>
          </w:p>
        </w:tc>
      </w:tr>
      <w:tr w14:paraId="4AA5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561F529C">
            <w:pPr>
              <w:jc w:val="center"/>
              <w:rPr>
                <w:rFonts w:ascii="Times New Roman" w:hAnsi="Times New Roman" w:eastAsia="仿宋" w:cs="Times New Roman"/>
                <w:b/>
                <w:szCs w:val="21"/>
              </w:rPr>
            </w:pPr>
          </w:p>
        </w:tc>
        <w:tc>
          <w:tcPr>
            <w:tcW w:w="851" w:type="dxa"/>
            <w:vMerge w:val="continue"/>
            <w:vAlign w:val="center"/>
          </w:tcPr>
          <w:p w14:paraId="58BE6C70">
            <w:pPr>
              <w:jc w:val="center"/>
              <w:rPr>
                <w:rFonts w:ascii="Times New Roman" w:hAnsi="Times New Roman" w:eastAsia="仿宋" w:cs="Times New Roman"/>
                <w:b/>
                <w:szCs w:val="21"/>
              </w:rPr>
            </w:pPr>
          </w:p>
        </w:tc>
        <w:tc>
          <w:tcPr>
            <w:tcW w:w="425" w:type="dxa"/>
            <w:vAlign w:val="center"/>
          </w:tcPr>
          <w:p w14:paraId="083D0853">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0" w:type="dxa"/>
            <w:vAlign w:val="center"/>
          </w:tcPr>
          <w:p w14:paraId="4F5E20BD">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6" w:type="dxa"/>
            <w:vAlign w:val="center"/>
          </w:tcPr>
          <w:p w14:paraId="723DA8DF">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708" w:type="dxa"/>
            <w:vMerge w:val="continue"/>
            <w:vAlign w:val="center"/>
          </w:tcPr>
          <w:p w14:paraId="3852EA7A">
            <w:pPr>
              <w:rPr>
                <w:rFonts w:ascii="Times New Roman" w:hAnsi="Times New Roman" w:eastAsia="仿宋" w:cs="Times New Roman"/>
                <w:b/>
                <w:szCs w:val="21"/>
              </w:rPr>
            </w:pPr>
          </w:p>
        </w:tc>
        <w:tc>
          <w:tcPr>
            <w:tcW w:w="1134" w:type="dxa"/>
            <w:vMerge w:val="continue"/>
            <w:vAlign w:val="center"/>
          </w:tcPr>
          <w:p w14:paraId="18977B45">
            <w:pPr>
              <w:rPr>
                <w:rFonts w:ascii="Times New Roman" w:hAnsi="Times New Roman" w:eastAsia="仿宋" w:cs="Times New Roman"/>
                <w:b/>
                <w:szCs w:val="21"/>
              </w:rPr>
            </w:pPr>
          </w:p>
        </w:tc>
        <w:tc>
          <w:tcPr>
            <w:tcW w:w="1134" w:type="dxa"/>
            <w:vMerge w:val="continue"/>
            <w:vAlign w:val="center"/>
          </w:tcPr>
          <w:p w14:paraId="252A4E8B">
            <w:pPr>
              <w:rPr>
                <w:rFonts w:ascii="Times New Roman" w:hAnsi="Times New Roman" w:eastAsia="仿宋" w:cs="Times New Roman"/>
                <w:b/>
                <w:szCs w:val="21"/>
              </w:rPr>
            </w:pPr>
          </w:p>
        </w:tc>
        <w:tc>
          <w:tcPr>
            <w:tcW w:w="1560" w:type="dxa"/>
            <w:vMerge w:val="continue"/>
            <w:vAlign w:val="center"/>
          </w:tcPr>
          <w:p w14:paraId="080B741A">
            <w:pPr>
              <w:rPr>
                <w:rFonts w:ascii="Times New Roman" w:hAnsi="Times New Roman" w:eastAsia="仿宋" w:cs="Times New Roman"/>
                <w:b/>
                <w:szCs w:val="21"/>
              </w:rPr>
            </w:pPr>
          </w:p>
        </w:tc>
        <w:tc>
          <w:tcPr>
            <w:tcW w:w="4252" w:type="dxa"/>
            <w:gridSpan w:val="2"/>
            <w:vMerge w:val="continue"/>
            <w:vAlign w:val="center"/>
          </w:tcPr>
          <w:p w14:paraId="45438875">
            <w:pPr>
              <w:rPr>
                <w:rFonts w:ascii="Times New Roman" w:hAnsi="Times New Roman" w:eastAsia="仿宋" w:cs="Times New Roman"/>
                <w:b/>
                <w:szCs w:val="21"/>
              </w:rPr>
            </w:pPr>
          </w:p>
        </w:tc>
        <w:tc>
          <w:tcPr>
            <w:tcW w:w="2149" w:type="dxa"/>
            <w:vMerge w:val="continue"/>
            <w:vAlign w:val="center"/>
          </w:tcPr>
          <w:p w14:paraId="5D781FE6">
            <w:pPr>
              <w:rPr>
                <w:rFonts w:ascii="Times New Roman" w:hAnsi="Times New Roman" w:eastAsia="仿宋" w:cs="Times New Roman"/>
                <w:b/>
                <w:szCs w:val="21"/>
              </w:rPr>
            </w:pPr>
          </w:p>
        </w:tc>
      </w:tr>
      <w:tr w14:paraId="71BC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1882480A">
            <w:pPr>
              <w:rPr>
                <w:rFonts w:ascii="Times New Roman" w:hAnsi="Times New Roman" w:eastAsia="仿宋" w:cs="Times New Roman"/>
                <w:szCs w:val="21"/>
              </w:rPr>
            </w:pPr>
            <w:r>
              <w:rPr>
                <w:rFonts w:ascii="Times New Roman" w:hAnsi="Times New Roman" w:eastAsia="仿宋" w:cs="Times New Roman"/>
                <w:szCs w:val="21"/>
              </w:rPr>
              <w:t>ZH43112720001</w:t>
            </w:r>
          </w:p>
        </w:tc>
        <w:tc>
          <w:tcPr>
            <w:tcW w:w="851" w:type="dxa"/>
            <w:vAlign w:val="center"/>
          </w:tcPr>
          <w:p w14:paraId="5D317817">
            <w:pPr>
              <w:jc w:val="center"/>
              <w:rPr>
                <w:rFonts w:ascii="Times New Roman" w:hAnsi="Times New Roman" w:eastAsia="仿宋" w:cs="Times New Roman"/>
                <w:szCs w:val="21"/>
              </w:rPr>
            </w:pPr>
            <w:r>
              <w:rPr>
                <w:rFonts w:ascii="Times New Roman" w:hAnsi="Times New Roman" w:eastAsia="仿宋" w:cs="Times New Roman"/>
                <w:szCs w:val="21"/>
              </w:rPr>
              <w:t>楠市镇/土市镇</w:t>
            </w:r>
          </w:p>
        </w:tc>
        <w:tc>
          <w:tcPr>
            <w:tcW w:w="425" w:type="dxa"/>
            <w:vAlign w:val="center"/>
          </w:tcPr>
          <w:p w14:paraId="170BA2E0">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0" w:type="dxa"/>
            <w:vAlign w:val="center"/>
          </w:tcPr>
          <w:p w14:paraId="1CCF2228">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6" w:type="dxa"/>
            <w:vAlign w:val="center"/>
          </w:tcPr>
          <w:p w14:paraId="3F590F1A">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708" w:type="dxa"/>
            <w:vAlign w:val="center"/>
          </w:tcPr>
          <w:p w14:paraId="35DD3638">
            <w:pPr>
              <w:jc w:val="center"/>
              <w:rPr>
                <w:rFonts w:ascii="Times New Roman" w:hAnsi="Times New Roman" w:eastAsia="仿宋" w:cs="Times New Roman"/>
                <w:szCs w:val="21"/>
              </w:rPr>
            </w:pPr>
            <w:r>
              <w:rPr>
                <w:rFonts w:ascii="Times New Roman" w:hAnsi="Times New Roman" w:eastAsia="仿宋" w:cs="Times New Roman"/>
                <w:szCs w:val="21"/>
              </w:rPr>
              <w:t>重点管控单元</w:t>
            </w:r>
          </w:p>
        </w:tc>
        <w:tc>
          <w:tcPr>
            <w:tcW w:w="1134" w:type="dxa"/>
            <w:vAlign w:val="center"/>
          </w:tcPr>
          <w:p w14:paraId="5E01A357">
            <w:pPr>
              <w:jc w:val="center"/>
              <w:rPr>
                <w:rFonts w:ascii="Times New Roman" w:hAnsi="Times New Roman" w:eastAsia="仿宋" w:cs="Times New Roman"/>
                <w:bCs/>
                <w:szCs w:val="21"/>
              </w:rPr>
            </w:pPr>
            <w:r>
              <w:rPr>
                <w:rFonts w:ascii="Times New Roman" w:hAnsi="Times New Roman" w:eastAsia="仿宋" w:cs="Times New Roman"/>
                <w:bCs/>
                <w:szCs w:val="21"/>
              </w:rPr>
              <w:t>219.64</w:t>
            </w:r>
          </w:p>
        </w:tc>
        <w:tc>
          <w:tcPr>
            <w:tcW w:w="1134" w:type="dxa"/>
            <w:vAlign w:val="center"/>
          </w:tcPr>
          <w:p w14:paraId="0093D012">
            <w:pPr>
              <w:jc w:val="center"/>
              <w:rPr>
                <w:rFonts w:ascii="Times New Roman" w:hAnsi="Times New Roman" w:eastAsia="仿宋" w:cs="Times New Roman"/>
                <w:szCs w:val="21"/>
              </w:rPr>
            </w:pPr>
            <w:r>
              <w:rPr>
                <w:rFonts w:ascii="Times New Roman" w:hAnsi="Times New Roman" w:eastAsia="仿宋" w:cs="Times New Roman"/>
                <w:szCs w:val="21"/>
              </w:rPr>
              <w:t>楠市镇/土市镇</w:t>
            </w:r>
          </w:p>
        </w:tc>
        <w:tc>
          <w:tcPr>
            <w:tcW w:w="1560" w:type="dxa"/>
            <w:vAlign w:val="center"/>
          </w:tcPr>
          <w:p w14:paraId="2BA10AEC">
            <w:pPr>
              <w:jc w:val="center"/>
              <w:rPr>
                <w:rFonts w:ascii="Times New Roman" w:hAnsi="Times New Roman" w:eastAsia="仿宋" w:cs="Times New Roman"/>
                <w:szCs w:val="21"/>
              </w:rPr>
            </w:pPr>
            <w:r>
              <w:rPr>
                <w:rFonts w:ascii="Times New Roman" w:hAnsi="Times New Roman" w:eastAsia="仿宋" w:cs="Times New Roman"/>
                <w:b/>
                <w:bCs/>
                <w:szCs w:val="21"/>
              </w:rPr>
              <w:t>楠市镇：</w:t>
            </w:r>
            <w:r>
              <w:rPr>
                <w:rFonts w:ascii="Times New Roman" w:hAnsi="Times New Roman" w:eastAsia="仿宋" w:cs="Times New Roman"/>
                <w:szCs w:val="21"/>
              </w:rPr>
              <w:t>城市化地区；</w:t>
            </w:r>
          </w:p>
          <w:p w14:paraId="4FFB117A">
            <w:pPr>
              <w:jc w:val="center"/>
              <w:rPr>
                <w:rFonts w:ascii="Times New Roman" w:hAnsi="Times New Roman" w:eastAsia="仿宋" w:cs="Times New Roman"/>
                <w:b/>
                <w:bCs/>
                <w:szCs w:val="21"/>
              </w:rPr>
            </w:pPr>
            <w:r>
              <w:rPr>
                <w:rFonts w:ascii="Times New Roman" w:hAnsi="Times New Roman" w:eastAsia="仿宋" w:cs="Times New Roman"/>
                <w:b/>
                <w:bCs/>
                <w:szCs w:val="21"/>
              </w:rPr>
              <w:t>土市镇：</w:t>
            </w:r>
            <w:r>
              <w:rPr>
                <w:rFonts w:ascii="Times New Roman" w:hAnsi="Times New Roman" w:eastAsia="仿宋" w:cs="Times New Roman"/>
                <w:szCs w:val="21"/>
              </w:rPr>
              <w:t>农产品主产区</w:t>
            </w:r>
          </w:p>
        </w:tc>
        <w:tc>
          <w:tcPr>
            <w:tcW w:w="4252" w:type="dxa"/>
            <w:gridSpan w:val="2"/>
            <w:vAlign w:val="center"/>
          </w:tcPr>
          <w:p w14:paraId="2B16A532">
            <w:pPr>
              <w:rPr>
                <w:rFonts w:ascii="Times New Roman" w:hAnsi="Times New Roman" w:eastAsia="仿宋" w:cs="Times New Roman"/>
                <w:kern w:val="0"/>
                <w:szCs w:val="21"/>
              </w:rPr>
            </w:pPr>
            <w:r>
              <w:rPr>
                <w:rFonts w:ascii="Times New Roman" w:hAnsi="Times New Roman" w:eastAsia="仿宋" w:cs="Times New Roman"/>
                <w:b/>
                <w:bCs/>
                <w:kern w:val="0"/>
                <w:szCs w:val="21"/>
              </w:rPr>
              <w:t>楠市镇：</w:t>
            </w:r>
            <w:r>
              <w:rPr>
                <w:rFonts w:ascii="Times New Roman" w:hAnsi="Times New Roman" w:eastAsia="仿宋" w:cs="Times New Roman"/>
                <w:kern w:val="0"/>
                <w:szCs w:val="21"/>
              </w:rPr>
              <w:t>建筑、建材、物流、毛织加工、农副产品加工、养殖业、农业、旅游业、光伏、建材等</w:t>
            </w:r>
          </w:p>
          <w:p w14:paraId="4EF69875">
            <w:pPr>
              <w:rPr>
                <w:rFonts w:ascii="Times New Roman" w:hAnsi="Times New Roman" w:eastAsia="仿宋" w:cs="Times New Roman"/>
                <w:szCs w:val="21"/>
              </w:rPr>
            </w:pPr>
            <w:r>
              <w:rPr>
                <w:rFonts w:ascii="Times New Roman" w:hAnsi="Times New Roman" w:eastAsia="仿宋" w:cs="Times New Roman"/>
                <w:b/>
                <w:bCs/>
                <w:kern w:val="0"/>
                <w:szCs w:val="21"/>
              </w:rPr>
              <w:t>土市镇：</w:t>
            </w:r>
            <w:r>
              <w:rPr>
                <w:rFonts w:ascii="Times New Roman" w:hAnsi="Times New Roman" w:eastAsia="仿宋" w:cs="Times New Roman"/>
                <w:kern w:val="0"/>
                <w:szCs w:val="21"/>
              </w:rPr>
              <w:t>农副产品生产加工、烤烟种植、建材、制砂</w:t>
            </w:r>
          </w:p>
        </w:tc>
        <w:tc>
          <w:tcPr>
            <w:tcW w:w="2149" w:type="dxa"/>
            <w:vAlign w:val="center"/>
          </w:tcPr>
          <w:p w14:paraId="5FFBB6EC">
            <w:pPr>
              <w:jc w:val="center"/>
              <w:rPr>
                <w:rFonts w:ascii="Times New Roman" w:hAnsi="Times New Roman" w:eastAsia="仿宋" w:cs="Times New Roman"/>
                <w:szCs w:val="21"/>
              </w:rPr>
            </w:pPr>
            <w:r>
              <w:rPr>
                <w:rFonts w:ascii="Times New Roman" w:hAnsi="Times New Roman" w:eastAsia="仿宋" w:cs="Times New Roman"/>
                <w:kern w:val="0"/>
                <w:szCs w:val="21"/>
              </w:rPr>
              <w:t>无明显环境问题。</w:t>
            </w:r>
          </w:p>
        </w:tc>
      </w:tr>
      <w:tr w14:paraId="42A7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4F3F127">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20E9E355">
            <w:pPr>
              <w:rPr>
                <w:rFonts w:ascii="Times New Roman" w:hAnsi="Times New Roman" w:eastAsia="仿宋" w:cs="Times New Roman"/>
                <w:szCs w:val="21"/>
              </w:rPr>
            </w:pPr>
            <w:r>
              <w:rPr>
                <w:rFonts w:ascii="Times New Roman" w:hAnsi="Times New Roman" w:eastAsia="仿宋" w:cs="Times New Roman"/>
                <w:b/>
                <w:szCs w:val="21"/>
              </w:rPr>
              <w:t>楠市镇：</w:t>
            </w:r>
          </w:p>
          <w:p w14:paraId="2C171140">
            <w:pPr>
              <w:rPr>
                <w:rFonts w:ascii="Times New Roman" w:hAnsi="Times New Roman" w:eastAsia="仿宋" w:cs="Times New Roman"/>
                <w:szCs w:val="21"/>
              </w:rPr>
            </w:pPr>
            <w:r>
              <w:rPr>
                <w:rFonts w:ascii="Times New Roman" w:hAnsi="Times New Roman" w:eastAsia="仿宋" w:cs="Times New Roman"/>
                <w:szCs w:val="21"/>
              </w:rPr>
              <w:t>红线/一般生态空间（水源涵养重要区/水土流失敏感区/原生态红线/石漠化敏感区/生物多样性保护功能重要区/森林公园）；水环境一般管控区；大气环境优先保护区/大气环境受体敏感重点管控区/大气环境弱扩散重点管控区；农用地优先保护区/其他重点管控区/一般管控区</w:t>
            </w:r>
          </w:p>
          <w:p w14:paraId="63FDE52B">
            <w:pPr>
              <w:widowControl/>
              <w:rPr>
                <w:rFonts w:ascii="Times New Roman" w:hAnsi="Times New Roman" w:eastAsia="仿宋" w:cs="Times New Roman"/>
                <w:kern w:val="0"/>
                <w:szCs w:val="21"/>
              </w:rPr>
            </w:pPr>
            <w:r>
              <w:rPr>
                <w:rFonts w:ascii="Times New Roman" w:hAnsi="Times New Roman" w:eastAsia="仿宋" w:cs="Times New Roman"/>
                <w:b/>
                <w:szCs w:val="21"/>
              </w:rPr>
              <w:t>土市镇</w:t>
            </w:r>
            <w:r>
              <w:rPr>
                <w:rFonts w:ascii="Times New Roman" w:hAnsi="Times New Roman" w:eastAsia="仿宋" w:cs="Times New Roman"/>
                <w:szCs w:val="21"/>
              </w:rPr>
              <w:t>：</w:t>
            </w:r>
          </w:p>
          <w:p w14:paraId="7BEB3116">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原生态红线/生物多样性保护功能重要区/三区三线生态红线/湿地公园/水土流失敏感区/森林公园）；水环境优先保护区/水环境一般管控区；大气环境优先保护区/大气环境受体敏感重点管控区/大气环境弱扩散重点管控区；农用地优先保护区/其他重点管控区/一般管控区</w:t>
            </w:r>
          </w:p>
        </w:tc>
      </w:tr>
      <w:tr w14:paraId="2214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D725D0B">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935" w:type="dxa"/>
            <w:gridSpan w:val="9"/>
            <w:vAlign w:val="center"/>
          </w:tcPr>
          <w:p w14:paraId="65541EA2">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4124" w:type="dxa"/>
            <w:gridSpan w:val="2"/>
            <w:vAlign w:val="center"/>
          </w:tcPr>
          <w:p w14:paraId="632C90EF">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4F6B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130570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935" w:type="dxa"/>
            <w:gridSpan w:val="9"/>
            <w:vAlign w:val="center"/>
          </w:tcPr>
          <w:p w14:paraId="180EDB4C">
            <w:pPr>
              <w:pStyle w:val="55"/>
              <w:rPr>
                <w:rFonts w:eastAsia="仿宋"/>
                <w:szCs w:val="21"/>
              </w:rPr>
            </w:pPr>
            <w:r>
              <w:rPr>
                <w:rFonts w:eastAsia="仿宋"/>
                <w:szCs w:val="21"/>
              </w:rPr>
              <w:t>（1.1）产业准入应严格执行国家、省级关于主体功能区划的环境保护及产业准入负面清单要求。</w:t>
            </w:r>
          </w:p>
          <w:p w14:paraId="5D2D5A6F">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4124" w:type="dxa"/>
            <w:gridSpan w:val="2"/>
            <w:vMerge w:val="restart"/>
            <w:vAlign w:val="center"/>
          </w:tcPr>
          <w:p w14:paraId="2C7F4EFA">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w:t>
            </w:r>
          </w:p>
          <w:p w14:paraId="515CAB05">
            <w:pPr>
              <w:rPr>
                <w:rFonts w:ascii="Times New Roman" w:hAnsi="Times New Roman" w:eastAsia="仿宋" w:cs="Times New Roman"/>
                <w:szCs w:val="21"/>
              </w:rPr>
            </w:pPr>
            <w:r>
              <w:rPr>
                <w:rFonts w:ascii="Times New Roman" w:hAnsi="Times New Roman" w:eastAsia="仿宋" w:cs="Times New Roman"/>
                <w:szCs w:val="21"/>
              </w:rPr>
              <w:t>（2.1）（2.2）（2.3）《蓝山县“十四五”生态环境保护规划》；</w:t>
            </w:r>
          </w:p>
          <w:p w14:paraId="4E008137">
            <w:pPr>
              <w:rPr>
                <w:rFonts w:ascii="Times New Roman" w:hAnsi="Times New Roman" w:eastAsia="仿宋" w:cs="Times New Roman"/>
                <w:szCs w:val="21"/>
              </w:rPr>
            </w:pPr>
            <w:r>
              <w:rPr>
                <w:rFonts w:ascii="Times New Roman" w:hAnsi="Times New Roman" w:eastAsia="仿宋" w:cs="Times New Roman"/>
                <w:szCs w:val="21"/>
              </w:rPr>
              <w:t>（3.1）蓝山县人民政府办公室关于印发《蓝山县突发环境事件应急预案》和《蓝山县重污染天气应急预案（试行）》的通知（蓝政办发〔2019〕15号）；</w:t>
            </w:r>
          </w:p>
          <w:p w14:paraId="3E5D297D">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2D97387D">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04F1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1134" w:type="dxa"/>
            <w:vAlign w:val="center"/>
          </w:tcPr>
          <w:p w14:paraId="0F2F51D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935" w:type="dxa"/>
            <w:gridSpan w:val="9"/>
            <w:vAlign w:val="center"/>
          </w:tcPr>
          <w:p w14:paraId="77F41B4A">
            <w:pPr>
              <w:pStyle w:val="55"/>
              <w:rPr>
                <w:rFonts w:eastAsia="仿宋"/>
                <w:szCs w:val="21"/>
              </w:rPr>
            </w:pPr>
            <w:r>
              <w:rPr>
                <w:rFonts w:eastAsia="仿宋"/>
                <w:szCs w:val="21"/>
              </w:rPr>
              <w:t>（2.1）依法取缔非法采矿、采石和采砂企业。新、改、扩建涉及VOCs排放项目，从原辅材料和工艺过程大力推广使用低（无）VOCs含量的涂料、有机溶剂、胶黏剂、油墨等原辅材料，配套改进生产工艺，强化末端深度治理工艺。</w:t>
            </w:r>
          </w:p>
          <w:p w14:paraId="7B15A810">
            <w:pPr>
              <w:ind w:firstLine="420" w:firstLineChars="200"/>
              <w:rPr>
                <w:rFonts w:ascii="Times New Roman" w:hAnsi="Times New Roman" w:eastAsia="仿宋" w:cs="Times New Roman"/>
                <w:szCs w:val="21"/>
              </w:rPr>
            </w:pPr>
            <w:r>
              <w:rPr>
                <w:rFonts w:ascii="Times New Roman" w:hAnsi="Times New Roman" w:eastAsia="仿宋" w:cs="Times New Roman"/>
                <w:szCs w:val="21"/>
              </w:rPr>
              <w:t>（2.2）全面推进农村环境综合整治。因地制宜地开展农村污水、垃圾污染治理。</w:t>
            </w:r>
          </w:p>
          <w:p w14:paraId="4F4F38DD">
            <w:pPr>
              <w:ind w:firstLine="420" w:firstLineChars="200"/>
              <w:rPr>
                <w:rFonts w:ascii="Times New Roman" w:hAnsi="Times New Roman" w:eastAsia="仿宋" w:cs="Times New Roman"/>
                <w:szCs w:val="21"/>
              </w:rPr>
            </w:pPr>
            <w:r>
              <w:rPr>
                <w:rFonts w:ascii="Times New Roman" w:hAnsi="Times New Roman" w:eastAsia="仿宋" w:cs="Times New Roman"/>
                <w:szCs w:val="21"/>
              </w:rPr>
              <w:t>（2.3）禁止使用剧毒、高残留性农药，大力提倡使用高效、低毒、低残留农药，提倡科学施肥、科学用药，推广采用生物农药和生物防治技术。加大农药残余的监督管理力度。</w:t>
            </w:r>
          </w:p>
        </w:tc>
        <w:tc>
          <w:tcPr>
            <w:tcW w:w="4124" w:type="dxa"/>
            <w:gridSpan w:val="2"/>
            <w:vMerge w:val="continue"/>
            <w:vAlign w:val="center"/>
          </w:tcPr>
          <w:p w14:paraId="0645DDEB">
            <w:pPr>
              <w:rPr>
                <w:rFonts w:ascii="Times New Roman" w:hAnsi="Times New Roman" w:eastAsia="仿宋" w:cs="Times New Roman"/>
                <w:szCs w:val="21"/>
              </w:rPr>
            </w:pPr>
          </w:p>
        </w:tc>
      </w:tr>
      <w:tr w14:paraId="4E5B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7B8864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935" w:type="dxa"/>
            <w:gridSpan w:val="9"/>
            <w:vAlign w:val="center"/>
          </w:tcPr>
          <w:p w14:paraId="475E7DFE">
            <w:pPr>
              <w:ind w:firstLine="420" w:firstLineChars="200"/>
              <w:rPr>
                <w:rFonts w:ascii="Times New Roman" w:hAnsi="Times New Roman" w:eastAsia="仿宋" w:cs="Times New Roman"/>
                <w:szCs w:val="21"/>
              </w:rPr>
            </w:pPr>
            <w:r>
              <w:rPr>
                <w:rFonts w:ascii="Times New Roman" w:hAnsi="Times New Roman" w:eastAsia="仿宋" w:cs="Times New Roman"/>
                <w:szCs w:val="21"/>
              </w:rPr>
              <w:t>（3.1）执行湖南省总体要求、永州市基本要求、蓝山县突发环境事件应急预案中与环境风险防控有关的规定。</w:t>
            </w:r>
          </w:p>
        </w:tc>
        <w:tc>
          <w:tcPr>
            <w:tcW w:w="4124" w:type="dxa"/>
            <w:gridSpan w:val="2"/>
            <w:vMerge w:val="continue"/>
            <w:vAlign w:val="center"/>
          </w:tcPr>
          <w:p w14:paraId="6867E8D1">
            <w:pPr>
              <w:rPr>
                <w:rFonts w:ascii="Times New Roman" w:hAnsi="Times New Roman" w:eastAsia="仿宋" w:cs="Times New Roman"/>
                <w:szCs w:val="21"/>
              </w:rPr>
            </w:pPr>
          </w:p>
        </w:tc>
      </w:tr>
      <w:tr w14:paraId="46C2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EB75D0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935" w:type="dxa"/>
            <w:gridSpan w:val="9"/>
            <w:vAlign w:val="center"/>
          </w:tcPr>
          <w:p w14:paraId="72046BA0">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1FBE2534">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1E11E0B2">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，农业用水总量控制在11457万</w:t>
            </w:r>
            <w:bookmarkStart w:id="68" w:name="OLE_LINK5"/>
            <w:r>
              <w:rPr>
                <w:rFonts w:ascii="Times New Roman" w:hAnsi="Times New Roman" w:eastAsia="仿宋" w:cs="Times New Roman"/>
                <w:szCs w:val="21"/>
              </w:rPr>
              <w:t>m</w:t>
            </w:r>
            <w:r>
              <w:rPr>
                <w:rFonts w:ascii="Times New Roman" w:hAnsi="Times New Roman" w:eastAsia="仿宋" w:cs="Times New Roman"/>
                <w:szCs w:val="21"/>
                <w:vertAlign w:val="superscript"/>
              </w:rPr>
              <w:t>3</w:t>
            </w:r>
            <w:bookmarkEnd w:id="68"/>
            <w:r>
              <w:rPr>
                <w:rFonts w:ascii="Times New Roman" w:hAnsi="Times New Roman" w:eastAsia="仿宋" w:cs="Times New Roman"/>
                <w:szCs w:val="21"/>
              </w:rPr>
              <w:t>，万元地区生产总值用水量、万元工业增加值用水量分别比2020年降低16.28%、8.87%，农田灌溉水有效利用系数为0.555。</w:t>
            </w:r>
          </w:p>
        </w:tc>
        <w:tc>
          <w:tcPr>
            <w:tcW w:w="4124" w:type="dxa"/>
            <w:gridSpan w:val="2"/>
            <w:vMerge w:val="continue"/>
            <w:vAlign w:val="center"/>
          </w:tcPr>
          <w:p w14:paraId="3429A419">
            <w:pPr>
              <w:rPr>
                <w:rFonts w:ascii="Times New Roman" w:hAnsi="Times New Roman" w:eastAsia="仿宋" w:cs="Times New Roman"/>
                <w:szCs w:val="21"/>
              </w:rPr>
            </w:pPr>
          </w:p>
        </w:tc>
      </w:tr>
    </w:tbl>
    <w:p w14:paraId="5CCB7EEE">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55"/>
        <w:gridCol w:w="846"/>
        <w:gridCol w:w="993"/>
        <w:gridCol w:w="992"/>
        <w:gridCol w:w="1134"/>
        <w:gridCol w:w="1134"/>
        <w:gridCol w:w="1134"/>
        <w:gridCol w:w="1278"/>
        <w:gridCol w:w="1162"/>
        <w:gridCol w:w="3513"/>
      </w:tblGrid>
      <w:tr w14:paraId="635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7C487986">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5" w:type="dxa"/>
            <w:vMerge w:val="restart"/>
            <w:vAlign w:val="center"/>
          </w:tcPr>
          <w:p w14:paraId="5A6C6341">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2831" w:type="dxa"/>
            <w:gridSpan w:val="3"/>
            <w:vAlign w:val="center"/>
          </w:tcPr>
          <w:p w14:paraId="78898E1F">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793C05BE">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06165DB5">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134" w:type="dxa"/>
            <w:vMerge w:val="restart"/>
            <w:vAlign w:val="center"/>
          </w:tcPr>
          <w:p w14:paraId="41ED1D1B">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278" w:type="dxa"/>
            <w:vMerge w:val="restart"/>
            <w:vAlign w:val="center"/>
          </w:tcPr>
          <w:p w14:paraId="22146B9C">
            <w:pPr>
              <w:jc w:val="center"/>
              <w:rPr>
                <w:rFonts w:ascii="Times New Roman" w:hAnsi="Times New Roman" w:eastAsia="仿宋" w:cs="Times New Roman"/>
                <w:b/>
                <w:szCs w:val="21"/>
              </w:rPr>
            </w:pPr>
            <w:r>
              <w:rPr>
                <w:rFonts w:ascii="Times New Roman" w:hAnsi="Times New Roman" w:eastAsia="仿宋" w:cs="Times New Roman"/>
                <w:b/>
                <w:szCs w:val="21"/>
              </w:rPr>
              <w:t>主体功能</w:t>
            </w:r>
          </w:p>
          <w:p w14:paraId="75014815">
            <w:pPr>
              <w:jc w:val="center"/>
              <w:rPr>
                <w:rFonts w:ascii="Times New Roman" w:hAnsi="Times New Roman" w:eastAsia="仿宋" w:cs="Times New Roman"/>
                <w:b/>
                <w:szCs w:val="21"/>
              </w:rPr>
            </w:pPr>
            <w:r>
              <w:rPr>
                <w:rFonts w:ascii="Times New Roman" w:hAnsi="Times New Roman" w:eastAsia="仿宋" w:cs="Times New Roman"/>
                <w:b/>
                <w:szCs w:val="21"/>
              </w:rPr>
              <w:t>定位</w:t>
            </w:r>
          </w:p>
        </w:tc>
        <w:tc>
          <w:tcPr>
            <w:tcW w:w="1162" w:type="dxa"/>
            <w:vMerge w:val="restart"/>
            <w:vAlign w:val="center"/>
          </w:tcPr>
          <w:p w14:paraId="423FF7F4">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3513" w:type="dxa"/>
            <w:vMerge w:val="restart"/>
            <w:vAlign w:val="center"/>
          </w:tcPr>
          <w:p w14:paraId="0D117EE9">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525A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129" w:type="dxa"/>
            <w:vMerge w:val="continue"/>
            <w:vAlign w:val="center"/>
          </w:tcPr>
          <w:p w14:paraId="44ABB6A2">
            <w:pPr>
              <w:rPr>
                <w:rFonts w:ascii="Times New Roman" w:hAnsi="Times New Roman" w:eastAsia="仿宋" w:cs="Times New Roman"/>
                <w:b/>
                <w:szCs w:val="21"/>
              </w:rPr>
            </w:pPr>
          </w:p>
        </w:tc>
        <w:tc>
          <w:tcPr>
            <w:tcW w:w="855" w:type="dxa"/>
            <w:vMerge w:val="continue"/>
            <w:vAlign w:val="center"/>
          </w:tcPr>
          <w:p w14:paraId="0F978666">
            <w:pPr>
              <w:rPr>
                <w:rFonts w:ascii="Times New Roman" w:hAnsi="Times New Roman" w:eastAsia="仿宋" w:cs="Times New Roman"/>
                <w:b/>
                <w:szCs w:val="21"/>
              </w:rPr>
            </w:pPr>
          </w:p>
        </w:tc>
        <w:tc>
          <w:tcPr>
            <w:tcW w:w="846" w:type="dxa"/>
            <w:vAlign w:val="center"/>
          </w:tcPr>
          <w:p w14:paraId="53603DBA">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993" w:type="dxa"/>
            <w:vAlign w:val="center"/>
          </w:tcPr>
          <w:p w14:paraId="21899748">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992" w:type="dxa"/>
            <w:vAlign w:val="center"/>
          </w:tcPr>
          <w:p w14:paraId="6ECA3B29">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4FA04782">
            <w:pPr>
              <w:rPr>
                <w:rFonts w:ascii="Times New Roman" w:hAnsi="Times New Roman" w:eastAsia="仿宋" w:cs="Times New Roman"/>
                <w:b/>
                <w:szCs w:val="21"/>
              </w:rPr>
            </w:pPr>
          </w:p>
        </w:tc>
        <w:tc>
          <w:tcPr>
            <w:tcW w:w="1134" w:type="dxa"/>
            <w:vMerge w:val="continue"/>
            <w:vAlign w:val="center"/>
          </w:tcPr>
          <w:p w14:paraId="22D44F9F">
            <w:pPr>
              <w:rPr>
                <w:rFonts w:ascii="Times New Roman" w:hAnsi="Times New Roman" w:eastAsia="仿宋" w:cs="Times New Roman"/>
                <w:b/>
                <w:szCs w:val="21"/>
              </w:rPr>
            </w:pPr>
          </w:p>
        </w:tc>
        <w:tc>
          <w:tcPr>
            <w:tcW w:w="1134" w:type="dxa"/>
            <w:vMerge w:val="continue"/>
            <w:vAlign w:val="center"/>
          </w:tcPr>
          <w:p w14:paraId="1922E551">
            <w:pPr>
              <w:rPr>
                <w:rFonts w:ascii="Times New Roman" w:hAnsi="Times New Roman" w:eastAsia="仿宋" w:cs="Times New Roman"/>
                <w:b/>
                <w:szCs w:val="21"/>
              </w:rPr>
            </w:pPr>
          </w:p>
        </w:tc>
        <w:tc>
          <w:tcPr>
            <w:tcW w:w="1278" w:type="dxa"/>
            <w:vMerge w:val="continue"/>
            <w:vAlign w:val="center"/>
          </w:tcPr>
          <w:p w14:paraId="1CCA0AEF">
            <w:pPr>
              <w:rPr>
                <w:rFonts w:ascii="Times New Roman" w:hAnsi="Times New Roman" w:eastAsia="仿宋" w:cs="Times New Roman"/>
                <w:b/>
                <w:szCs w:val="21"/>
              </w:rPr>
            </w:pPr>
          </w:p>
        </w:tc>
        <w:tc>
          <w:tcPr>
            <w:tcW w:w="1162" w:type="dxa"/>
            <w:vMerge w:val="continue"/>
            <w:vAlign w:val="center"/>
          </w:tcPr>
          <w:p w14:paraId="5F54F21A">
            <w:pPr>
              <w:rPr>
                <w:rFonts w:ascii="Times New Roman" w:hAnsi="Times New Roman" w:eastAsia="仿宋" w:cs="Times New Roman"/>
                <w:b/>
                <w:szCs w:val="21"/>
              </w:rPr>
            </w:pPr>
          </w:p>
        </w:tc>
        <w:tc>
          <w:tcPr>
            <w:tcW w:w="3513" w:type="dxa"/>
            <w:vMerge w:val="continue"/>
            <w:vAlign w:val="center"/>
          </w:tcPr>
          <w:p w14:paraId="3FE120B0">
            <w:pPr>
              <w:rPr>
                <w:rFonts w:ascii="Times New Roman" w:hAnsi="Times New Roman" w:eastAsia="仿宋" w:cs="Times New Roman"/>
                <w:b/>
                <w:szCs w:val="21"/>
              </w:rPr>
            </w:pPr>
          </w:p>
        </w:tc>
      </w:tr>
      <w:tr w14:paraId="443E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29" w:type="dxa"/>
            <w:vAlign w:val="center"/>
          </w:tcPr>
          <w:p w14:paraId="65ECED67">
            <w:pPr>
              <w:jc w:val="center"/>
              <w:rPr>
                <w:rFonts w:ascii="Times New Roman" w:hAnsi="Times New Roman" w:eastAsia="仿宋" w:cs="Times New Roman"/>
                <w:szCs w:val="21"/>
              </w:rPr>
            </w:pPr>
            <w:bookmarkStart w:id="69" w:name="_Hlk58580025"/>
            <w:r>
              <w:rPr>
                <w:rFonts w:ascii="Times New Roman" w:hAnsi="Times New Roman" w:eastAsia="仿宋" w:cs="Times New Roman"/>
                <w:szCs w:val="21"/>
              </w:rPr>
              <w:t>ZH43112720002</w:t>
            </w:r>
            <w:bookmarkEnd w:id="69"/>
          </w:p>
        </w:tc>
        <w:tc>
          <w:tcPr>
            <w:tcW w:w="855" w:type="dxa"/>
            <w:vAlign w:val="center"/>
          </w:tcPr>
          <w:p w14:paraId="3CFA1CC9">
            <w:pPr>
              <w:jc w:val="center"/>
              <w:rPr>
                <w:rFonts w:ascii="Times New Roman" w:hAnsi="Times New Roman" w:eastAsia="仿宋" w:cs="Times New Roman"/>
                <w:szCs w:val="21"/>
              </w:rPr>
            </w:pPr>
            <w:r>
              <w:rPr>
                <w:rFonts w:ascii="Times New Roman" w:hAnsi="Times New Roman" w:eastAsia="仿宋" w:cs="Times New Roman"/>
                <w:szCs w:val="21"/>
              </w:rPr>
              <w:t>塔峰镇</w:t>
            </w:r>
          </w:p>
        </w:tc>
        <w:tc>
          <w:tcPr>
            <w:tcW w:w="846" w:type="dxa"/>
            <w:vAlign w:val="center"/>
          </w:tcPr>
          <w:p w14:paraId="216E6689">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993" w:type="dxa"/>
            <w:vAlign w:val="center"/>
          </w:tcPr>
          <w:p w14:paraId="1BBBBEA3">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992" w:type="dxa"/>
            <w:vAlign w:val="center"/>
          </w:tcPr>
          <w:p w14:paraId="259FDB76">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1134" w:type="dxa"/>
            <w:vAlign w:val="center"/>
          </w:tcPr>
          <w:p w14:paraId="0C24D741">
            <w:pPr>
              <w:jc w:val="center"/>
              <w:rPr>
                <w:rFonts w:ascii="Times New Roman" w:hAnsi="Times New Roman" w:eastAsia="仿宋" w:cs="Times New Roman"/>
                <w:szCs w:val="21"/>
              </w:rPr>
            </w:pPr>
            <w:r>
              <w:rPr>
                <w:rFonts w:ascii="Times New Roman" w:hAnsi="Times New Roman" w:eastAsia="仿宋" w:cs="Times New Roman"/>
                <w:szCs w:val="21"/>
              </w:rPr>
              <w:t>重点管控单元</w:t>
            </w:r>
          </w:p>
        </w:tc>
        <w:tc>
          <w:tcPr>
            <w:tcW w:w="1134" w:type="dxa"/>
            <w:vAlign w:val="center"/>
          </w:tcPr>
          <w:p w14:paraId="575A297C">
            <w:pPr>
              <w:jc w:val="center"/>
              <w:rPr>
                <w:rFonts w:ascii="Times New Roman" w:hAnsi="Times New Roman" w:eastAsia="仿宋" w:cs="Times New Roman"/>
                <w:bCs/>
                <w:strike/>
                <w:szCs w:val="21"/>
              </w:rPr>
            </w:pPr>
            <w:r>
              <w:rPr>
                <w:rFonts w:ascii="Times New Roman" w:hAnsi="Times New Roman" w:eastAsia="仿宋" w:cs="Times New Roman"/>
                <w:bCs/>
                <w:szCs w:val="21"/>
              </w:rPr>
              <w:t>60.90</w:t>
            </w:r>
          </w:p>
        </w:tc>
        <w:tc>
          <w:tcPr>
            <w:tcW w:w="1134" w:type="dxa"/>
            <w:vAlign w:val="center"/>
          </w:tcPr>
          <w:p w14:paraId="7B946632">
            <w:pPr>
              <w:jc w:val="center"/>
              <w:rPr>
                <w:rFonts w:ascii="Times New Roman" w:hAnsi="Times New Roman" w:eastAsia="仿宋" w:cs="Times New Roman"/>
                <w:szCs w:val="21"/>
              </w:rPr>
            </w:pPr>
            <w:r>
              <w:rPr>
                <w:rFonts w:ascii="Times New Roman" w:hAnsi="Times New Roman" w:eastAsia="仿宋" w:cs="Times New Roman"/>
                <w:szCs w:val="21"/>
              </w:rPr>
              <w:t>塔峰镇</w:t>
            </w:r>
          </w:p>
        </w:tc>
        <w:tc>
          <w:tcPr>
            <w:tcW w:w="1278" w:type="dxa"/>
            <w:vAlign w:val="center"/>
          </w:tcPr>
          <w:p w14:paraId="1980E436">
            <w:pPr>
              <w:jc w:val="center"/>
              <w:rPr>
                <w:rFonts w:ascii="Times New Roman" w:hAnsi="Times New Roman" w:eastAsia="仿宋" w:cs="Times New Roman"/>
                <w:szCs w:val="21"/>
              </w:rPr>
            </w:pPr>
            <w:r>
              <w:rPr>
                <w:rFonts w:ascii="Times New Roman" w:hAnsi="Times New Roman" w:eastAsia="仿宋" w:cs="Times New Roman"/>
                <w:szCs w:val="21"/>
              </w:rPr>
              <w:t>城市化地区</w:t>
            </w:r>
          </w:p>
        </w:tc>
        <w:tc>
          <w:tcPr>
            <w:tcW w:w="1162" w:type="dxa"/>
            <w:vAlign w:val="center"/>
          </w:tcPr>
          <w:p w14:paraId="5415A9BA">
            <w:pPr>
              <w:rPr>
                <w:rFonts w:ascii="Times New Roman" w:hAnsi="Times New Roman" w:eastAsia="仿宋" w:cs="Times New Roman"/>
                <w:szCs w:val="21"/>
              </w:rPr>
            </w:pPr>
            <w:r>
              <w:rPr>
                <w:rFonts w:ascii="Times New Roman" w:hAnsi="Times New Roman" w:eastAsia="仿宋" w:cs="Times New Roman"/>
                <w:kern w:val="0"/>
                <w:szCs w:val="21"/>
              </w:rPr>
              <w:t>毛织加工、养殖、种植业、水电开发、商贸物流、服务业、冶炼等。</w:t>
            </w:r>
          </w:p>
        </w:tc>
        <w:tc>
          <w:tcPr>
            <w:tcW w:w="3513" w:type="dxa"/>
            <w:vAlign w:val="center"/>
          </w:tcPr>
          <w:p w14:paraId="5A50C094">
            <w:pPr>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53450A34">
            <w:pPr>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szCs w:val="21"/>
              </w:rPr>
              <w:t>湖南蓝山舜水河省级湿地公园。</w:t>
            </w:r>
          </w:p>
        </w:tc>
      </w:tr>
      <w:tr w14:paraId="73EC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84ED3EF">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41" w:type="dxa"/>
            <w:gridSpan w:val="10"/>
            <w:vAlign w:val="center"/>
          </w:tcPr>
          <w:p w14:paraId="25D596B6">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原生态红线/水土流失敏感区/森林公园/生物多样性保护功能重要区）；水环境优先保护区/水环境工业污染重点管控区/水环境一般管控区；大气环境优先保护区/大气环境高排放重点管控区/大气环境受体敏感重点管控区/大气环境弱扩散重点管控区；农用地优先保护区/建设用地重点管控区/其他重点管控区/一般管控区；高污染燃料禁燃区</w:t>
            </w:r>
          </w:p>
        </w:tc>
      </w:tr>
      <w:tr w14:paraId="22A6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EF9BFBE">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528" w:type="dxa"/>
            <w:gridSpan w:val="9"/>
            <w:vAlign w:val="center"/>
          </w:tcPr>
          <w:p w14:paraId="734008E3">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513" w:type="dxa"/>
            <w:vAlign w:val="center"/>
          </w:tcPr>
          <w:p w14:paraId="5122168E">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940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DF841F7">
            <w:pPr>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528" w:type="dxa"/>
            <w:gridSpan w:val="9"/>
            <w:vAlign w:val="center"/>
          </w:tcPr>
          <w:p w14:paraId="48D39CED">
            <w:pPr>
              <w:pStyle w:val="55"/>
              <w:rPr>
                <w:rFonts w:eastAsia="仿宋"/>
                <w:szCs w:val="21"/>
              </w:rPr>
            </w:pPr>
            <w:r>
              <w:rPr>
                <w:rFonts w:eastAsia="仿宋"/>
                <w:szCs w:val="21"/>
              </w:rPr>
              <w:t>（1.1）产业准入应严格执行国家、省级关于主体功能区划的环境保护及产业准入负面清单要求。</w:t>
            </w:r>
          </w:p>
          <w:p w14:paraId="147B6EC4">
            <w:pPr>
              <w:pStyle w:val="55"/>
              <w:rPr>
                <w:rFonts w:eastAsia="仿宋"/>
                <w:szCs w:val="21"/>
              </w:rPr>
            </w:pPr>
            <w:r>
              <w:rPr>
                <w:rFonts w:eastAsia="仿宋"/>
                <w:szCs w:val="21"/>
              </w:rPr>
              <w:t>（1.2）对园区外的现有企业加强环境监管，确保污染物达标排放。</w:t>
            </w:r>
          </w:p>
        </w:tc>
        <w:tc>
          <w:tcPr>
            <w:tcW w:w="3513" w:type="dxa"/>
            <w:vMerge w:val="restart"/>
            <w:vAlign w:val="center"/>
          </w:tcPr>
          <w:p w14:paraId="773CB1BA">
            <w:pPr>
              <w:rPr>
                <w:rFonts w:ascii="Times New Roman" w:hAnsi="Times New Roman" w:eastAsia="仿宋" w:cs="Times New Roman"/>
                <w:szCs w:val="21"/>
              </w:rPr>
            </w:pPr>
            <w:r>
              <w:rPr>
                <w:rFonts w:ascii="Times New Roman" w:hAnsi="Times New Roman" w:eastAsia="仿宋" w:cs="Times New Roman"/>
                <w:szCs w:val="21"/>
              </w:rPr>
              <w:t>（2.1）《蓝山县“十四五”生态环境保护规划》；</w:t>
            </w:r>
          </w:p>
          <w:p w14:paraId="5202F788">
            <w:pPr>
              <w:rPr>
                <w:rFonts w:ascii="Times New Roman" w:hAnsi="Times New Roman" w:eastAsia="仿宋" w:cs="Times New Roman"/>
                <w:szCs w:val="21"/>
              </w:rPr>
            </w:pPr>
            <w:r>
              <w:rPr>
                <w:rFonts w:ascii="Times New Roman" w:hAnsi="Times New Roman" w:eastAsia="仿宋" w:cs="Times New Roman"/>
                <w:szCs w:val="21"/>
              </w:rPr>
              <w:t>（2.2）《蓝山县“十四五”生态环境保护规划》；</w:t>
            </w:r>
          </w:p>
          <w:p w14:paraId="6EC80449">
            <w:pPr>
              <w:rPr>
                <w:rFonts w:ascii="Times New Roman" w:hAnsi="Times New Roman" w:eastAsia="仿宋" w:cs="Times New Roman"/>
                <w:szCs w:val="21"/>
              </w:rPr>
            </w:pPr>
            <w:r>
              <w:rPr>
                <w:rFonts w:ascii="Times New Roman" w:hAnsi="Times New Roman" w:eastAsia="仿宋" w:cs="Times New Roman"/>
                <w:szCs w:val="21"/>
              </w:rPr>
              <w:t>（2.3）蓝山县生态环境保护委员会关于印发《蓝山县大气特护期污染防治工作方案》的通知（蓝生环委发〔2022〕6号）；</w:t>
            </w:r>
          </w:p>
          <w:p w14:paraId="22DFFD2D">
            <w:pPr>
              <w:rPr>
                <w:rFonts w:ascii="Times New Roman" w:hAnsi="Times New Roman" w:eastAsia="仿宋" w:cs="Times New Roman"/>
                <w:szCs w:val="21"/>
              </w:rPr>
            </w:pPr>
            <w:r>
              <w:rPr>
                <w:rFonts w:ascii="Times New Roman" w:hAnsi="Times New Roman" w:eastAsia="仿宋" w:cs="Times New Roman"/>
                <w:szCs w:val="21"/>
              </w:rPr>
              <w:t>（2.4）《蓝山县“十四五”生态环境保护规划》；</w:t>
            </w:r>
          </w:p>
          <w:p w14:paraId="1897167D">
            <w:pPr>
              <w:rPr>
                <w:rFonts w:ascii="Times New Roman" w:hAnsi="Times New Roman" w:eastAsia="仿宋" w:cs="Times New Roman"/>
                <w:szCs w:val="21"/>
              </w:rPr>
            </w:pPr>
            <w:r>
              <w:rPr>
                <w:rFonts w:ascii="Times New Roman" w:hAnsi="Times New Roman" w:eastAsia="仿宋" w:cs="Times New Roman"/>
                <w:szCs w:val="21"/>
              </w:rPr>
              <w:t>（3.1）蓝山县人民政府办公室关于印发《蓝山县突发环境事件应急预案》和《蓝山县重污染天气应急预案（试行）》的通知（蓝政办发〔2019〕15号）；</w:t>
            </w:r>
          </w:p>
          <w:p w14:paraId="0D3D6221">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2D85F1AC">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7BAD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94BC476">
            <w:pPr>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528" w:type="dxa"/>
            <w:gridSpan w:val="9"/>
            <w:vAlign w:val="center"/>
          </w:tcPr>
          <w:p w14:paraId="4813BA9E">
            <w:pPr>
              <w:ind w:firstLine="420" w:firstLineChars="200"/>
              <w:rPr>
                <w:rFonts w:ascii="Times New Roman" w:hAnsi="Times New Roman" w:eastAsia="仿宋" w:cs="Times New Roman"/>
                <w:szCs w:val="21"/>
              </w:rPr>
            </w:pPr>
            <w:r>
              <w:rPr>
                <w:rFonts w:ascii="Times New Roman" w:hAnsi="Times New Roman" w:eastAsia="仿宋" w:cs="Times New Roman"/>
                <w:szCs w:val="21"/>
              </w:rPr>
              <w:t>（2.1）继续加强城镇污水处理厂及配套管网建设。</w:t>
            </w:r>
          </w:p>
          <w:p w14:paraId="1C9D3E21">
            <w:pPr>
              <w:ind w:firstLine="420" w:firstLineChars="200"/>
              <w:rPr>
                <w:rFonts w:ascii="Times New Roman" w:hAnsi="Times New Roman" w:eastAsia="仿宋" w:cs="Times New Roman"/>
                <w:szCs w:val="21"/>
              </w:rPr>
            </w:pPr>
            <w:r>
              <w:rPr>
                <w:rFonts w:ascii="Times New Roman" w:hAnsi="Times New Roman" w:eastAsia="仿宋" w:cs="Times New Roman"/>
                <w:szCs w:val="21"/>
              </w:rPr>
              <w:t>（2.2）开展非道路移动机械污染控制，城市建成区划定为24小时禁止高排放非道路移动机械使用范围。</w:t>
            </w:r>
          </w:p>
          <w:p w14:paraId="3E974BA4">
            <w:pPr>
              <w:pStyle w:val="55"/>
              <w:rPr>
                <w:rFonts w:eastAsia="仿宋"/>
                <w:szCs w:val="21"/>
              </w:rPr>
            </w:pPr>
            <w:r>
              <w:rPr>
                <w:rFonts w:eastAsia="仿宋"/>
                <w:szCs w:val="21"/>
              </w:rPr>
              <w:t>（2.3）禁止露天焚烧秸秆和生活垃圾。</w:t>
            </w:r>
          </w:p>
          <w:p w14:paraId="45116FF9">
            <w:pPr>
              <w:ind w:firstLine="420" w:firstLineChars="200"/>
              <w:rPr>
                <w:rFonts w:ascii="Times New Roman" w:hAnsi="Times New Roman" w:eastAsia="仿宋" w:cs="Times New Roman"/>
                <w:szCs w:val="21"/>
              </w:rPr>
            </w:pPr>
            <w:r>
              <w:rPr>
                <w:rFonts w:ascii="Times New Roman" w:hAnsi="Times New Roman" w:eastAsia="仿宋" w:cs="Times New Roman"/>
                <w:szCs w:val="21"/>
              </w:rPr>
              <w:t>（2.4）积极推进生活垃圾分类收集，因地制宜选择生活垃圾利用方式。建立和完善覆盖全区的垃圾收集、转运、处理体系。</w:t>
            </w:r>
          </w:p>
          <w:p w14:paraId="592AC396">
            <w:pPr>
              <w:ind w:firstLine="420" w:firstLineChars="200"/>
              <w:rPr>
                <w:rFonts w:ascii="Times New Roman" w:hAnsi="Times New Roman" w:eastAsia="仿宋" w:cs="Times New Roman"/>
                <w:szCs w:val="21"/>
              </w:rPr>
            </w:pPr>
            <w:bookmarkStart w:id="70" w:name="_Hlk58580043"/>
            <w:r>
              <w:rPr>
                <w:rFonts w:ascii="Times New Roman" w:hAnsi="Times New Roman" w:eastAsia="仿宋" w:cs="Times New Roman"/>
                <w:szCs w:val="21"/>
              </w:rPr>
              <w:t>（2.4）加强对现有冶炼等污染企业的环保监管，确保污染物达标排放。</w:t>
            </w:r>
            <w:bookmarkEnd w:id="70"/>
          </w:p>
        </w:tc>
        <w:tc>
          <w:tcPr>
            <w:tcW w:w="3513" w:type="dxa"/>
            <w:vMerge w:val="continue"/>
            <w:vAlign w:val="center"/>
          </w:tcPr>
          <w:p w14:paraId="70CA0247">
            <w:pPr>
              <w:rPr>
                <w:rFonts w:ascii="Times New Roman" w:hAnsi="Times New Roman" w:eastAsia="仿宋" w:cs="Times New Roman"/>
                <w:szCs w:val="21"/>
              </w:rPr>
            </w:pPr>
          </w:p>
        </w:tc>
      </w:tr>
      <w:tr w14:paraId="5E35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129" w:type="dxa"/>
            <w:vAlign w:val="center"/>
          </w:tcPr>
          <w:p w14:paraId="4BDF1A2C">
            <w:pPr>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528" w:type="dxa"/>
            <w:gridSpan w:val="9"/>
            <w:vAlign w:val="center"/>
          </w:tcPr>
          <w:p w14:paraId="37059609">
            <w:pPr>
              <w:ind w:firstLine="420" w:firstLineChars="200"/>
              <w:rPr>
                <w:rFonts w:ascii="Times New Roman" w:hAnsi="Times New Roman" w:eastAsia="仿宋" w:cs="Times New Roman"/>
                <w:szCs w:val="21"/>
              </w:rPr>
            </w:pPr>
            <w:r>
              <w:rPr>
                <w:rFonts w:ascii="Times New Roman" w:hAnsi="Times New Roman" w:eastAsia="仿宋" w:cs="Times New Roman"/>
                <w:szCs w:val="21"/>
              </w:rPr>
              <w:t>（3.1）执行湖南省总体要求、永州市基本要求、蓝山县突发环境事件应急预案与环境风险防有关的规定。</w:t>
            </w:r>
          </w:p>
        </w:tc>
        <w:tc>
          <w:tcPr>
            <w:tcW w:w="3513" w:type="dxa"/>
            <w:vMerge w:val="continue"/>
            <w:vAlign w:val="center"/>
          </w:tcPr>
          <w:p w14:paraId="7F6C0506">
            <w:pPr>
              <w:rPr>
                <w:rFonts w:ascii="Times New Roman" w:hAnsi="Times New Roman" w:eastAsia="仿宋" w:cs="Times New Roman"/>
                <w:szCs w:val="21"/>
              </w:rPr>
            </w:pPr>
          </w:p>
        </w:tc>
      </w:tr>
      <w:tr w14:paraId="256C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44DF4A5">
            <w:pPr>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528" w:type="dxa"/>
            <w:gridSpan w:val="9"/>
            <w:vAlign w:val="center"/>
          </w:tcPr>
          <w:p w14:paraId="75DE91D4">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推广管道煤气、天然气、电等清洁能源的使用。</w:t>
            </w:r>
          </w:p>
          <w:p w14:paraId="0C591C56">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347595FF">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3513" w:type="dxa"/>
            <w:vMerge w:val="continue"/>
            <w:vAlign w:val="center"/>
          </w:tcPr>
          <w:p w14:paraId="74FD82A5">
            <w:pPr>
              <w:rPr>
                <w:rFonts w:ascii="Times New Roman" w:hAnsi="Times New Roman" w:eastAsia="仿宋" w:cs="Times New Roman"/>
                <w:szCs w:val="21"/>
              </w:rPr>
            </w:pPr>
          </w:p>
        </w:tc>
      </w:tr>
    </w:tbl>
    <w:p w14:paraId="5149BEA3">
      <w:pPr>
        <w:widowControl/>
        <w:jc w:val="left"/>
        <w:rPr>
          <w:rFonts w:ascii="Times New Roman" w:hAnsi="Times New Roman" w:eastAsia="仿宋" w:cs="Times New Roman"/>
          <w:szCs w:val="21"/>
        </w:rPr>
      </w:pPr>
    </w:p>
    <w:p w14:paraId="4386939F">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55"/>
        <w:gridCol w:w="425"/>
        <w:gridCol w:w="425"/>
        <w:gridCol w:w="425"/>
        <w:gridCol w:w="1134"/>
        <w:gridCol w:w="1276"/>
        <w:gridCol w:w="1701"/>
        <w:gridCol w:w="1938"/>
        <w:gridCol w:w="1748"/>
        <w:gridCol w:w="2432"/>
      </w:tblGrid>
      <w:tr w14:paraId="5295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34FD096D">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1555" w:type="dxa"/>
            <w:vMerge w:val="restart"/>
            <w:vAlign w:val="center"/>
          </w:tcPr>
          <w:p w14:paraId="22AB0B06">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275" w:type="dxa"/>
            <w:gridSpan w:val="3"/>
            <w:vAlign w:val="center"/>
          </w:tcPr>
          <w:p w14:paraId="423ECC89">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60ED872A">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276" w:type="dxa"/>
            <w:vMerge w:val="restart"/>
            <w:vAlign w:val="center"/>
          </w:tcPr>
          <w:p w14:paraId="506FF52D">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701" w:type="dxa"/>
            <w:vMerge w:val="restart"/>
            <w:vAlign w:val="center"/>
          </w:tcPr>
          <w:p w14:paraId="19BC49BB">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938" w:type="dxa"/>
            <w:vMerge w:val="restart"/>
            <w:vAlign w:val="center"/>
          </w:tcPr>
          <w:p w14:paraId="5D6946F8">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1748" w:type="dxa"/>
            <w:vMerge w:val="restart"/>
            <w:vAlign w:val="center"/>
          </w:tcPr>
          <w:p w14:paraId="62F4FDDB">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432" w:type="dxa"/>
            <w:vMerge w:val="restart"/>
            <w:vAlign w:val="center"/>
          </w:tcPr>
          <w:p w14:paraId="453939A6">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w:t>
            </w:r>
          </w:p>
        </w:tc>
      </w:tr>
      <w:tr w14:paraId="3B77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75B31BE3">
            <w:pPr>
              <w:rPr>
                <w:rFonts w:ascii="Times New Roman" w:hAnsi="Times New Roman" w:eastAsia="仿宋" w:cs="Times New Roman"/>
                <w:b/>
                <w:szCs w:val="21"/>
              </w:rPr>
            </w:pPr>
          </w:p>
        </w:tc>
        <w:tc>
          <w:tcPr>
            <w:tcW w:w="1555" w:type="dxa"/>
            <w:vMerge w:val="continue"/>
            <w:vAlign w:val="center"/>
          </w:tcPr>
          <w:p w14:paraId="34683326">
            <w:pPr>
              <w:rPr>
                <w:rFonts w:ascii="Times New Roman" w:hAnsi="Times New Roman" w:eastAsia="仿宋" w:cs="Times New Roman"/>
                <w:b/>
                <w:szCs w:val="21"/>
              </w:rPr>
            </w:pPr>
          </w:p>
        </w:tc>
        <w:tc>
          <w:tcPr>
            <w:tcW w:w="425" w:type="dxa"/>
            <w:vAlign w:val="center"/>
          </w:tcPr>
          <w:p w14:paraId="0FCF2AC9">
            <w:pPr>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5" w:type="dxa"/>
            <w:vAlign w:val="center"/>
          </w:tcPr>
          <w:p w14:paraId="3280C510">
            <w:pPr>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2CC67F44">
            <w:pPr>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527C9533">
            <w:pPr>
              <w:rPr>
                <w:rFonts w:ascii="Times New Roman" w:hAnsi="Times New Roman" w:eastAsia="仿宋" w:cs="Times New Roman"/>
                <w:b/>
                <w:szCs w:val="21"/>
              </w:rPr>
            </w:pPr>
          </w:p>
        </w:tc>
        <w:tc>
          <w:tcPr>
            <w:tcW w:w="1276" w:type="dxa"/>
            <w:vMerge w:val="continue"/>
            <w:vAlign w:val="center"/>
          </w:tcPr>
          <w:p w14:paraId="31632EBD">
            <w:pPr>
              <w:rPr>
                <w:rFonts w:ascii="Times New Roman" w:hAnsi="Times New Roman" w:eastAsia="仿宋" w:cs="Times New Roman"/>
                <w:b/>
                <w:szCs w:val="21"/>
              </w:rPr>
            </w:pPr>
          </w:p>
        </w:tc>
        <w:tc>
          <w:tcPr>
            <w:tcW w:w="1701" w:type="dxa"/>
            <w:vMerge w:val="continue"/>
            <w:vAlign w:val="center"/>
          </w:tcPr>
          <w:p w14:paraId="57CAF1B1">
            <w:pPr>
              <w:rPr>
                <w:rFonts w:ascii="Times New Roman" w:hAnsi="Times New Roman" w:eastAsia="仿宋" w:cs="Times New Roman"/>
                <w:b/>
                <w:szCs w:val="21"/>
              </w:rPr>
            </w:pPr>
          </w:p>
        </w:tc>
        <w:tc>
          <w:tcPr>
            <w:tcW w:w="1938" w:type="dxa"/>
            <w:vMerge w:val="continue"/>
            <w:vAlign w:val="center"/>
          </w:tcPr>
          <w:p w14:paraId="2275E513">
            <w:pPr>
              <w:rPr>
                <w:rFonts w:ascii="Times New Roman" w:hAnsi="Times New Roman" w:eastAsia="仿宋" w:cs="Times New Roman"/>
                <w:b/>
                <w:szCs w:val="21"/>
              </w:rPr>
            </w:pPr>
          </w:p>
        </w:tc>
        <w:tc>
          <w:tcPr>
            <w:tcW w:w="1748" w:type="dxa"/>
            <w:vMerge w:val="continue"/>
            <w:vAlign w:val="center"/>
          </w:tcPr>
          <w:p w14:paraId="56DD03BD">
            <w:pPr>
              <w:rPr>
                <w:rFonts w:ascii="Times New Roman" w:hAnsi="Times New Roman" w:eastAsia="仿宋" w:cs="Times New Roman"/>
                <w:b/>
                <w:szCs w:val="21"/>
              </w:rPr>
            </w:pPr>
          </w:p>
        </w:tc>
        <w:tc>
          <w:tcPr>
            <w:tcW w:w="2432" w:type="dxa"/>
            <w:vMerge w:val="continue"/>
            <w:vAlign w:val="center"/>
          </w:tcPr>
          <w:p w14:paraId="61374B19">
            <w:pPr>
              <w:rPr>
                <w:rFonts w:ascii="Times New Roman" w:hAnsi="Times New Roman" w:eastAsia="仿宋" w:cs="Times New Roman"/>
                <w:b/>
                <w:szCs w:val="21"/>
              </w:rPr>
            </w:pPr>
          </w:p>
        </w:tc>
      </w:tr>
      <w:tr w14:paraId="6D7A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35B93B67">
            <w:pPr>
              <w:rPr>
                <w:rFonts w:ascii="Times New Roman" w:hAnsi="Times New Roman" w:eastAsia="仿宋" w:cs="Times New Roman"/>
                <w:szCs w:val="21"/>
              </w:rPr>
            </w:pPr>
            <w:r>
              <w:rPr>
                <w:rFonts w:ascii="Times New Roman" w:hAnsi="Times New Roman" w:eastAsia="仿宋" w:cs="Times New Roman"/>
                <w:szCs w:val="21"/>
              </w:rPr>
              <w:t>ZH43112730001</w:t>
            </w:r>
          </w:p>
        </w:tc>
        <w:tc>
          <w:tcPr>
            <w:tcW w:w="1555" w:type="dxa"/>
            <w:vAlign w:val="center"/>
          </w:tcPr>
          <w:p w14:paraId="23953696">
            <w:pPr>
              <w:jc w:val="center"/>
              <w:rPr>
                <w:rFonts w:ascii="Times New Roman" w:hAnsi="Times New Roman" w:eastAsia="仿宋" w:cs="Times New Roman"/>
                <w:szCs w:val="21"/>
              </w:rPr>
            </w:pPr>
            <w:r>
              <w:rPr>
                <w:rFonts w:ascii="Times New Roman" w:hAnsi="Times New Roman" w:eastAsia="仿宋" w:cs="Times New Roman"/>
                <w:szCs w:val="21"/>
              </w:rPr>
              <w:t>犁头瑶族乡</w:t>
            </w:r>
          </w:p>
        </w:tc>
        <w:tc>
          <w:tcPr>
            <w:tcW w:w="425" w:type="dxa"/>
            <w:vAlign w:val="center"/>
          </w:tcPr>
          <w:p w14:paraId="401B962A">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5" w:type="dxa"/>
            <w:vAlign w:val="center"/>
          </w:tcPr>
          <w:p w14:paraId="7CB5C9EB">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425" w:type="dxa"/>
            <w:vAlign w:val="center"/>
          </w:tcPr>
          <w:p w14:paraId="5FE1B885">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1134" w:type="dxa"/>
            <w:vAlign w:val="center"/>
          </w:tcPr>
          <w:p w14:paraId="4A20F0D3">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1276" w:type="dxa"/>
            <w:vAlign w:val="center"/>
          </w:tcPr>
          <w:p w14:paraId="55A85F17">
            <w:pPr>
              <w:jc w:val="center"/>
              <w:rPr>
                <w:rFonts w:ascii="Times New Roman" w:hAnsi="Times New Roman" w:eastAsia="仿宋" w:cs="Times New Roman"/>
                <w:szCs w:val="21"/>
              </w:rPr>
            </w:pPr>
            <w:r>
              <w:rPr>
                <w:rFonts w:ascii="Times New Roman" w:hAnsi="Times New Roman" w:eastAsia="仿宋" w:cs="Times New Roman"/>
                <w:szCs w:val="21"/>
              </w:rPr>
              <w:t>33.27</w:t>
            </w:r>
          </w:p>
        </w:tc>
        <w:tc>
          <w:tcPr>
            <w:tcW w:w="1701" w:type="dxa"/>
            <w:vAlign w:val="center"/>
          </w:tcPr>
          <w:p w14:paraId="3543886F">
            <w:pPr>
              <w:jc w:val="center"/>
              <w:rPr>
                <w:rFonts w:ascii="Times New Roman" w:hAnsi="Times New Roman" w:eastAsia="仿宋" w:cs="Times New Roman"/>
                <w:szCs w:val="21"/>
              </w:rPr>
            </w:pPr>
            <w:r>
              <w:rPr>
                <w:rFonts w:ascii="Times New Roman" w:hAnsi="Times New Roman" w:eastAsia="仿宋" w:cs="Times New Roman"/>
                <w:szCs w:val="21"/>
              </w:rPr>
              <w:t>犁头瑶族乡</w:t>
            </w:r>
          </w:p>
        </w:tc>
        <w:tc>
          <w:tcPr>
            <w:tcW w:w="1938" w:type="dxa"/>
            <w:vAlign w:val="center"/>
          </w:tcPr>
          <w:p w14:paraId="28B29712">
            <w:pPr>
              <w:jc w:val="center"/>
              <w:rPr>
                <w:rFonts w:ascii="Times New Roman" w:hAnsi="Times New Roman" w:eastAsia="仿宋" w:cs="Times New Roman"/>
                <w:szCs w:val="21"/>
              </w:rPr>
            </w:pPr>
            <w:r>
              <w:rPr>
                <w:rFonts w:ascii="Times New Roman" w:hAnsi="Times New Roman" w:eastAsia="仿宋" w:cs="Times New Roman"/>
                <w:szCs w:val="21"/>
              </w:rPr>
              <w:t>重点生态功能区</w:t>
            </w:r>
          </w:p>
        </w:tc>
        <w:tc>
          <w:tcPr>
            <w:tcW w:w="1748" w:type="dxa"/>
            <w:vAlign w:val="center"/>
          </w:tcPr>
          <w:p w14:paraId="2CEA2497">
            <w:pPr>
              <w:widowControl/>
              <w:jc w:val="center"/>
              <w:rPr>
                <w:rFonts w:ascii="Times New Roman" w:hAnsi="Times New Roman" w:eastAsia="仿宋" w:cs="Times New Roman"/>
                <w:szCs w:val="21"/>
              </w:rPr>
            </w:pPr>
            <w:r>
              <w:rPr>
                <w:rFonts w:ascii="Times New Roman" w:hAnsi="Times New Roman" w:eastAsia="仿宋" w:cs="Times New Roman"/>
                <w:szCs w:val="21"/>
              </w:rPr>
              <w:t>林业</w:t>
            </w:r>
          </w:p>
        </w:tc>
        <w:tc>
          <w:tcPr>
            <w:tcW w:w="2432" w:type="dxa"/>
            <w:vAlign w:val="center"/>
          </w:tcPr>
          <w:p w14:paraId="74D28DC8">
            <w:pPr>
              <w:widowControl/>
              <w:rPr>
                <w:rFonts w:ascii="Times New Roman" w:hAnsi="Times New Roman" w:eastAsia="仿宋" w:cs="Times New Roman"/>
                <w:bCs/>
                <w:szCs w:val="21"/>
              </w:rPr>
            </w:pPr>
            <w:r>
              <w:rPr>
                <w:rFonts w:ascii="Times New Roman" w:hAnsi="Times New Roman" w:eastAsia="仿宋" w:cs="Times New Roman"/>
                <w:bCs/>
                <w:szCs w:val="21"/>
              </w:rPr>
              <w:t>无明显环境问题。</w:t>
            </w:r>
          </w:p>
        </w:tc>
      </w:tr>
      <w:tr w14:paraId="6DBC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2844B4E">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0"/>
            <w:vAlign w:val="center"/>
          </w:tcPr>
          <w:p w14:paraId="582E8721">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红线/一般生态空间（水源涵养重要区/三区三线生态红线/风景名胜区）；水环境一般管控区；大气环境优先保护区/大气环境弱扩散重点管控区；农用地优先保护区/其他重点管控区/一般管控区</w:t>
            </w:r>
          </w:p>
        </w:tc>
      </w:tr>
      <w:tr w14:paraId="254B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178DAB4">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879" w:type="dxa"/>
            <w:gridSpan w:val="8"/>
            <w:vAlign w:val="center"/>
          </w:tcPr>
          <w:p w14:paraId="39C0AA10">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4180" w:type="dxa"/>
            <w:gridSpan w:val="2"/>
            <w:vAlign w:val="center"/>
          </w:tcPr>
          <w:p w14:paraId="0B567F7E">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D5C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7FE3896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879" w:type="dxa"/>
            <w:gridSpan w:val="8"/>
            <w:vAlign w:val="center"/>
          </w:tcPr>
          <w:p w14:paraId="6A8EDCAD">
            <w:pPr>
              <w:pStyle w:val="55"/>
              <w:rPr>
                <w:rFonts w:eastAsia="仿宋"/>
                <w:szCs w:val="21"/>
              </w:rPr>
            </w:pPr>
            <w:r>
              <w:rPr>
                <w:rFonts w:eastAsia="仿宋"/>
                <w:szCs w:val="21"/>
              </w:rPr>
              <w:t>（1.1）产业准入应严格执行国家、省级关于主体功能区划的环境保护及产业准入负面清单要求。</w:t>
            </w:r>
          </w:p>
          <w:p w14:paraId="65381548">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4180" w:type="dxa"/>
            <w:gridSpan w:val="2"/>
            <w:vMerge w:val="restart"/>
            <w:vAlign w:val="center"/>
          </w:tcPr>
          <w:p w14:paraId="373B33D3">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w:t>
            </w:r>
          </w:p>
          <w:p w14:paraId="1B879584">
            <w:pPr>
              <w:rPr>
                <w:rFonts w:ascii="Times New Roman" w:hAnsi="Times New Roman" w:eastAsia="仿宋" w:cs="Times New Roman"/>
                <w:szCs w:val="21"/>
              </w:rPr>
            </w:pPr>
            <w:r>
              <w:rPr>
                <w:rFonts w:ascii="Times New Roman" w:hAnsi="Times New Roman" w:eastAsia="仿宋" w:cs="Times New Roman"/>
                <w:szCs w:val="21"/>
              </w:rPr>
              <w:t>（2.1）蓝山县生态环境保护委员会关于印发《蓝山县大气特护期污染防治工作方案》的通知（蓝生环委发〔2022〕6号）；</w:t>
            </w:r>
          </w:p>
          <w:p w14:paraId="0F95C9EC">
            <w:pPr>
              <w:rPr>
                <w:rFonts w:ascii="Times New Roman" w:hAnsi="Times New Roman" w:eastAsia="仿宋" w:cs="Times New Roman"/>
                <w:szCs w:val="21"/>
              </w:rPr>
            </w:pPr>
            <w:r>
              <w:rPr>
                <w:rFonts w:ascii="Times New Roman" w:hAnsi="Times New Roman" w:eastAsia="仿宋" w:cs="Times New Roman"/>
                <w:szCs w:val="21"/>
              </w:rPr>
              <w:t>（2.2）（2.3）《蓝山县“十四五”生态环境保护规划》；</w:t>
            </w:r>
          </w:p>
          <w:p w14:paraId="19D69898">
            <w:pPr>
              <w:rPr>
                <w:rFonts w:ascii="Times New Roman" w:hAnsi="Times New Roman" w:eastAsia="仿宋" w:cs="Times New Roman"/>
                <w:szCs w:val="21"/>
              </w:rPr>
            </w:pPr>
            <w:r>
              <w:rPr>
                <w:rFonts w:ascii="Times New Roman" w:hAnsi="Times New Roman" w:eastAsia="仿宋" w:cs="Times New Roman"/>
                <w:szCs w:val="21"/>
              </w:rPr>
              <w:t>（3.1）蓝山县人民政府办公室关于印发《蓝山县突发环境事件应急预案》和《蓝山县重污染天气应急预案（试行）》的通知（蓝政办发〔2019〕15号）；</w:t>
            </w:r>
          </w:p>
          <w:p w14:paraId="62B8A3B5">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30E15AB6">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4211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0E4EDF9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879" w:type="dxa"/>
            <w:gridSpan w:val="8"/>
            <w:vAlign w:val="center"/>
          </w:tcPr>
          <w:p w14:paraId="77D2335B">
            <w:pPr>
              <w:pStyle w:val="55"/>
              <w:rPr>
                <w:rFonts w:eastAsia="仿宋"/>
                <w:szCs w:val="21"/>
              </w:rPr>
            </w:pPr>
            <w:r>
              <w:rPr>
                <w:rFonts w:eastAsia="仿宋"/>
                <w:szCs w:val="21"/>
              </w:rPr>
              <w:t>（2.1）禁止农作物秸秆、建筑废弃物等露天焚烧。</w:t>
            </w:r>
          </w:p>
          <w:p w14:paraId="0BBF7966">
            <w:pPr>
              <w:ind w:firstLine="420" w:firstLineChars="200"/>
              <w:rPr>
                <w:rFonts w:ascii="Times New Roman" w:hAnsi="Times New Roman" w:eastAsia="仿宋" w:cs="Times New Roman"/>
                <w:szCs w:val="21"/>
              </w:rPr>
            </w:pPr>
            <w:r>
              <w:rPr>
                <w:rFonts w:ascii="Times New Roman" w:hAnsi="Times New Roman" w:eastAsia="仿宋" w:cs="Times New Roman"/>
                <w:szCs w:val="21"/>
              </w:rPr>
              <w:t>（2.2）全面推进农村环境综合整治。因地制宜地开展农村污水、垃圾污染治理。</w:t>
            </w:r>
          </w:p>
          <w:p w14:paraId="7337FBA4">
            <w:pPr>
              <w:ind w:firstLine="420" w:firstLineChars="200"/>
              <w:rPr>
                <w:rFonts w:ascii="Times New Roman" w:hAnsi="Times New Roman" w:eastAsia="仿宋" w:cs="Times New Roman"/>
                <w:szCs w:val="21"/>
              </w:rPr>
            </w:pPr>
            <w:r>
              <w:rPr>
                <w:rFonts w:ascii="Times New Roman" w:hAnsi="Times New Roman" w:eastAsia="仿宋" w:cs="Times New Roman"/>
                <w:szCs w:val="21"/>
              </w:rPr>
              <w:t>（2.3）禁止使用剧毒、高残留性农药，大力提倡使用高效、低毒、低残留农药，提倡科学施肥、科学用药，推广采用生物农药和生物防治技术。加大农药残余的监督管理力度。</w:t>
            </w:r>
          </w:p>
        </w:tc>
        <w:tc>
          <w:tcPr>
            <w:tcW w:w="4180" w:type="dxa"/>
            <w:gridSpan w:val="2"/>
            <w:vMerge w:val="continue"/>
            <w:vAlign w:val="center"/>
          </w:tcPr>
          <w:p w14:paraId="1D80868B">
            <w:pPr>
              <w:rPr>
                <w:rFonts w:ascii="Times New Roman" w:hAnsi="Times New Roman" w:eastAsia="仿宋" w:cs="Times New Roman"/>
                <w:szCs w:val="21"/>
              </w:rPr>
            </w:pPr>
          </w:p>
        </w:tc>
      </w:tr>
      <w:tr w14:paraId="3E8B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B46447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879" w:type="dxa"/>
            <w:gridSpan w:val="8"/>
            <w:vAlign w:val="center"/>
          </w:tcPr>
          <w:p w14:paraId="3F858ECA">
            <w:pPr>
              <w:ind w:firstLine="420" w:firstLineChars="200"/>
              <w:rPr>
                <w:rFonts w:ascii="Times New Roman" w:hAnsi="Times New Roman" w:eastAsia="仿宋" w:cs="Times New Roman"/>
                <w:szCs w:val="21"/>
              </w:rPr>
            </w:pPr>
            <w:r>
              <w:rPr>
                <w:rFonts w:ascii="Times New Roman" w:hAnsi="Times New Roman" w:eastAsia="仿宋" w:cs="Times New Roman"/>
                <w:szCs w:val="21"/>
              </w:rPr>
              <w:t>（3.1）执行湖南省总体要求、永州市基本要求、蓝山县突发环境事件应急预案中与环境风险防控有关的规定。</w:t>
            </w:r>
          </w:p>
        </w:tc>
        <w:tc>
          <w:tcPr>
            <w:tcW w:w="4180" w:type="dxa"/>
            <w:gridSpan w:val="2"/>
            <w:vMerge w:val="continue"/>
            <w:vAlign w:val="center"/>
          </w:tcPr>
          <w:p w14:paraId="51CC5065">
            <w:pPr>
              <w:rPr>
                <w:rFonts w:ascii="Times New Roman" w:hAnsi="Times New Roman" w:eastAsia="仿宋" w:cs="Times New Roman"/>
                <w:szCs w:val="21"/>
              </w:rPr>
            </w:pPr>
          </w:p>
        </w:tc>
      </w:tr>
      <w:tr w14:paraId="75FC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E7184A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879" w:type="dxa"/>
            <w:gridSpan w:val="8"/>
            <w:vAlign w:val="center"/>
          </w:tcPr>
          <w:p w14:paraId="558A825C">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508C6425">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4565C979">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，农业用水总量控制在11457万m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4180" w:type="dxa"/>
            <w:gridSpan w:val="2"/>
            <w:vMerge w:val="continue"/>
            <w:vAlign w:val="center"/>
          </w:tcPr>
          <w:p w14:paraId="4DF83F89">
            <w:pPr>
              <w:rPr>
                <w:rFonts w:ascii="Times New Roman" w:hAnsi="Times New Roman" w:eastAsia="仿宋" w:cs="Times New Roman"/>
                <w:szCs w:val="21"/>
              </w:rPr>
            </w:pPr>
          </w:p>
        </w:tc>
      </w:tr>
    </w:tbl>
    <w:p w14:paraId="4F88FDD4">
      <w:pPr>
        <w:rPr>
          <w:rFonts w:ascii="Times New Roman" w:hAnsi="Times New Roman" w:eastAsia="仿宋" w:cs="Times New Roman"/>
          <w:szCs w:val="21"/>
        </w:rPr>
      </w:pPr>
      <w:r>
        <w:rPr>
          <w:rFonts w:ascii="Times New Roman" w:hAnsi="Times New Roman" w:eastAsia="仿宋" w:cs="Times New Roman"/>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567"/>
        <w:gridCol w:w="709"/>
        <w:gridCol w:w="1134"/>
        <w:gridCol w:w="1276"/>
        <w:gridCol w:w="1701"/>
        <w:gridCol w:w="2268"/>
        <w:gridCol w:w="709"/>
        <w:gridCol w:w="2999"/>
      </w:tblGrid>
      <w:tr w14:paraId="582D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6FD5ED02">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528B5088">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412" w:type="dxa"/>
            <w:gridSpan w:val="3"/>
            <w:vAlign w:val="center"/>
          </w:tcPr>
          <w:p w14:paraId="29FF0EF4">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9" w:type="dxa"/>
            <w:vMerge w:val="restart"/>
            <w:vAlign w:val="center"/>
          </w:tcPr>
          <w:p w14:paraId="3E7E1230">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1C1E1B3B">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76" w:type="dxa"/>
            <w:vMerge w:val="restart"/>
            <w:vAlign w:val="center"/>
          </w:tcPr>
          <w:p w14:paraId="73BAAFA1">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701" w:type="dxa"/>
            <w:vMerge w:val="restart"/>
            <w:vAlign w:val="center"/>
          </w:tcPr>
          <w:p w14:paraId="467A35B7">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977" w:type="dxa"/>
            <w:gridSpan w:val="2"/>
            <w:vMerge w:val="restart"/>
            <w:vAlign w:val="center"/>
          </w:tcPr>
          <w:p w14:paraId="79559311">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2999" w:type="dxa"/>
            <w:vMerge w:val="restart"/>
            <w:vAlign w:val="center"/>
          </w:tcPr>
          <w:p w14:paraId="2EA98A8A">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w:t>
            </w:r>
            <w:r>
              <w:rPr>
                <w:rFonts w:hint="eastAsia" w:ascii="宋体" w:hAnsi="宋体" w:eastAsia="宋体" w:cs="宋体"/>
                <w:b/>
                <w:kern w:val="0"/>
                <w:szCs w:val="21"/>
                <w:vertAlign w:val="superscript"/>
              </w:rPr>
              <w:t>①</w:t>
            </w:r>
          </w:p>
        </w:tc>
      </w:tr>
      <w:tr w14:paraId="7585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2519E7BB">
            <w:pPr>
              <w:rPr>
                <w:rFonts w:ascii="Times New Roman" w:hAnsi="Times New Roman" w:eastAsia="仿宋" w:cs="Times New Roman"/>
                <w:b/>
                <w:szCs w:val="21"/>
              </w:rPr>
            </w:pPr>
          </w:p>
        </w:tc>
        <w:tc>
          <w:tcPr>
            <w:tcW w:w="851" w:type="dxa"/>
            <w:vMerge w:val="continue"/>
            <w:vAlign w:val="center"/>
          </w:tcPr>
          <w:p w14:paraId="381E2EA0">
            <w:pPr>
              <w:rPr>
                <w:rFonts w:ascii="Times New Roman" w:hAnsi="Times New Roman" w:eastAsia="仿宋" w:cs="Times New Roman"/>
                <w:b/>
                <w:szCs w:val="21"/>
              </w:rPr>
            </w:pPr>
          </w:p>
        </w:tc>
        <w:tc>
          <w:tcPr>
            <w:tcW w:w="425" w:type="dxa"/>
            <w:vAlign w:val="center"/>
          </w:tcPr>
          <w:p w14:paraId="1776A863">
            <w:pPr>
              <w:rPr>
                <w:rFonts w:ascii="Times New Roman" w:hAnsi="Times New Roman" w:eastAsia="仿宋" w:cs="Times New Roman"/>
                <w:b/>
                <w:szCs w:val="21"/>
              </w:rPr>
            </w:pPr>
            <w:r>
              <w:rPr>
                <w:rFonts w:ascii="Times New Roman" w:hAnsi="Times New Roman" w:eastAsia="仿宋" w:cs="Times New Roman"/>
                <w:b/>
                <w:szCs w:val="21"/>
              </w:rPr>
              <w:t>省</w:t>
            </w:r>
          </w:p>
        </w:tc>
        <w:tc>
          <w:tcPr>
            <w:tcW w:w="420" w:type="dxa"/>
            <w:vAlign w:val="center"/>
          </w:tcPr>
          <w:p w14:paraId="778325EA">
            <w:pPr>
              <w:rPr>
                <w:rFonts w:ascii="Times New Roman" w:hAnsi="Times New Roman" w:eastAsia="仿宋" w:cs="Times New Roman"/>
                <w:b/>
                <w:szCs w:val="21"/>
              </w:rPr>
            </w:pPr>
            <w:r>
              <w:rPr>
                <w:rFonts w:ascii="Times New Roman" w:hAnsi="Times New Roman" w:eastAsia="仿宋" w:cs="Times New Roman"/>
                <w:b/>
                <w:szCs w:val="21"/>
              </w:rPr>
              <w:t>市</w:t>
            </w:r>
          </w:p>
        </w:tc>
        <w:tc>
          <w:tcPr>
            <w:tcW w:w="567" w:type="dxa"/>
            <w:vAlign w:val="center"/>
          </w:tcPr>
          <w:p w14:paraId="4AB3D778">
            <w:pPr>
              <w:rPr>
                <w:rFonts w:ascii="Times New Roman" w:hAnsi="Times New Roman" w:eastAsia="仿宋" w:cs="Times New Roman"/>
                <w:b/>
                <w:szCs w:val="21"/>
              </w:rPr>
            </w:pPr>
            <w:r>
              <w:rPr>
                <w:rFonts w:ascii="Times New Roman" w:hAnsi="Times New Roman" w:eastAsia="仿宋" w:cs="Times New Roman"/>
                <w:b/>
                <w:szCs w:val="21"/>
              </w:rPr>
              <w:t>县</w:t>
            </w:r>
          </w:p>
        </w:tc>
        <w:tc>
          <w:tcPr>
            <w:tcW w:w="709" w:type="dxa"/>
            <w:vMerge w:val="continue"/>
            <w:vAlign w:val="center"/>
          </w:tcPr>
          <w:p w14:paraId="1057A5B6">
            <w:pPr>
              <w:rPr>
                <w:rFonts w:ascii="Times New Roman" w:hAnsi="Times New Roman" w:eastAsia="仿宋" w:cs="Times New Roman"/>
                <w:b/>
                <w:szCs w:val="21"/>
              </w:rPr>
            </w:pPr>
          </w:p>
        </w:tc>
        <w:tc>
          <w:tcPr>
            <w:tcW w:w="1134" w:type="dxa"/>
            <w:vMerge w:val="continue"/>
            <w:vAlign w:val="center"/>
          </w:tcPr>
          <w:p w14:paraId="50E824C1">
            <w:pPr>
              <w:rPr>
                <w:rFonts w:ascii="Times New Roman" w:hAnsi="Times New Roman" w:eastAsia="仿宋" w:cs="Times New Roman"/>
                <w:b/>
                <w:szCs w:val="21"/>
              </w:rPr>
            </w:pPr>
          </w:p>
        </w:tc>
        <w:tc>
          <w:tcPr>
            <w:tcW w:w="1276" w:type="dxa"/>
            <w:vMerge w:val="continue"/>
            <w:vAlign w:val="center"/>
          </w:tcPr>
          <w:p w14:paraId="26AF9AC1">
            <w:pPr>
              <w:rPr>
                <w:rFonts w:ascii="Times New Roman" w:hAnsi="Times New Roman" w:eastAsia="仿宋" w:cs="Times New Roman"/>
                <w:b/>
                <w:szCs w:val="21"/>
              </w:rPr>
            </w:pPr>
          </w:p>
        </w:tc>
        <w:tc>
          <w:tcPr>
            <w:tcW w:w="1701" w:type="dxa"/>
            <w:vMerge w:val="continue"/>
            <w:vAlign w:val="center"/>
          </w:tcPr>
          <w:p w14:paraId="7EAC983C">
            <w:pPr>
              <w:rPr>
                <w:rFonts w:ascii="Times New Roman" w:hAnsi="Times New Roman" w:eastAsia="仿宋" w:cs="Times New Roman"/>
                <w:b/>
                <w:szCs w:val="21"/>
              </w:rPr>
            </w:pPr>
          </w:p>
        </w:tc>
        <w:tc>
          <w:tcPr>
            <w:tcW w:w="2977" w:type="dxa"/>
            <w:gridSpan w:val="2"/>
            <w:vMerge w:val="continue"/>
            <w:vAlign w:val="center"/>
          </w:tcPr>
          <w:p w14:paraId="4929A5FF">
            <w:pPr>
              <w:rPr>
                <w:rFonts w:ascii="Times New Roman" w:hAnsi="Times New Roman" w:eastAsia="仿宋" w:cs="Times New Roman"/>
                <w:b/>
                <w:szCs w:val="21"/>
              </w:rPr>
            </w:pPr>
          </w:p>
        </w:tc>
        <w:tc>
          <w:tcPr>
            <w:tcW w:w="2999" w:type="dxa"/>
            <w:vMerge w:val="continue"/>
            <w:vAlign w:val="center"/>
          </w:tcPr>
          <w:p w14:paraId="0817CFF6">
            <w:pPr>
              <w:rPr>
                <w:rFonts w:ascii="Times New Roman" w:hAnsi="Times New Roman" w:eastAsia="仿宋" w:cs="Times New Roman"/>
                <w:b/>
                <w:szCs w:val="21"/>
              </w:rPr>
            </w:pPr>
          </w:p>
        </w:tc>
      </w:tr>
      <w:tr w14:paraId="78C4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6775A632">
            <w:pPr>
              <w:rPr>
                <w:rFonts w:ascii="Times New Roman" w:hAnsi="Times New Roman" w:eastAsia="仿宋" w:cs="Times New Roman"/>
                <w:szCs w:val="21"/>
              </w:rPr>
            </w:pPr>
            <w:bookmarkStart w:id="71" w:name="_Hlk58580145"/>
            <w:r>
              <w:rPr>
                <w:rFonts w:ascii="Times New Roman" w:hAnsi="Times New Roman" w:eastAsia="仿宋" w:cs="Times New Roman"/>
                <w:szCs w:val="21"/>
              </w:rPr>
              <w:t>ZH43112730002</w:t>
            </w:r>
            <w:bookmarkEnd w:id="71"/>
          </w:p>
        </w:tc>
        <w:tc>
          <w:tcPr>
            <w:tcW w:w="851" w:type="dxa"/>
            <w:vAlign w:val="center"/>
          </w:tcPr>
          <w:p w14:paraId="270004BC">
            <w:pPr>
              <w:jc w:val="center"/>
              <w:rPr>
                <w:rFonts w:ascii="Times New Roman" w:hAnsi="Times New Roman" w:eastAsia="仿宋" w:cs="Times New Roman"/>
                <w:szCs w:val="21"/>
              </w:rPr>
            </w:pPr>
            <w:r>
              <w:rPr>
                <w:rFonts w:ascii="Times New Roman" w:hAnsi="Times New Roman" w:eastAsia="仿宋" w:cs="Times New Roman"/>
                <w:szCs w:val="21"/>
              </w:rPr>
              <w:t>毛俊镇/新圩镇</w:t>
            </w:r>
          </w:p>
        </w:tc>
        <w:tc>
          <w:tcPr>
            <w:tcW w:w="425" w:type="dxa"/>
            <w:vAlign w:val="center"/>
          </w:tcPr>
          <w:p w14:paraId="1D01AE21">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0" w:type="dxa"/>
            <w:vAlign w:val="center"/>
          </w:tcPr>
          <w:p w14:paraId="4BE181B9">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567" w:type="dxa"/>
            <w:vAlign w:val="center"/>
          </w:tcPr>
          <w:p w14:paraId="6CD2C2F5">
            <w:pPr>
              <w:jc w:val="center"/>
              <w:rPr>
                <w:rFonts w:ascii="Times New Roman" w:hAnsi="Times New Roman" w:eastAsia="仿宋" w:cs="Times New Roman"/>
                <w:szCs w:val="21"/>
              </w:rPr>
            </w:pPr>
            <w:r>
              <w:rPr>
                <w:rFonts w:ascii="Times New Roman" w:hAnsi="Times New Roman" w:eastAsia="仿宋" w:cs="Times New Roman"/>
                <w:szCs w:val="21"/>
              </w:rPr>
              <w:t>蓝山县</w:t>
            </w:r>
          </w:p>
        </w:tc>
        <w:tc>
          <w:tcPr>
            <w:tcW w:w="709" w:type="dxa"/>
            <w:vAlign w:val="center"/>
          </w:tcPr>
          <w:p w14:paraId="583F0197">
            <w:pPr>
              <w:jc w:val="center"/>
              <w:rPr>
                <w:rFonts w:ascii="Times New Roman" w:hAnsi="Times New Roman" w:eastAsia="仿宋" w:cs="Times New Roman"/>
                <w:szCs w:val="21"/>
              </w:rPr>
            </w:pPr>
            <w:r>
              <w:rPr>
                <w:rFonts w:ascii="Times New Roman" w:hAnsi="Times New Roman" w:eastAsia="仿宋" w:cs="Times New Roman"/>
                <w:szCs w:val="21"/>
              </w:rPr>
              <w:t>一般管控单元</w:t>
            </w:r>
          </w:p>
        </w:tc>
        <w:tc>
          <w:tcPr>
            <w:tcW w:w="1134" w:type="dxa"/>
            <w:vAlign w:val="center"/>
          </w:tcPr>
          <w:p w14:paraId="56B8EA3B">
            <w:pPr>
              <w:jc w:val="center"/>
              <w:rPr>
                <w:rFonts w:ascii="Times New Roman" w:hAnsi="Times New Roman" w:eastAsia="仿宋" w:cs="Times New Roman"/>
                <w:bCs/>
                <w:szCs w:val="21"/>
              </w:rPr>
            </w:pPr>
            <w:r>
              <w:rPr>
                <w:rFonts w:ascii="Times New Roman" w:hAnsi="Times New Roman" w:eastAsia="仿宋" w:cs="Times New Roman"/>
                <w:bCs/>
                <w:szCs w:val="21"/>
              </w:rPr>
              <w:t>249.34</w:t>
            </w:r>
          </w:p>
        </w:tc>
        <w:tc>
          <w:tcPr>
            <w:tcW w:w="1276" w:type="dxa"/>
            <w:vAlign w:val="center"/>
          </w:tcPr>
          <w:p w14:paraId="64869424">
            <w:pPr>
              <w:jc w:val="center"/>
              <w:rPr>
                <w:rFonts w:ascii="Times New Roman" w:hAnsi="Times New Roman" w:eastAsia="仿宋" w:cs="Times New Roman"/>
                <w:szCs w:val="21"/>
              </w:rPr>
            </w:pPr>
            <w:r>
              <w:rPr>
                <w:rFonts w:ascii="Times New Roman" w:hAnsi="Times New Roman" w:eastAsia="仿宋" w:cs="Times New Roman"/>
                <w:szCs w:val="21"/>
              </w:rPr>
              <w:t>毛俊镇/新圩镇</w:t>
            </w:r>
          </w:p>
        </w:tc>
        <w:tc>
          <w:tcPr>
            <w:tcW w:w="1701" w:type="dxa"/>
            <w:vAlign w:val="center"/>
          </w:tcPr>
          <w:p w14:paraId="79DD4F1C">
            <w:pPr>
              <w:jc w:val="center"/>
              <w:rPr>
                <w:rFonts w:ascii="Times New Roman" w:hAnsi="Times New Roman" w:eastAsia="仿宋" w:cs="Times New Roman"/>
                <w:szCs w:val="21"/>
              </w:rPr>
            </w:pPr>
            <w:r>
              <w:rPr>
                <w:rFonts w:ascii="Times New Roman" w:hAnsi="Times New Roman" w:eastAsia="仿宋" w:cs="Times New Roman"/>
                <w:b/>
                <w:bCs/>
                <w:szCs w:val="21"/>
              </w:rPr>
              <w:t>毛俊镇：</w:t>
            </w:r>
            <w:r>
              <w:rPr>
                <w:rFonts w:ascii="Times New Roman" w:hAnsi="Times New Roman" w:eastAsia="仿宋" w:cs="Times New Roman"/>
                <w:szCs w:val="21"/>
              </w:rPr>
              <w:t>重点生态功能区；</w:t>
            </w:r>
          </w:p>
          <w:p w14:paraId="00ACA060">
            <w:pPr>
              <w:jc w:val="center"/>
              <w:rPr>
                <w:rFonts w:ascii="Times New Roman" w:hAnsi="Times New Roman" w:eastAsia="仿宋" w:cs="Times New Roman"/>
                <w:szCs w:val="21"/>
              </w:rPr>
            </w:pPr>
            <w:r>
              <w:rPr>
                <w:rFonts w:ascii="Times New Roman" w:hAnsi="Times New Roman" w:eastAsia="仿宋" w:cs="Times New Roman"/>
                <w:b/>
                <w:bCs/>
                <w:szCs w:val="21"/>
              </w:rPr>
              <w:t>新圩镇：</w:t>
            </w:r>
            <w:r>
              <w:rPr>
                <w:rFonts w:ascii="Times New Roman" w:hAnsi="Times New Roman" w:eastAsia="仿宋" w:cs="Times New Roman"/>
                <w:szCs w:val="21"/>
              </w:rPr>
              <w:t>农产品主产区</w:t>
            </w:r>
          </w:p>
        </w:tc>
        <w:tc>
          <w:tcPr>
            <w:tcW w:w="2977" w:type="dxa"/>
            <w:gridSpan w:val="2"/>
            <w:vAlign w:val="center"/>
          </w:tcPr>
          <w:p w14:paraId="3FA2994C">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毛俊镇：</w:t>
            </w:r>
            <w:r>
              <w:rPr>
                <w:rFonts w:ascii="Times New Roman" w:hAnsi="Times New Roman" w:eastAsia="仿宋" w:cs="Times New Roman"/>
                <w:kern w:val="0"/>
                <w:szCs w:val="21"/>
              </w:rPr>
              <w:t>农业、养殖业、农副产品加工、旅游业、采矿业等。</w:t>
            </w:r>
          </w:p>
          <w:p w14:paraId="5E2C6697">
            <w:pPr>
              <w:rPr>
                <w:rFonts w:ascii="Times New Roman" w:hAnsi="Times New Roman" w:eastAsia="仿宋" w:cs="Times New Roman"/>
                <w:szCs w:val="21"/>
              </w:rPr>
            </w:pPr>
            <w:r>
              <w:rPr>
                <w:rFonts w:ascii="Times New Roman" w:hAnsi="Times New Roman" w:eastAsia="仿宋" w:cs="Times New Roman"/>
                <w:b/>
                <w:bCs/>
                <w:szCs w:val="21"/>
              </w:rPr>
              <w:t>新圩镇：</w:t>
            </w:r>
            <w:r>
              <w:rPr>
                <w:rFonts w:ascii="Times New Roman" w:hAnsi="Times New Roman" w:eastAsia="仿宋" w:cs="Times New Roman"/>
                <w:szCs w:val="21"/>
              </w:rPr>
              <w:t>农业、养殖、采石、农副产品加工、铸造、建材、冶炼，光伏。</w:t>
            </w:r>
          </w:p>
        </w:tc>
        <w:tc>
          <w:tcPr>
            <w:tcW w:w="2999" w:type="dxa"/>
            <w:vAlign w:val="center"/>
          </w:tcPr>
          <w:p w14:paraId="22BC59E7">
            <w:pPr>
              <w:rPr>
                <w:rFonts w:ascii="Times New Roman" w:hAnsi="Times New Roman" w:eastAsia="仿宋" w:cs="Times New Roman"/>
                <w:szCs w:val="21"/>
              </w:rPr>
            </w:pPr>
            <w:r>
              <w:rPr>
                <w:rFonts w:ascii="Times New Roman" w:hAnsi="Times New Roman" w:eastAsia="仿宋" w:cs="Times New Roman"/>
                <w:b/>
                <w:bCs/>
                <w:szCs w:val="21"/>
              </w:rPr>
              <w:t>新圩镇：</w:t>
            </w:r>
            <w:r>
              <w:rPr>
                <w:rFonts w:ascii="Times New Roman" w:hAnsi="Times New Roman" w:eastAsia="仿宋" w:cs="Times New Roman"/>
                <w:szCs w:val="21"/>
              </w:rPr>
              <w:t>无明显环境问题。</w:t>
            </w:r>
          </w:p>
        </w:tc>
      </w:tr>
      <w:tr w14:paraId="44E8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23620715">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09A96FA3">
            <w:pPr>
              <w:rPr>
                <w:rFonts w:ascii="Times New Roman" w:hAnsi="Times New Roman" w:eastAsia="仿宋" w:cs="Times New Roman"/>
                <w:b/>
                <w:szCs w:val="21"/>
              </w:rPr>
            </w:pPr>
            <w:r>
              <w:rPr>
                <w:rFonts w:ascii="Times New Roman" w:hAnsi="Times New Roman" w:eastAsia="仿宋" w:cs="Times New Roman"/>
                <w:b/>
                <w:szCs w:val="21"/>
              </w:rPr>
              <w:t>毛俊镇：</w:t>
            </w:r>
          </w:p>
          <w:p w14:paraId="321513F1">
            <w:pPr>
              <w:rPr>
                <w:rFonts w:ascii="Times New Roman" w:hAnsi="Times New Roman" w:eastAsia="仿宋" w:cs="Times New Roman"/>
                <w:bCs/>
                <w:szCs w:val="21"/>
              </w:rPr>
            </w:pPr>
            <w:r>
              <w:rPr>
                <w:rFonts w:ascii="Times New Roman" w:hAnsi="Times New Roman" w:eastAsia="仿宋" w:cs="Times New Roman"/>
                <w:bCs/>
                <w:szCs w:val="21"/>
              </w:rPr>
              <w:t>红线/一般生态空间（水源涵养重要区/三区三线生态红线/森林公园/原生态红线/水土流失敏感区）；水环境其他重点管控区/水环境一般管控区；大气环境优先保护区/大气环境受体敏感重点管控区/大气环境弱扩散重点管控区；农用地优先保护区/建设用地重点管控区/其他重点管控区/一般管控区</w:t>
            </w:r>
          </w:p>
          <w:p w14:paraId="6142E59D">
            <w:pPr>
              <w:rPr>
                <w:rFonts w:ascii="Times New Roman" w:hAnsi="Times New Roman" w:eastAsia="仿宋" w:cs="Times New Roman"/>
                <w:spacing w:val="-2"/>
                <w:kern w:val="0"/>
                <w:szCs w:val="21"/>
              </w:rPr>
            </w:pPr>
            <w:r>
              <w:rPr>
                <w:rFonts w:ascii="Times New Roman" w:hAnsi="Times New Roman" w:eastAsia="仿宋" w:cs="Times New Roman"/>
                <w:b/>
                <w:szCs w:val="21"/>
              </w:rPr>
              <w:t>新圩镇：</w:t>
            </w:r>
          </w:p>
          <w:p w14:paraId="2EB6F5AC">
            <w:pPr>
              <w:rPr>
                <w:rFonts w:ascii="Times New Roman" w:hAnsi="Times New Roman" w:eastAsia="仿宋" w:cs="Times New Roman"/>
                <w:szCs w:val="21"/>
              </w:rPr>
            </w:pPr>
            <w:r>
              <w:rPr>
                <w:rFonts w:ascii="Times New Roman" w:hAnsi="Times New Roman" w:eastAsia="仿宋" w:cs="Times New Roman"/>
                <w:szCs w:val="21"/>
              </w:rPr>
              <w:t>一般生态空间（水源涵养重要区/生物多样性保护功能重要区/水土流失敏感区）；水环境一般管控区；</w:t>
            </w:r>
            <w:r>
              <w:rPr>
                <w:rFonts w:ascii="Times New Roman" w:hAnsi="Times New Roman" w:eastAsia="仿宋" w:cs="Times New Roman"/>
                <w:bCs/>
                <w:szCs w:val="21"/>
              </w:rPr>
              <w:t>大气环境优先保护区/大气环境</w:t>
            </w:r>
            <w:r>
              <w:rPr>
                <w:rFonts w:ascii="Times New Roman" w:hAnsi="Times New Roman" w:eastAsia="仿宋" w:cs="Times New Roman"/>
                <w:szCs w:val="21"/>
              </w:rPr>
              <w:t>受体敏感重点管控区/大气环境弱扩散重点管控区；农用地优先保护区/建设用地重点管控区/其他重点管控区/一般管控区</w:t>
            </w:r>
          </w:p>
        </w:tc>
      </w:tr>
      <w:tr w14:paraId="021E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182F48D6">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351" w:type="dxa"/>
            <w:gridSpan w:val="9"/>
            <w:vAlign w:val="center"/>
          </w:tcPr>
          <w:p w14:paraId="3C50B7A2">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708" w:type="dxa"/>
            <w:gridSpan w:val="2"/>
            <w:vAlign w:val="center"/>
          </w:tcPr>
          <w:p w14:paraId="5CCE261B">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06E8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134" w:type="dxa"/>
            <w:vAlign w:val="center"/>
          </w:tcPr>
          <w:p w14:paraId="5A308BF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351" w:type="dxa"/>
            <w:gridSpan w:val="9"/>
            <w:vAlign w:val="center"/>
          </w:tcPr>
          <w:p w14:paraId="5135DF14">
            <w:pPr>
              <w:pStyle w:val="55"/>
              <w:rPr>
                <w:rFonts w:eastAsia="仿宋"/>
                <w:szCs w:val="21"/>
              </w:rPr>
            </w:pPr>
            <w:r>
              <w:rPr>
                <w:rFonts w:eastAsia="仿宋"/>
                <w:szCs w:val="21"/>
              </w:rPr>
              <w:t>（1.1）产业准入应严格执行国家、省级关于主体功能区划的环境保护及产业准入负面清单要求。</w:t>
            </w:r>
          </w:p>
          <w:p w14:paraId="5D5F120C">
            <w:pPr>
              <w:pStyle w:val="55"/>
              <w:rPr>
                <w:rFonts w:eastAsia="仿宋"/>
                <w:szCs w:val="21"/>
              </w:rPr>
            </w:pPr>
            <w:r>
              <w:rPr>
                <w:rFonts w:eastAsia="仿宋"/>
                <w:szCs w:val="21"/>
              </w:rPr>
              <w:t>（1.2）畜禽养殖产业布局应符合《蓝山县畜禽养殖“三区”划定方案》。禁养区逐步退出养殖业，限养区不再新建、改建、扩建畜禽养殖场、小区。</w:t>
            </w:r>
          </w:p>
        </w:tc>
        <w:tc>
          <w:tcPr>
            <w:tcW w:w="3708" w:type="dxa"/>
            <w:gridSpan w:val="2"/>
            <w:vMerge w:val="restart"/>
            <w:vAlign w:val="center"/>
          </w:tcPr>
          <w:p w14:paraId="7F390CF1">
            <w:pPr>
              <w:rPr>
                <w:rFonts w:ascii="Times New Roman" w:hAnsi="Times New Roman" w:eastAsia="仿宋" w:cs="Times New Roman"/>
                <w:szCs w:val="21"/>
              </w:rPr>
            </w:pPr>
            <w:r>
              <w:rPr>
                <w:rFonts w:ascii="Times New Roman" w:hAnsi="Times New Roman" w:eastAsia="仿宋" w:cs="Times New Roman"/>
                <w:szCs w:val="21"/>
              </w:rPr>
              <w:t>（1.2）蓝山县人民政府办公室关于印发《蓝山县畜禽养殖“三区”划定方案》的通知（2020年2月）、《蓝山县畜禽养殖污染专项整治实施方案》（蓝政办发〔2017〕8号）；</w:t>
            </w:r>
          </w:p>
          <w:p w14:paraId="6252073A">
            <w:pPr>
              <w:rPr>
                <w:rFonts w:ascii="Times New Roman" w:hAnsi="Times New Roman" w:eastAsia="仿宋" w:cs="Times New Roman"/>
                <w:szCs w:val="21"/>
              </w:rPr>
            </w:pPr>
            <w:r>
              <w:rPr>
                <w:rFonts w:ascii="Times New Roman" w:hAnsi="Times New Roman" w:eastAsia="仿宋" w:cs="Times New Roman"/>
                <w:szCs w:val="21"/>
              </w:rPr>
              <w:t>（2.1）蓝山县生态环境保护委员会关于印发《蓝山县大气特护期污染防治工作方案》的通知（蓝生环委发〔2022〕6号）；</w:t>
            </w:r>
          </w:p>
          <w:p w14:paraId="67BBE6B7">
            <w:pPr>
              <w:rPr>
                <w:rFonts w:ascii="Times New Roman" w:hAnsi="Times New Roman" w:eastAsia="仿宋" w:cs="Times New Roman"/>
                <w:szCs w:val="21"/>
              </w:rPr>
            </w:pPr>
            <w:r>
              <w:rPr>
                <w:rFonts w:ascii="Times New Roman" w:hAnsi="Times New Roman" w:eastAsia="仿宋" w:cs="Times New Roman"/>
                <w:szCs w:val="21"/>
              </w:rPr>
              <w:t>（2.2）《蓝山县“十四五”生态环境保护规划》；</w:t>
            </w:r>
          </w:p>
          <w:p w14:paraId="3ECAFE46">
            <w:pPr>
              <w:rPr>
                <w:rFonts w:ascii="Times New Roman" w:hAnsi="Times New Roman" w:eastAsia="仿宋" w:cs="Times New Roman"/>
                <w:szCs w:val="21"/>
              </w:rPr>
            </w:pPr>
            <w:r>
              <w:rPr>
                <w:rFonts w:ascii="Times New Roman" w:hAnsi="Times New Roman" w:eastAsia="仿宋" w:cs="Times New Roman"/>
                <w:szCs w:val="21"/>
              </w:rPr>
              <w:t>（3.2）蓝山县人民政府办公室关于印发《蓝山县突发环境事件应急预案》和《蓝山县重污染天气应急预案（试行）》的通知（蓝政办发〔2019〕15号）；</w:t>
            </w:r>
          </w:p>
          <w:p w14:paraId="1E2EA1E0">
            <w:pPr>
              <w:rPr>
                <w:rFonts w:ascii="Times New Roman" w:hAnsi="Times New Roman" w:eastAsia="仿宋" w:cs="Times New Roman"/>
                <w:szCs w:val="21"/>
              </w:rPr>
            </w:pPr>
            <w:r>
              <w:rPr>
                <w:rFonts w:ascii="Times New Roman" w:hAnsi="Times New Roman" w:eastAsia="仿宋" w:cs="Times New Roman"/>
                <w:szCs w:val="21"/>
              </w:rPr>
              <w:t>（4.2）《蓝山县国土空间总体规划（2020-2035）》（大纲）；</w:t>
            </w:r>
          </w:p>
          <w:p w14:paraId="214E6D8F">
            <w:pPr>
              <w:rPr>
                <w:rFonts w:ascii="Times New Roman" w:hAnsi="Times New Roman" w:eastAsia="仿宋" w:cs="Times New Roman"/>
                <w:szCs w:val="21"/>
              </w:rPr>
            </w:pPr>
            <w:r>
              <w:rPr>
                <w:rFonts w:ascii="Times New Roman" w:hAnsi="Times New Roman" w:eastAsia="仿宋" w:cs="Times New Roman"/>
                <w:szCs w:val="21"/>
              </w:rPr>
              <w:t>（4.3）</w:t>
            </w:r>
            <w:r>
              <w:rPr>
                <w:rFonts w:ascii="Times New Roman" w:hAnsi="Times New Roman" w:eastAsia="仿宋" w:cs="Times New Roman"/>
                <w:kern w:val="0"/>
                <w:szCs w:val="21"/>
              </w:rPr>
              <w:t>《关于调整永州市“十四五”用水总量和强度双控目标的通知》（永水发〔2024〕1号）。</w:t>
            </w:r>
          </w:p>
        </w:tc>
      </w:tr>
      <w:tr w14:paraId="5EC7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134" w:type="dxa"/>
            <w:vAlign w:val="center"/>
          </w:tcPr>
          <w:p w14:paraId="4836A60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351" w:type="dxa"/>
            <w:gridSpan w:val="9"/>
            <w:vAlign w:val="center"/>
          </w:tcPr>
          <w:p w14:paraId="157F59E0">
            <w:pPr>
              <w:pStyle w:val="55"/>
              <w:rPr>
                <w:rFonts w:eastAsia="仿宋"/>
                <w:szCs w:val="21"/>
              </w:rPr>
            </w:pPr>
            <w:r>
              <w:rPr>
                <w:rFonts w:eastAsia="仿宋"/>
                <w:szCs w:val="21"/>
              </w:rPr>
              <w:t>（2.1）禁止农作物秸秆、建筑废弃物等露天焚烧。</w:t>
            </w:r>
          </w:p>
          <w:p w14:paraId="3CE69DE4">
            <w:pPr>
              <w:pStyle w:val="55"/>
              <w:rPr>
                <w:rFonts w:eastAsia="仿宋"/>
                <w:szCs w:val="21"/>
              </w:rPr>
            </w:pPr>
            <w:r>
              <w:rPr>
                <w:rFonts w:eastAsia="仿宋"/>
                <w:szCs w:val="21"/>
              </w:rPr>
              <w:t>（2.2）全面推进农村环境综合整治。因地制宜地开展农村污水、垃圾污染治理。</w:t>
            </w:r>
          </w:p>
        </w:tc>
        <w:tc>
          <w:tcPr>
            <w:tcW w:w="3708" w:type="dxa"/>
            <w:gridSpan w:val="2"/>
            <w:vMerge w:val="continue"/>
            <w:vAlign w:val="center"/>
          </w:tcPr>
          <w:p w14:paraId="233122F0">
            <w:pPr>
              <w:rPr>
                <w:rFonts w:ascii="Times New Roman" w:hAnsi="Times New Roman" w:eastAsia="仿宋" w:cs="Times New Roman"/>
                <w:szCs w:val="21"/>
              </w:rPr>
            </w:pPr>
          </w:p>
        </w:tc>
      </w:tr>
      <w:tr w14:paraId="11DA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134" w:type="dxa"/>
            <w:vAlign w:val="center"/>
          </w:tcPr>
          <w:p w14:paraId="115BFE7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351" w:type="dxa"/>
            <w:gridSpan w:val="9"/>
            <w:vAlign w:val="center"/>
          </w:tcPr>
          <w:p w14:paraId="3C8D1E62">
            <w:pPr>
              <w:ind w:firstLine="420" w:firstLineChars="200"/>
              <w:rPr>
                <w:rFonts w:ascii="Times New Roman" w:hAnsi="Times New Roman" w:eastAsia="仿宋" w:cs="Times New Roman"/>
                <w:szCs w:val="21"/>
              </w:rPr>
            </w:pPr>
            <w:r>
              <w:rPr>
                <w:rFonts w:ascii="Times New Roman" w:hAnsi="Times New Roman" w:eastAsia="仿宋" w:cs="Times New Roman"/>
                <w:szCs w:val="21"/>
              </w:rPr>
              <w:t>（3.1）锰铁矿开采企业应做好防渗措施，防止重金属污染。</w:t>
            </w:r>
          </w:p>
          <w:p w14:paraId="7B95AF99">
            <w:pPr>
              <w:ind w:firstLine="420" w:firstLineChars="200"/>
              <w:rPr>
                <w:rFonts w:ascii="Times New Roman" w:hAnsi="Times New Roman" w:eastAsia="仿宋" w:cs="Times New Roman"/>
                <w:szCs w:val="21"/>
              </w:rPr>
            </w:pPr>
            <w:r>
              <w:rPr>
                <w:rFonts w:ascii="Times New Roman" w:hAnsi="Times New Roman" w:eastAsia="仿宋" w:cs="Times New Roman"/>
                <w:szCs w:val="21"/>
              </w:rPr>
              <w:t>（3.2）按蓝山县突发环境事件应急预案有关要求执行。</w:t>
            </w:r>
          </w:p>
        </w:tc>
        <w:tc>
          <w:tcPr>
            <w:tcW w:w="3708" w:type="dxa"/>
            <w:gridSpan w:val="2"/>
            <w:vMerge w:val="continue"/>
            <w:vAlign w:val="center"/>
          </w:tcPr>
          <w:p w14:paraId="157B00F6">
            <w:pPr>
              <w:rPr>
                <w:rFonts w:ascii="Times New Roman" w:hAnsi="Times New Roman" w:eastAsia="仿宋" w:cs="Times New Roman"/>
                <w:szCs w:val="21"/>
              </w:rPr>
            </w:pPr>
          </w:p>
        </w:tc>
      </w:tr>
      <w:tr w14:paraId="166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863D29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351" w:type="dxa"/>
            <w:gridSpan w:val="9"/>
            <w:vAlign w:val="center"/>
          </w:tcPr>
          <w:p w14:paraId="34B610BD">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（4.1）</w:t>
            </w:r>
            <w:r>
              <w:rPr>
                <w:rFonts w:ascii="Times New Roman" w:hAnsi="Times New Roman" w:eastAsia="仿宋" w:cs="Times New Roman"/>
                <w:szCs w:val="21"/>
              </w:rPr>
              <w:t>执行湖南省总体要求、永州市基本要求中与资源开发有关的规定。</w:t>
            </w:r>
          </w:p>
          <w:p w14:paraId="18C1018C">
            <w:pPr>
              <w:ind w:firstLine="420" w:firstLineChars="200"/>
              <w:rPr>
                <w:rFonts w:ascii="Times New Roman" w:hAnsi="Times New Roman" w:eastAsia="仿宋" w:cs="Times New Roman"/>
                <w:szCs w:val="21"/>
              </w:rPr>
            </w:pPr>
            <w:r>
              <w:rPr>
                <w:rFonts w:ascii="Times New Roman" w:hAnsi="Times New Roman" w:eastAsia="仿宋" w:cs="Times New Roman"/>
                <w:szCs w:val="21"/>
              </w:rPr>
              <w:t>（4.2）蓝山县到2035年，耕地保有量不低于18270.96公顷；永久基本农田保护面积25.26万亩，生态保护红线面积53.02万亩，城镇开发边界规模3865.万亩。</w:t>
            </w:r>
          </w:p>
          <w:p w14:paraId="6C99C91F">
            <w:pPr>
              <w:ind w:firstLine="420" w:firstLineChars="200"/>
              <w:rPr>
                <w:rFonts w:ascii="Times New Roman" w:hAnsi="Times New Roman" w:eastAsia="仿宋" w:cs="Times New Roman"/>
                <w:szCs w:val="21"/>
              </w:rPr>
            </w:pPr>
            <w:r>
              <w:rPr>
                <w:rFonts w:ascii="Times New Roman" w:hAnsi="Times New Roman" w:eastAsia="仿宋" w:cs="Times New Roman"/>
                <w:szCs w:val="21"/>
              </w:rPr>
              <w:t>（4.3）到2025年，蓝山县用水总量目标为15144万m</w:t>
            </w:r>
            <w:r>
              <w:rPr>
                <w:rFonts w:ascii="Times New Roman" w:hAnsi="Times New Roman" w:eastAsia="仿宋" w:cs="Times New Roman"/>
                <w:szCs w:val="21"/>
                <w:vertAlign w:val="superscript"/>
              </w:rPr>
              <w:t>3</w:t>
            </w:r>
            <w:r>
              <w:rPr>
                <w:rFonts w:ascii="Times New Roman" w:hAnsi="Times New Roman" w:eastAsia="仿宋" w:cs="Times New Roman"/>
                <w:szCs w:val="21"/>
              </w:rPr>
              <w:t>，农业用水总量为11457万m</w:t>
            </w:r>
            <w:r>
              <w:rPr>
                <w:rFonts w:ascii="Times New Roman" w:hAnsi="Times New Roman" w:eastAsia="仿宋" w:cs="Times New Roman"/>
                <w:szCs w:val="21"/>
                <w:vertAlign w:val="superscript"/>
              </w:rPr>
              <w:t>3</w:t>
            </w:r>
            <w:r>
              <w:rPr>
                <w:rFonts w:ascii="Times New Roman" w:hAnsi="Times New Roman" w:eastAsia="仿宋" w:cs="Times New Roman"/>
                <w:szCs w:val="21"/>
              </w:rPr>
              <w:t>，万元地区生产总值用水量、万元工业增加值用水量分别比2020年降低16.28%、8.87%，农田灌溉水有效利用系数为0.555。</w:t>
            </w:r>
          </w:p>
        </w:tc>
        <w:tc>
          <w:tcPr>
            <w:tcW w:w="3708" w:type="dxa"/>
            <w:gridSpan w:val="2"/>
            <w:vMerge w:val="continue"/>
            <w:vAlign w:val="center"/>
          </w:tcPr>
          <w:p w14:paraId="3AF41D24">
            <w:pPr>
              <w:rPr>
                <w:rFonts w:ascii="Times New Roman" w:hAnsi="Times New Roman" w:eastAsia="仿宋" w:cs="Times New Roman"/>
                <w:szCs w:val="21"/>
              </w:rPr>
            </w:pPr>
          </w:p>
        </w:tc>
      </w:tr>
    </w:tbl>
    <w:p w14:paraId="598BB8F6">
      <w:pPr>
        <w:pStyle w:val="19"/>
        <w:spacing w:after="0"/>
        <w:rPr>
          <w:rFonts w:eastAsia="仿宋"/>
          <w:szCs w:val="21"/>
        </w:rPr>
      </w:pPr>
    </w:p>
    <w:p w14:paraId="54BACAD1">
      <w:pPr>
        <w:rPr>
          <w:rFonts w:ascii="Times New Roman" w:hAnsi="Times New Roman" w:eastAsia="仿宋" w:cs="Times New Roman"/>
          <w:szCs w:val="21"/>
        </w:rPr>
      </w:pPr>
      <w:r>
        <w:rPr>
          <w:rFonts w:ascii="Times New Roman" w:hAnsi="Times New Roman" w:eastAsia="仿宋" w:cs="Times New Roman"/>
          <w:szCs w:val="21"/>
        </w:rPr>
        <w:br w:type="page"/>
      </w:r>
    </w:p>
    <w:p w14:paraId="4F99ADCE">
      <w:pPr>
        <w:spacing w:line="348" w:lineRule="auto"/>
        <w:jc w:val="center"/>
        <w:outlineLvl w:val="0"/>
        <w:rPr>
          <w:rFonts w:ascii="Times New Roman" w:hAnsi="Times New Roman" w:eastAsia="仿宋" w:cs="Times New Roman"/>
          <w:b/>
          <w:szCs w:val="21"/>
        </w:rPr>
      </w:pPr>
      <w:bookmarkStart w:id="72" w:name="_Toc20484775"/>
      <w:bookmarkStart w:id="73" w:name="_Toc29894"/>
      <w:bookmarkStart w:id="74" w:name="_Toc14419471"/>
      <w:bookmarkStart w:id="75" w:name="_Toc58452428"/>
      <w:bookmarkStart w:id="76" w:name="_Toc160709119"/>
      <w:r>
        <w:rPr>
          <w:rFonts w:ascii="Times New Roman" w:hAnsi="Times New Roman" w:eastAsia="仿宋" w:cs="Times New Roman"/>
          <w:b/>
          <w:szCs w:val="21"/>
        </w:rPr>
        <w:t>10  新田县</w:t>
      </w:r>
      <w:bookmarkEnd w:id="72"/>
      <w:bookmarkEnd w:id="73"/>
      <w:bookmarkEnd w:id="74"/>
      <w:bookmarkEnd w:id="75"/>
      <w:bookmarkEnd w:id="76"/>
    </w:p>
    <w:tbl>
      <w:tblPr>
        <w:tblStyle w:val="20"/>
        <w:tblW w:w="14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963"/>
        <w:gridCol w:w="481"/>
        <w:gridCol w:w="425"/>
        <w:gridCol w:w="567"/>
        <w:gridCol w:w="709"/>
        <w:gridCol w:w="1276"/>
        <w:gridCol w:w="1275"/>
        <w:gridCol w:w="993"/>
        <w:gridCol w:w="1701"/>
        <w:gridCol w:w="567"/>
        <w:gridCol w:w="4057"/>
      </w:tblGrid>
      <w:tr w14:paraId="0606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Merge w:val="restart"/>
            <w:vAlign w:val="center"/>
          </w:tcPr>
          <w:p w14:paraId="6D9020C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963" w:type="dxa"/>
            <w:vMerge w:val="restart"/>
            <w:vAlign w:val="center"/>
          </w:tcPr>
          <w:p w14:paraId="106B566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73" w:type="dxa"/>
            <w:gridSpan w:val="3"/>
            <w:vAlign w:val="center"/>
          </w:tcPr>
          <w:p w14:paraId="2025EE6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41BE1DE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76" w:type="dxa"/>
            <w:vMerge w:val="restart"/>
            <w:vAlign w:val="center"/>
          </w:tcPr>
          <w:p w14:paraId="488AE65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5" w:type="dxa"/>
            <w:vMerge w:val="restart"/>
            <w:vAlign w:val="center"/>
          </w:tcPr>
          <w:p w14:paraId="09FCB26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993" w:type="dxa"/>
            <w:vMerge w:val="restart"/>
            <w:vAlign w:val="center"/>
          </w:tcPr>
          <w:p w14:paraId="6FB5477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701" w:type="dxa"/>
            <w:vMerge w:val="restart"/>
            <w:vAlign w:val="center"/>
          </w:tcPr>
          <w:p w14:paraId="46ED45E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4624" w:type="dxa"/>
            <w:gridSpan w:val="2"/>
            <w:vMerge w:val="restart"/>
            <w:vAlign w:val="center"/>
          </w:tcPr>
          <w:p w14:paraId="3D4052D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vertAlign w:val="superscript"/>
              </w:rPr>
              <w:t>①</w:t>
            </w:r>
          </w:p>
        </w:tc>
      </w:tr>
      <w:tr w14:paraId="6B95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03" w:type="dxa"/>
            <w:vMerge w:val="continue"/>
            <w:vAlign w:val="center"/>
          </w:tcPr>
          <w:p w14:paraId="168CAD94">
            <w:pPr>
              <w:widowControl/>
              <w:jc w:val="left"/>
              <w:rPr>
                <w:rFonts w:ascii="Times New Roman" w:hAnsi="Times New Roman" w:eastAsia="仿宋" w:cs="Times New Roman"/>
                <w:b/>
                <w:kern w:val="0"/>
                <w:szCs w:val="21"/>
              </w:rPr>
            </w:pPr>
          </w:p>
        </w:tc>
        <w:tc>
          <w:tcPr>
            <w:tcW w:w="963" w:type="dxa"/>
            <w:vMerge w:val="continue"/>
            <w:vAlign w:val="center"/>
          </w:tcPr>
          <w:p w14:paraId="30B51B2C">
            <w:pPr>
              <w:widowControl/>
              <w:jc w:val="left"/>
              <w:rPr>
                <w:rFonts w:ascii="Times New Roman" w:hAnsi="Times New Roman" w:eastAsia="仿宋" w:cs="Times New Roman"/>
                <w:b/>
                <w:kern w:val="0"/>
                <w:szCs w:val="21"/>
              </w:rPr>
            </w:pPr>
          </w:p>
        </w:tc>
        <w:tc>
          <w:tcPr>
            <w:tcW w:w="481" w:type="dxa"/>
            <w:vAlign w:val="center"/>
          </w:tcPr>
          <w:p w14:paraId="051D3A86">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5" w:type="dxa"/>
            <w:vAlign w:val="center"/>
          </w:tcPr>
          <w:p w14:paraId="360AF1F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567" w:type="dxa"/>
            <w:vAlign w:val="center"/>
          </w:tcPr>
          <w:p w14:paraId="6868CD3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5F22770C">
            <w:pPr>
              <w:widowControl/>
              <w:jc w:val="left"/>
              <w:rPr>
                <w:rFonts w:ascii="Times New Roman" w:hAnsi="Times New Roman" w:eastAsia="仿宋" w:cs="Times New Roman"/>
                <w:b/>
                <w:kern w:val="0"/>
                <w:szCs w:val="21"/>
              </w:rPr>
            </w:pPr>
          </w:p>
        </w:tc>
        <w:tc>
          <w:tcPr>
            <w:tcW w:w="1276" w:type="dxa"/>
            <w:vMerge w:val="continue"/>
            <w:vAlign w:val="center"/>
          </w:tcPr>
          <w:p w14:paraId="4F7C4142">
            <w:pPr>
              <w:widowControl/>
              <w:jc w:val="left"/>
              <w:rPr>
                <w:rFonts w:ascii="Times New Roman" w:hAnsi="Times New Roman" w:eastAsia="仿宋" w:cs="Times New Roman"/>
                <w:b/>
                <w:kern w:val="0"/>
                <w:szCs w:val="21"/>
              </w:rPr>
            </w:pPr>
          </w:p>
        </w:tc>
        <w:tc>
          <w:tcPr>
            <w:tcW w:w="1275" w:type="dxa"/>
            <w:vMerge w:val="continue"/>
            <w:vAlign w:val="center"/>
          </w:tcPr>
          <w:p w14:paraId="5E0818B8">
            <w:pPr>
              <w:widowControl/>
              <w:jc w:val="left"/>
              <w:rPr>
                <w:rFonts w:ascii="Times New Roman" w:hAnsi="Times New Roman" w:eastAsia="仿宋" w:cs="Times New Roman"/>
                <w:b/>
                <w:kern w:val="0"/>
                <w:szCs w:val="21"/>
              </w:rPr>
            </w:pPr>
          </w:p>
        </w:tc>
        <w:tc>
          <w:tcPr>
            <w:tcW w:w="993" w:type="dxa"/>
            <w:vMerge w:val="continue"/>
            <w:vAlign w:val="center"/>
          </w:tcPr>
          <w:p w14:paraId="3E30B275">
            <w:pPr>
              <w:widowControl/>
              <w:jc w:val="left"/>
              <w:rPr>
                <w:rFonts w:ascii="Times New Roman" w:hAnsi="Times New Roman" w:eastAsia="仿宋" w:cs="Times New Roman"/>
                <w:b/>
                <w:kern w:val="0"/>
                <w:szCs w:val="21"/>
              </w:rPr>
            </w:pPr>
          </w:p>
        </w:tc>
        <w:tc>
          <w:tcPr>
            <w:tcW w:w="1701" w:type="dxa"/>
            <w:vMerge w:val="continue"/>
            <w:vAlign w:val="center"/>
          </w:tcPr>
          <w:p w14:paraId="430A3F31">
            <w:pPr>
              <w:widowControl/>
              <w:jc w:val="left"/>
              <w:rPr>
                <w:rFonts w:ascii="Times New Roman" w:hAnsi="Times New Roman" w:eastAsia="仿宋" w:cs="Times New Roman"/>
                <w:b/>
                <w:kern w:val="0"/>
                <w:szCs w:val="21"/>
              </w:rPr>
            </w:pPr>
          </w:p>
        </w:tc>
        <w:tc>
          <w:tcPr>
            <w:tcW w:w="4624" w:type="dxa"/>
            <w:gridSpan w:val="2"/>
            <w:vMerge w:val="continue"/>
            <w:vAlign w:val="center"/>
          </w:tcPr>
          <w:p w14:paraId="7A24A7B9">
            <w:pPr>
              <w:widowControl/>
              <w:jc w:val="left"/>
              <w:rPr>
                <w:rFonts w:ascii="Times New Roman" w:hAnsi="Times New Roman" w:eastAsia="仿宋" w:cs="Times New Roman"/>
                <w:b/>
                <w:kern w:val="0"/>
                <w:szCs w:val="21"/>
              </w:rPr>
            </w:pPr>
          </w:p>
        </w:tc>
      </w:tr>
      <w:tr w14:paraId="0CBC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55A456C1">
            <w:pPr>
              <w:widowControl/>
              <w:jc w:val="center"/>
              <w:rPr>
                <w:rFonts w:ascii="Times New Roman" w:hAnsi="Times New Roman" w:eastAsia="仿宋" w:cs="Times New Roman"/>
                <w:kern w:val="0"/>
                <w:szCs w:val="21"/>
              </w:rPr>
            </w:pPr>
            <w:bookmarkStart w:id="77" w:name="_Hlk58580280"/>
            <w:r>
              <w:rPr>
                <w:rFonts w:ascii="Times New Roman" w:hAnsi="Times New Roman" w:eastAsia="仿宋" w:cs="Times New Roman"/>
                <w:kern w:val="0"/>
                <w:szCs w:val="21"/>
              </w:rPr>
              <w:t>ZH43112810001</w:t>
            </w:r>
            <w:bookmarkEnd w:id="77"/>
          </w:p>
        </w:tc>
        <w:tc>
          <w:tcPr>
            <w:tcW w:w="963" w:type="dxa"/>
            <w:vAlign w:val="center"/>
          </w:tcPr>
          <w:p w14:paraId="1896D10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骥村镇/金陵镇/门楼下瑶族乡</w:t>
            </w:r>
          </w:p>
        </w:tc>
        <w:tc>
          <w:tcPr>
            <w:tcW w:w="481" w:type="dxa"/>
            <w:vAlign w:val="center"/>
          </w:tcPr>
          <w:p w14:paraId="53D378B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5" w:type="dxa"/>
            <w:vAlign w:val="center"/>
          </w:tcPr>
          <w:p w14:paraId="72277ABB">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7" w:type="dxa"/>
            <w:vAlign w:val="center"/>
          </w:tcPr>
          <w:p w14:paraId="16CA337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新田县</w:t>
            </w:r>
          </w:p>
        </w:tc>
        <w:tc>
          <w:tcPr>
            <w:tcW w:w="709" w:type="dxa"/>
            <w:vAlign w:val="center"/>
          </w:tcPr>
          <w:p w14:paraId="6AF67D4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276" w:type="dxa"/>
            <w:shd w:val="clear" w:color="auto" w:fill="auto"/>
            <w:vAlign w:val="center"/>
          </w:tcPr>
          <w:p w14:paraId="3B8DF7B2">
            <w:pPr>
              <w:widowControl/>
              <w:jc w:val="center"/>
              <w:rPr>
                <w:rFonts w:ascii="Times New Roman" w:hAnsi="Times New Roman" w:eastAsia="仿宋" w:cs="Times New Roman"/>
                <w:strike/>
                <w:kern w:val="0"/>
                <w:szCs w:val="21"/>
              </w:rPr>
            </w:pPr>
            <w:r>
              <w:rPr>
                <w:rFonts w:ascii="Times New Roman" w:hAnsi="Times New Roman" w:eastAsia="仿宋" w:cs="Times New Roman"/>
                <w:szCs w:val="21"/>
              </w:rPr>
              <w:t>320.40</w:t>
            </w:r>
          </w:p>
        </w:tc>
        <w:tc>
          <w:tcPr>
            <w:tcW w:w="1275" w:type="dxa"/>
            <w:shd w:val="clear" w:color="auto" w:fill="auto"/>
            <w:vAlign w:val="center"/>
          </w:tcPr>
          <w:p w14:paraId="63E6126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骥村镇/金陵镇/门楼下瑶族乡</w:t>
            </w:r>
          </w:p>
        </w:tc>
        <w:tc>
          <w:tcPr>
            <w:tcW w:w="993" w:type="dxa"/>
            <w:vAlign w:val="center"/>
          </w:tcPr>
          <w:p w14:paraId="5B41F569">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骥村镇/金陵镇/门楼下瑶族乡：</w:t>
            </w:r>
            <w:r>
              <w:rPr>
                <w:rFonts w:ascii="Times New Roman" w:hAnsi="Times New Roman" w:eastAsia="仿宋" w:cs="Times New Roman"/>
                <w:kern w:val="0"/>
                <w:szCs w:val="21"/>
              </w:rPr>
              <w:t>重点生态功能区</w:t>
            </w:r>
          </w:p>
        </w:tc>
        <w:tc>
          <w:tcPr>
            <w:tcW w:w="1701" w:type="dxa"/>
            <w:vAlign w:val="center"/>
          </w:tcPr>
          <w:p w14:paraId="63251AB0">
            <w:pPr>
              <w:widowControl/>
              <w:jc w:val="center"/>
              <w:rPr>
                <w:rFonts w:ascii="Times New Roman" w:hAnsi="Times New Roman" w:eastAsia="仿宋" w:cs="Times New Roman"/>
                <w:kern w:val="0"/>
                <w:szCs w:val="21"/>
              </w:rPr>
            </w:pPr>
            <w:r>
              <w:rPr>
                <w:rFonts w:ascii="Times New Roman" w:hAnsi="Times New Roman" w:eastAsia="仿宋" w:cs="Times New Roman"/>
                <w:szCs w:val="21"/>
              </w:rPr>
              <w:t>林业、农业</w:t>
            </w:r>
          </w:p>
        </w:tc>
        <w:tc>
          <w:tcPr>
            <w:tcW w:w="4624" w:type="dxa"/>
            <w:gridSpan w:val="2"/>
            <w:vAlign w:val="center"/>
          </w:tcPr>
          <w:p w14:paraId="34ABFEAD">
            <w:pPr>
              <w:widowControl/>
              <w:rPr>
                <w:rFonts w:ascii="Times New Roman" w:hAnsi="Times New Roman" w:eastAsia="仿宋" w:cs="Times New Roman"/>
                <w:szCs w:val="21"/>
              </w:rPr>
            </w:pPr>
            <w:r>
              <w:rPr>
                <w:rFonts w:ascii="Times New Roman" w:hAnsi="Times New Roman" w:eastAsia="仿宋" w:cs="Times New Roman"/>
                <w:b/>
                <w:bCs/>
                <w:szCs w:val="21"/>
              </w:rPr>
              <w:t>金陵镇、骥村镇：</w:t>
            </w:r>
            <w:r>
              <w:rPr>
                <w:rFonts w:ascii="Times New Roman" w:hAnsi="Times New Roman" w:eastAsia="仿宋" w:cs="Times New Roman"/>
                <w:szCs w:val="21"/>
              </w:rPr>
              <w:t>无明显环境问题。</w:t>
            </w:r>
          </w:p>
          <w:p w14:paraId="2E61785E">
            <w:pPr>
              <w:widowControl/>
              <w:rPr>
                <w:rFonts w:ascii="Times New Roman" w:hAnsi="Times New Roman" w:eastAsia="仿宋" w:cs="Times New Roman"/>
                <w:strike/>
                <w:kern w:val="0"/>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湖南新田县新田河湿地公园、湖南福音山国家森林公园等。</w:t>
            </w:r>
          </w:p>
        </w:tc>
      </w:tr>
      <w:tr w14:paraId="4670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jc w:val="center"/>
        </w:trPr>
        <w:tc>
          <w:tcPr>
            <w:tcW w:w="1103" w:type="dxa"/>
            <w:vAlign w:val="center"/>
          </w:tcPr>
          <w:p w14:paraId="34F8FC5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3014" w:type="dxa"/>
            <w:gridSpan w:val="11"/>
            <w:vAlign w:val="center"/>
          </w:tcPr>
          <w:p w14:paraId="440521FF">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bCs/>
                <w:kern w:val="0"/>
                <w:szCs w:val="21"/>
              </w:rPr>
              <w:t>骥村镇</w:t>
            </w:r>
            <w:r>
              <w:rPr>
                <w:rFonts w:ascii="Times New Roman" w:hAnsi="Times New Roman" w:eastAsia="仿宋" w:cs="Times New Roman"/>
                <w:kern w:val="0"/>
                <w:szCs w:val="21"/>
              </w:rPr>
              <w:t>：</w:t>
            </w:r>
          </w:p>
          <w:p w14:paraId="22208DF8">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红线/一般生态空间（三区三线生态红线/水源涵养重要区/森林公园/湿地公园/水土流失敏感区/原生态红线/生物多样性保护功能重要区）；水环境优先保护区/水环境一般管控区；大气环境优先保护区/大气环境受体敏感重点管控区；农用地优先保护区/一般管控区</w:t>
            </w:r>
          </w:p>
          <w:p w14:paraId="0F3DC8C9">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bCs/>
                <w:kern w:val="0"/>
                <w:szCs w:val="21"/>
              </w:rPr>
              <w:t>金陵镇</w:t>
            </w:r>
            <w:r>
              <w:rPr>
                <w:rFonts w:ascii="Times New Roman" w:hAnsi="Times New Roman" w:eastAsia="仿宋" w:cs="Times New Roman"/>
                <w:kern w:val="0"/>
                <w:szCs w:val="21"/>
              </w:rPr>
              <w:t>：</w:t>
            </w:r>
          </w:p>
          <w:p w14:paraId="74751D65">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kern w:val="0"/>
                <w:szCs w:val="21"/>
              </w:rPr>
              <w:t>红线/一般生态空间（森林公园/三区三线生态红线/水源涵养重要区/生物多样性保护功能重要区/水土流失敏感区/水土保持功能重要区/原生态红线/石漠化敏感区）；水环境优先保护区/水环境一般管控区；大气环境优先保护区/大气环境受体敏感重点管控区/大气环境弱扩散重点管控区；农用地优先保护区/建设用地重点管控区/其他重点管控区/一般管控区</w:t>
            </w:r>
          </w:p>
          <w:p w14:paraId="60228770">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bCs/>
                <w:kern w:val="0"/>
                <w:szCs w:val="21"/>
              </w:rPr>
              <w:t>门楼下瑶族乡</w:t>
            </w:r>
            <w:r>
              <w:rPr>
                <w:rFonts w:ascii="Times New Roman" w:hAnsi="Times New Roman" w:eastAsia="仿宋" w:cs="Times New Roman"/>
                <w:kern w:val="0"/>
                <w:szCs w:val="21"/>
              </w:rPr>
              <w:t>：</w:t>
            </w:r>
          </w:p>
          <w:p w14:paraId="3A7CBE84">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kern w:val="0"/>
                <w:szCs w:val="21"/>
              </w:rPr>
              <w:t>红线/一般生态空间（水源涵养重要区/三区三线生态红线/森林公园/水土保持功能重要区/生物多样性保护功能重要区/原生态红线/水土流失敏感区/湿地公园）；水环境一般管控区；大气环境优先保护区</w:t>
            </w:r>
            <w:r>
              <w:rPr>
                <w:rFonts w:ascii="Times New Roman" w:hAnsi="Times New Roman" w:eastAsia="仿宋" w:cs="Times New Roman"/>
                <w:b/>
                <w:bCs/>
                <w:kern w:val="0"/>
                <w:szCs w:val="21"/>
              </w:rPr>
              <w:t>；</w:t>
            </w:r>
            <w:r>
              <w:rPr>
                <w:rFonts w:ascii="Times New Roman" w:hAnsi="Times New Roman" w:eastAsia="仿宋" w:cs="Times New Roman"/>
                <w:kern w:val="0"/>
                <w:szCs w:val="21"/>
              </w:rPr>
              <w:t>农用地优先保护区/一般管控区</w:t>
            </w:r>
          </w:p>
        </w:tc>
      </w:tr>
      <w:tr w14:paraId="1E95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50271343">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957" w:type="dxa"/>
            <w:gridSpan w:val="10"/>
            <w:vAlign w:val="center"/>
          </w:tcPr>
          <w:p w14:paraId="1AD32A6E">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057" w:type="dxa"/>
            <w:vAlign w:val="center"/>
          </w:tcPr>
          <w:p w14:paraId="2E00C56F">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908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103" w:type="dxa"/>
            <w:vAlign w:val="center"/>
          </w:tcPr>
          <w:p w14:paraId="168B195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957" w:type="dxa"/>
            <w:gridSpan w:val="10"/>
            <w:vAlign w:val="center"/>
          </w:tcPr>
          <w:p w14:paraId="07244DF4">
            <w:pPr>
              <w:pStyle w:val="55"/>
              <w:rPr>
                <w:rFonts w:eastAsia="仿宋"/>
                <w:szCs w:val="21"/>
              </w:rPr>
            </w:pPr>
            <w:r>
              <w:rPr>
                <w:rFonts w:eastAsia="仿宋"/>
                <w:szCs w:val="21"/>
              </w:rPr>
              <w:t>（1.1）产业准入应严格执行国家、省级关于主体功能区划的环境保护及产业准入负面清单要求。</w:t>
            </w:r>
          </w:p>
          <w:p w14:paraId="3C95120B">
            <w:pPr>
              <w:pStyle w:val="55"/>
              <w:rPr>
                <w:rFonts w:eastAsia="仿宋"/>
                <w:szCs w:val="21"/>
              </w:rPr>
            </w:pPr>
            <w:r>
              <w:rPr>
                <w:rFonts w:eastAsia="仿宋"/>
                <w:szCs w:val="21"/>
              </w:rPr>
              <w:t>（1.2）畜禽养殖产业布局应符合《湖南省新</w:t>
            </w:r>
            <w:r>
              <w:rPr>
                <w:rFonts w:eastAsia="仿宋"/>
                <w:kern w:val="0"/>
                <w:szCs w:val="21"/>
              </w:rPr>
              <w:t>田县畜禽规模养殖“三区”划定方案》</w:t>
            </w:r>
            <w:r>
              <w:rPr>
                <w:rFonts w:eastAsia="仿宋"/>
                <w:szCs w:val="21"/>
              </w:rPr>
              <w:t>。</w:t>
            </w:r>
          </w:p>
        </w:tc>
        <w:tc>
          <w:tcPr>
            <w:tcW w:w="4057" w:type="dxa"/>
            <w:vMerge w:val="restart"/>
            <w:vAlign w:val="center"/>
          </w:tcPr>
          <w:p w14:paraId="209CC507">
            <w:pPr>
              <w:rPr>
                <w:rFonts w:ascii="Times New Roman" w:hAnsi="Times New Roman" w:eastAsia="仿宋" w:cs="Times New Roman"/>
                <w:kern w:val="0"/>
                <w:szCs w:val="21"/>
              </w:rPr>
            </w:pPr>
            <w:r>
              <w:rPr>
                <w:rFonts w:ascii="Times New Roman" w:hAnsi="Times New Roman" w:eastAsia="仿宋" w:cs="Times New Roman"/>
                <w:szCs w:val="21"/>
              </w:rPr>
              <w:t>（1.2）《湖南省新</w:t>
            </w:r>
            <w:r>
              <w:rPr>
                <w:rFonts w:ascii="Times New Roman" w:hAnsi="Times New Roman" w:eastAsia="仿宋" w:cs="Times New Roman"/>
                <w:kern w:val="0"/>
                <w:szCs w:val="21"/>
              </w:rPr>
              <w:t>田县畜禽规模养殖“三区”划定方案》（2019年11月）；</w:t>
            </w:r>
          </w:p>
          <w:p w14:paraId="1C155DBE">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5D358F61">
            <w:pPr>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p>
          <w:p w14:paraId="2308FA12">
            <w:pPr>
              <w:rPr>
                <w:rFonts w:ascii="Times New Roman" w:hAnsi="Times New Roman" w:eastAsia="仿宋" w:cs="Times New Roman"/>
                <w:szCs w:val="21"/>
              </w:rPr>
            </w:pPr>
            <w:r>
              <w:rPr>
                <w:rFonts w:ascii="Times New Roman" w:hAnsi="Times New Roman" w:eastAsia="仿宋" w:cs="Times New Roman"/>
                <w:szCs w:val="21"/>
              </w:rPr>
              <w:t>（3.1）《永州市新田县“十四五”生态环境保护规划（2021-2025）研究报告》；</w:t>
            </w:r>
          </w:p>
          <w:p w14:paraId="15738AA1">
            <w:pPr>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0160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50B03E6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957" w:type="dxa"/>
            <w:gridSpan w:val="10"/>
            <w:vAlign w:val="center"/>
          </w:tcPr>
          <w:p w14:paraId="2C99F904">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（2.1）有关行业新建项目必须执行《新田县环境突出问题集中整治重点行业操作规范（试行）》，现有项目必须在规定期限内达到《规范》要求，否则自行淘汰退出。</w:t>
            </w:r>
          </w:p>
          <w:p w14:paraId="3444AD1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w:t>
            </w:r>
            <w:r>
              <w:rPr>
                <w:rFonts w:ascii="Times New Roman" w:hAnsi="Times New Roman" w:cs="Times New Roman"/>
              </w:rPr>
              <w:t>全</w:t>
            </w:r>
            <w:r>
              <w:rPr>
                <w:rFonts w:ascii="Times New Roman" w:hAnsi="Times New Roman" w:eastAsia="仿宋" w:cs="Times New Roman"/>
                <w:szCs w:val="21"/>
              </w:rPr>
              <w:t>面推广并形成“户分类减量、村收集利用、镇少量中转、县处理处置”等符合农村实情、具有新田县特色的农村垃圾收集处理体系。</w:t>
            </w:r>
          </w:p>
          <w:p w14:paraId="67C4065B">
            <w:pPr>
              <w:tabs>
                <w:tab w:val="left" w:pos="1021"/>
              </w:tabs>
              <w:ind w:firstLine="420" w:firstLineChars="200"/>
              <w:rPr>
                <w:rFonts w:ascii="Times New Roman" w:hAnsi="Times New Roman" w:eastAsia="仿宋" w:cs="Times New Roman"/>
                <w:szCs w:val="21"/>
              </w:rPr>
            </w:pPr>
            <w:bookmarkStart w:id="78" w:name="_Hlk58580304"/>
            <w:r>
              <w:rPr>
                <w:rFonts w:ascii="Times New Roman" w:hAnsi="Times New Roman" w:eastAsia="仿宋" w:cs="Times New Roman"/>
                <w:szCs w:val="21"/>
              </w:rPr>
              <w:t>（2.3）</w:t>
            </w:r>
            <w:r>
              <w:rPr>
                <w:rFonts w:ascii="Times New Roman" w:hAnsi="Times New Roman" w:eastAsia="仿宋" w:cs="Times New Roman"/>
                <w:b/>
                <w:bCs/>
                <w:szCs w:val="21"/>
              </w:rPr>
              <w:t>门楼下瑶族乡：</w:t>
            </w:r>
            <w:r>
              <w:rPr>
                <w:rFonts w:ascii="Times New Roman" w:hAnsi="Times New Roman" w:eastAsia="仿宋" w:cs="Times New Roman"/>
                <w:szCs w:val="21"/>
              </w:rPr>
              <w:t>风电场应当做好生态保护和修复工作。</w:t>
            </w:r>
            <w:bookmarkEnd w:id="78"/>
          </w:p>
        </w:tc>
        <w:tc>
          <w:tcPr>
            <w:tcW w:w="4057" w:type="dxa"/>
            <w:vMerge w:val="continue"/>
            <w:vAlign w:val="center"/>
          </w:tcPr>
          <w:p w14:paraId="37A85184">
            <w:pPr>
              <w:widowControl/>
              <w:jc w:val="left"/>
              <w:rPr>
                <w:rFonts w:ascii="Times New Roman" w:hAnsi="Times New Roman" w:eastAsia="仿宋" w:cs="Times New Roman"/>
                <w:szCs w:val="21"/>
              </w:rPr>
            </w:pPr>
          </w:p>
        </w:tc>
      </w:tr>
      <w:tr w14:paraId="2F81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405BC0C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957" w:type="dxa"/>
            <w:gridSpan w:val="10"/>
            <w:vAlign w:val="center"/>
          </w:tcPr>
          <w:p w14:paraId="32545885">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（3.1）加强饮用水水源地风险管控，严格保护饮用水水质安全。</w:t>
            </w:r>
          </w:p>
          <w:p w14:paraId="7D8191BD">
            <w:pPr>
              <w:tabs>
                <w:tab w:val="left" w:pos="1021"/>
              </w:tabs>
              <w:ind w:firstLine="420" w:firstLineChars="200"/>
              <w:rPr>
                <w:rFonts w:ascii="Times New Roman" w:hAnsi="Times New Roman" w:eastAsia="仿宋" w:cs="Times New Roman"/>
                <w:kern w:val="0"/>
                <w:szCs w:val="21"/>
              </w:rPr>
            </w:pPr>
            <w:bookmarkStart w:id="79" w:name="_Hlk58580416"/>
            <w:r>
              <w:rPr>
                <w:rFonts w:ascii="Times New Roman" w:hAnsi="Times New Roman" w:eastAsia="仿宋" w:cs="Times New Roman"/>
                <w:kern w:val="0"/>
                <w:szCs w:val="21"/>
              </w:rPr>
              <w:t>（3.2）门楼下瑶族乡：加强对山体滑坡、泥石流等自然灾害的监测预警，加强生态建设。</w:t>
            </w:r>
            <w:bookmarkEnd w:id="79"/>
          </w:p>
        </w:tc>
        <w:tc>
          <w:tcPr>
            <w:tcW w:w="4057" w:type="dxa"/>
            <w:vMerge w:val="continue"/>
            <w:vAlign w:val="center"/>
          </w:tcPr>
          <w:p w14:paraId="5014B915">
            <w:pPr>
              <w:widowControl/>
              <w:jc w:val="left"/>
              <w:rPr>
                <w:rFonts w:ascii="Times New Roman" w:hAnsi="Times New Roman" w:eastAsia="仿宋" w:cs="Times New Roman"/>
                <w:szCs w:val="21"/>
              </w:rPr>
            </w:pPr>
          </w:p>
        </w:tc>
      </w:tr>
      <w:tr w14:paraId="3D19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dxa"/>
            <w:vAlign w:val="center"/>
          </w:tcPr>
          <w:p w14:paraId="00F6E34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957" w:type="dxa"/>
            <w:gridSpan w:val="10"/>
            <w:vAlign w:val="center"/>
          </w:tcPr>
          <w:p w14:paraId="1713CB2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3123337B">
            <w:pPr>
              <w:widowControl/>
              <w:ind w:right="31" w:rightChars="15" w:firstLine="420" w:firstLineChars="200"/>
              <w:jc w:val="left"/>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4057" w:type="dxa"/>
            <w:vMerge w:val="continue"/>
            <w:vAlign w:val="center"/>
          </w:tcPr>
          <w:p w14:paraId="75B3C1DD">
            <w:pPr>
              <w:widowControl/>
              <w:jc w:val="left"/>
              <w:rPr>
                <w:rFonts w:ascii="Times New Roman" w:hAnsi="Times New Roman" w:eastAsia="仿宋" w:cs="Times New Roman"/>
                <w:szCs w:val="21"/>
              </w:rPr>
            </w:pPr>
          </w:p>
        </w:tc>
      </w:tr>
    </w:tbl>
    <w:p w14:paraId="43357BF9">
      <w:pPr>
        <w:widowControl/>
        <w:jc w:val="left"/>
        <w:rPr>
          <w:rFonts w:ascii="Times New Roman" w:hAnsi="Times New Roman" w:eastAsia="仿宋" w:cs="Times New Roman"/>
          <w:b/>
          <w:szCs w:val="21"/>
        </w:rPr>
      </w:pPr>
    </w:p>
    <w:p w14:paraId="2A5574DF">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425"/>
        <w:gridCol w:w="420"/>
        <w:gridCol w:w="567"/>
        <w:gridCol w:w="709"/>
        <w:gridCol w:w="1134"/>
        <w:gridCol w:w="1276"/>
        <w:gridCol w:w="1701"/>
        <w:gridCol w:w="1984"/>
        <w:gridCol w:w="851"/>
        <w:gridCol w:w="3141"/>
      </w:tblGrid>
      <w:tr w14:paraId="6B83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458CAECD">
            <w:pPr>
              <w:jc w:val="center"/>
              <w:rPr>
                <w:rFonts w:ascii="Times New Roman" w:hAnsi="Times New Roman" w:eastAsia="仿宋" w:cs="Times New Roman"/>
                <w:b/>
                <w:szCs w:val="21"/>
              </w:rPr>
            </w:pPr>
            <w:r>
              <w:rPr>
                <w:rFonts w:ascii="Times New Roman" w:hAnsi="Times New Roman" w:eastAsia="仿宋" w:cs="Times New Roman"/>
                <w:szCs w:val="21"/>
              </w:rPr>
              <w:br w:type="page"/>
            </w:r>
            <w:r>
              <w:rPr>
                <w:rFonts w:ascii="Times New Roman" w:hAnsi="Times New Roman" w:eastAsia="仿宋" w:cs="Times New Roman"/>
                <w:b/>
                <w:szCs w:val="21"/>
              </w:rPr>
              <w:br w:type="page"/>
            </w:r>
            <w:r>
              <w:rPr>
                <w:rFonts w:ascii="Times New Roman" w:hAnsi="Times New Roman" w:eastAsia="仿宋" w:cs="Times New Roman"/>
                <w:b/>
                <w:szCs w:val="21"/>
              </w:rPr>
              <w:t>环境管控单元编码</w:t>
            </w:r>
          </w:p>
        </w:tc>
        <w:tc>
          <w:tcPr>
            <w:tcW w:w="851" w:type="dxa"/>
            <w:vMerge w:val="restart"/>
            <w:vAlign w:val="center"/>
          </w:tcPr>
          <w:p w14:paraId="5F10EC06">
            <w:pPr>
              <w:jc w:val="center"/>
              <w:rPr>
                <w:rFonts w:ascii="Times New Roman" w:hAnsi="Times New Roman" w:eastAsia="仿宋" w:cs="Times New Roman"/>
                <w:b/>
                <w:szCs w:val="21"/>
              </w:rPr>
            </w:pPr>
            <w:r>
              <w:rPr>
                <w:rFonts w:ascii="Times New Roman" w:hAnsi="Times New Roman" w:eastAsia="仿宋" w:cs="Times New Roman"/>
                <w:b/>
                <w:szCs w:val="21"/>
              </w:rPr>
              <w:t>单元名称</w:t>
            </w:r>
          </w:p>
        </w:tc>
        <w:tc>
          <w:tcPr>
            <w:tcW w:w="1412" w:type="dxa"/>
            <w:gridSpan w:val="3"/>
            <w:vAlign w:val="center"/>
          </w:tcPr>
          <w:p w14:paraId="4F8B1567">
            <w:pPr>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709" w:type="dxa"/>
            <w:vMerge w:val="restart"/>
            <w:vAlign w:val="center"/>
          </w:tcPr>
          <w:p w14:paraId="15AA5EB3">
            <w:pPr>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29B7C3A3">
            <w:pPr>
              <w:jc w:val="center"/>
              <w:rPr>
                <w:rFonts w:ascii="Times New Roman" w:hAnsi="Times New Roman" w:eastAsia="仿宋" w:cs="Times New Roman"/>
                <w:b/>
                <w:szCs w:val="21"/>
              </w:rPr>
            </w:pPr>
            <w:r>
              <w:rPr>
                <w:rFonts w:ascii="Times New Roman" w:hAnsi="Times New Roman" w:eastAsia="仿宋" w:cs="Times New Roman"/>
                <w:b/>
                <w:szCs w:val="21"/>
              </w:rPr>
              <w:t>单元面积（km</w:t>
            </w:r>
            <w:r>
              <w:rPr>
                <w:rFonts w:ascii="Times New Roman" w:hAnsi="Times New Roman" w:eastAsia="仿宋" w:cs="Times New Roman"/>
                <w:b/>
                <w:szCs w:val="21"/>
                <w:vertAlign w:val="superscript"/>
              </w:rPr>
              <w:t>2</w:t>
            </w:r>
            <w:r>
              <w:rPr>
                <w:rFonts w:ascii="Times New Roman" w:hAnsi="Times New Roman" w:eastAsia="仿宋" w:cs="Times New Roman"/>
                <w:b/>
                <w:szCs w:val="21"/>
              </w:rPr>
              <w:t>）</w:t>
            </w:r>
          </w:p>
        </w:tc>
        <w:tc>
          <w:tcPr>
            <w:tcW w:w="1276" w:type="dxa"/>
            <w:vMerge w:val="restart"/>
            <w:vAlign w:val="center"/>
          </w:tcPr>
          <w:p w14:paraId="2BD61FA6">
            <w:pPr>
              <w:jc w:val="center"/>
              <w:rPr>
                <w:rFonts w:ascii="Times New Roman" w:hAnsi="Times New Roman" w:eastAsia="仿宋" w:cs="Times New Roman"/>
                <w:b/>
                <w:szCs w:val="21"/>
              </w:rPr>
            </w:pPr>
            <w:r>
              <w:rPr>
                <w:rFonts w:ascii="Times New Roman" w:hAnsi="Times New Roman" w:eastAsia="仿宋" w:cs="Times New Roman"/>
                <w:b/>
                <w:szCs w:val="21"/>
              </w:rPr>
              <w:t>涉及乡镇（街道）</w:t>
            </w:r>
          </w:p>
        </w:tc>
        <w:tc>
          <w:tcPr>
            <w:tcW w:w="1701" w:type="dxa"/>
            <w:vMerge w:val="restart"/>
            <w:vAlign w:val="center"/>
          </w:tcPr>
          <w:p w14:paraId="50E33032">
            <w:pPr>
              <w:jc w:val="center"/>
              <w:rPr>
                <w:rFonts w:ascii="Times New Roman" w:hAnsi="Times New Roman" w:eastAsia="仿宋" w:cs="Times New Roman"/>
                <w:b/>
                <w:szCs w:val="21"/>
              </w:rPr>
            </w:pPr>
            <w:r>
              <w:rPr>
                <w:rFonts w:ascii="Times New Roman" w:hAnsi="Times New Roman" w:eastAsia="仿宋" w:cs="Times New Roman"/>
                <w:b/>
                <w:szCs w:val="21"/>
              </w:rPr>
              <w:t>主体功能定位</w:t>
            </w:r>
          </w:p>
        </w:tc>
        <w:tc>
          <w:tcPr>
            <w:tcW w:w="2835" w:type="dxa"/>
            <w:gridSpan w:val="2"/>
            <w:vMerge w:val="restart"/>
            <w:vAlign w:val="center"/>
          </w:tcPr>
          <w:p w14:paraId="33BD7DBC">
            <w:pPr>
              <w:jc w:val="center"/>
              <w:rPr>
                <w:rFonts w:ascii="Times New Roman" w:hAnsi="Times New Roman" w:eastAsia="仿宋" w:cs="Times New Roman"/>
                <w:b/>
                <w:szCs w:val="21"/>
              </w:rPr>
            </w:pPr>
            <w:r>
              <w:rPr>
                <w:rFonts w:ascii="Times New Roman" w:hAnsi="Times New Roman" w:eastAsia="仿宋" w:cs="Times New Roman"/>
                <w:b/>
                <w:szCs w:val="21"/>
              </w:rPr>
              <w:t>经济产业布局</w:t>
            </w:r>
          </w:p>
        </w:tc>
        <w:tc>
          <w:tcPr>
            <w:tcW w:w="3141" w:type="dxa"/>
            <w:vMerge w:val="restart"/>
            <w:vAlign w:val="center"/>
          </w:tcPr>
          <w:p w14:paraId="654FFC51">
            <w:pPr>
              <w:jc w:val="center"/>
              <w:rPr>
                <w:rFonts w:ascii="Times New Roman" w:hAnsi="Times New Roman" w:eastAsia="仿宋" w:cs="Times New Roman"/>
                <w:b/>
                <w:szCs w:val="21"/>
              </w:rPr>
            </w:pPr>
            <w:r>
              <w:rPr>
                <w:rFonts w:ascii="Times New Roman" w:hAnsi="Times New Roman" w:eastAsia="仿宋" w:cs="Times New Roman"/>
                <w:b/>
                <w:kern w:val="0"/>
                <w:szCs w:val="21"/>
              </w:rPr>
              <w:t>主要环境问题和环保目标</w:t>
            </w:r>
          </w:p>
        </w:tc>
      </w:tr>
      <w:tr w14:paraId="5827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4" w:type="dxa"/>
            <w:vMerge w:val="continue"/>
            <w:vAlign w:val="center"/>
          </w:tcPr>
          <w:p w14:paraId="352AF0BD">
            <w:pPr>
              <w:rPr>
                <w:rFonts w:ascii="Times New Roman" w:hAnsi="Times New Roman" w:eastAsia="仿宋" w:cs="Times New Roman"/>
                <w:b/>
                <w:szCs w:val="21"/>
              </w:rPr>
            </w:pPr>
          </w:p>
        </w:tc>
        <w:tc>
          <w:tcPr>
            <w:tcW w:w="851" w:type="dxa"/>
            <w:vMerge w:val="continue"/>
            <w:vAlign w:val="center"/>
          </w:tcPr>
          <w:p w14:paraId="2ADE4205">
            <w:pPr>
              <w:rPr>
                <w:rFonts w:ascii="Times New Roman" w:hAnsi="Times New Roman" w:eastAsia="仿宋" w:cs="Times New Roman"/>
                <w:b/>
                <w:szCs w:val="21"/>
              </w:rPr>
            </w:pPr>
          </w:p>
        </w:tc>
        <w:tc>
          <w:tcPr>
            <w:tcW w:w="425" w:type="dxa"/>
            <w:vAlign w:val="center"/>
          </w:tcPr>
          <w:p w14:paraId="52A40506">
            <w:pPr>
              <w:jc w:val="center"/>
              <w:rPr>
                <w:rFonts w:ascii="Times New Roman" w:hAnsi="Times New Roman" w:eastAsia="仿宋" w:cs="Times New Roman"/>
                <w:szCs w:val="21"/>
              </w:rPr>
            </w:pPr>
            <w:r>
              <w:rPr>
                <w:rFonts w:ascii="Times New Roman" w:hAnsi="Times New Roman" w:eastAsia="仿宋" w:cs="Times New Roman"/>
                <w:szCs w:val="21"/>
              </w:rPr>
              <w:t>省</w:t>
            </w:r>
          </w:p>
        </w:tc>
        <w:tc>
          <w:tcPr>
            <w:tcW w:w="420" w:type="dxa"/>
            <w:vAlign w:val="center"/>
          </w:tcPr>
          <w:p w14:paraId="6DCCACDE">
            <w:pPr>
              <w:jc w:val="center"/>
              <w:rPr>
                <w:rFonts w:ascii="Times New Roman" w:hAnsi="Times New Roman" w:eastAsia="仿宋" w:cs="Times New Roman"/>
                <w:szCs w:val="21"/>
              </w:rPr>
            </w:pPr>
            <w:r>
              <w:rPr>
                <w:rFonts w:ascii="Times New Roman" w:hAnsi="Times New Roman" w:eastAsia="仿宋" w:cs="Times New Roman"/>
                <w:szCs w:val="21"/>
              </w:rPr>
              <w:t>市</w:t>
            </w:r>
          </w:p>
        </w:tc>
        <w:tc>
          <w:tcPr>
            <w:tcW w:w="567" w:type="dxa"/>
            <w:vAlign w:val="center"/>
          </w:tcPr>
          <w:p w14:paraId="4F68537F">
            <w:pPr>
              <w:jc w:val="center"/>
              <w:rPr>
                <w:rFonts w:ascii="Times New Roman" w:hAnsi="Times New Roman" w:eastAsia="仿宋" w:cs="Times New Roman"/>
                <w:szCs w:val="21"/>
              </w:rPr>
            </w:pPr>
            <w:r>
              <w:rPr>
                <w:rFonts w:ascii="Times New Roman" w:hAnsi="Times New Roman" w:eastAsia="仿宋" w:cs="Times New Roman"/>
                <w:szCs w:val="21"/>
              </w:rPr>
              <w:t>县</w:t>
            </w:r>
          </w:p>
        </w:tc>
        <w:tc>
          <w:tcPr>
            <w:tcW w:w="709" w:type="dxa"/>
            <w:vMerge w:val="continue"/>
            <w:vAlign w:val="center"/>
          </w:tcPr>
          <w:p w14:paraId="7D139AFF">
            <w:pPr>
              <w:rPr>
                <w:rFonts w:ascii="Times New Roman" w:hAnsi="Times New Roman" w:eastAsia="仿宋" w:cs="Times New Roman"/>
                <w:b/>
                <w:szCs w:val="21"/>
              </w:rPr>
            </w:pPr>
          </w:p>
        </w:tc>
        <w:tc>
          <w:tcPr>
            <w:tcW w:w="1134" w:type="dxa"/>
            <w:vMerge w:val="continue"/>
            <w:vAlign w:val="center"/>
          </w:tcPr>
          <w:p w14:paraId="11D759F6">
            <w:pPr>
              <w:rPr>
                <w:rFonts w:ascii="Times New Roman" w:hAnsi="Times New Roman" w:eastAsia="仿宋" w:cs="Times New Roman"/>
                <w:b/>
                <w:szCs w:val="21"/>
              </w:rPr>
            </w:pPr>
          </w:p>
        </w:tc>
        <w:tc>
          <w:tcPr>
            <w:tcW w:w="1276" w:type="dxa"/>
            <w:vMerge w:val="continue"/>
            <w:vAlign w:val="center"/>
          </w:tcPr>
          <w:p w14:paraId="799862BD">
            <w:pPr>
              <w:rPr>
                <w:rFonts w:ascii="Times New Roman" w:hAnsi="Times New Roman" w:eastAsia="仿宋" w:cs="Times New Roman"/>
                <w:b/>
                <w:szCs w:val="21"/>
              </w:rPr>
            </w:pPr>
          </w:p>
        </w:tc>
        <w:tc>
          <w:tcPr>
            <w:tcW w:w="1701" w:type="dxa"/>
            <w:vMerge w:val="continue"/>
            <w:vAlign w:val="center"/>
          </w:tcPr>
          <w:p w14:paraId="597FF47F">
            <w:pPr>
              <w:rPr>
                <w:rFonts w:ascii="Times New Roman" w:hAnsi="Times New Roman" w:eastAsia="仿宋" w:cs="Times New Roman"/>
                <w:b/>
                <w:szCs w:val="21"/>
              </w:rPr>
            </w:pPr>
          </w:p>
        </w:tc>
        <w:tc>
          <w:tcPr>
            <w:tcW w:w="2835" w:type="dxa"/>
            <w:gridSpan w:val="2"/>
            <w:vMerge w:val="continue"/>
            <w:vAlign w:val="center"/>
          </w:tcPr>
          <w:p w14:paraId="2FE175A8">
            <w:pPr>
              <w:rPr>
                <w:rFonts w:ascii="Times New Roman" w:hAnsi="Times New Roman" w:eastAsia="仿宋" w:cs="Times New Roman"/>
                <w:b/>
                <w:szCs w:val="21"/>
              </w:rPr>
            </w:pPr>
          </w:p>
        </w:tc>
        <w:tc>
          <w:tcPr>
            <w:tcW w:w="3141" w:type="dxa"/>
            <w:vMerge w:val="continue"/>
            <w:vAlign w:val="center"/>
          </w:tcPr>
          <w:p w14:paraId="70C0603A">
            <w:pPr>
              <w:rPr>
                <w:rFonts w:ascii="Times New Roman" w:hAnsi="Times New Roman" w:eastAsia="仿宋" w:cs="Times New Roman"/>
                <w:b/>
                <w:szCs w:val="21"/>
              </w:rPr>
            </w:pPr>
          </w:p>
        </w:tc>
      </w:tr>
      <w:tr w14:paraId="7595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34" w:type="dxa"/>
            <w:vAlign w:val="center"/>
          </w:tcPr>
          <w:p w14:paraId="69BE7213">
            <w:pPr>
              <w:rPr>
                <w:rFonts w:ascii="Times New Roman" w:hAnsi="Times New Roman" w:eastAsia="仿宋" w:cs="Times New Roman"/>
                <w:szCs w:val="21"/>
              </w:rPr>
            </w:pPr>
            <w:r>
              <w:rPr>
                <w:rFonts w:ascii="Times New Roman" w:hAnsi="Times New Roman" w:eastAsia="仿宋" w:cs="Times New Roman"/>
                <w:szCs w:val="21"/>
              </w:rPr>
              <w:t>ZH43112810002</w:t>
            </w:r>
          </w:p>
        </w:tc>
        <w:tc>
          <w:tcPr>
            <w:tcW w:w="851" w:type="dxa"/>
            <w:vAlign w:val="center"/>
          </w:tcPr>
          <w:p w14:paraId="41ADDE10">
            <w:pPr>
              <w:jc w:val="center"/>
              <w:rPr>
                <w:rFonts w:ascii="Times New Roman" w:hAnsi="Times New Roman" w:eastAsia="仿宋" w:cs="Times New Roman"/>
                <w:szCs w:val="21"/>
              </w:rPr>
            </w:pPr>
            <w:r>
              <w:rPr>
                <w:rFonts w:ascii="Times New Roman" w:hAnsi="Times New Roman" w:eastAsia="仿宋" w:cs="Times New Roman"/>
                <w:szCs w:val="21"/>
              </w:rPr>
              <w:t>新隆镇/新圩镇</w:t>
            </w:r>
          </w:p>
        </w:tc>
        <w:tc>
          <w:tcPr>
            <w:tcW w:w="425" w:type="dxa"/>
            <w:vAlign w:val="center"/>
          </w:tcPr>
          <w:p w14:paraId="1123668F">
            <w:pPr>
              <w:jc w:val="center"/>
              <w:rPr>
                <w:rFonts w:ascii="Times New Roman" w:hAnsi="Times New Roman" w:eastAsia="仿宋" w:cs="Times New Roman"/>
                <w:szCs w:val="21"/>
              </w:rPr>
            </w:pPr>
            <w:r>
              <w:rPr>
                <w:rFonts w:ascii="Times New Roman" w:hAnsi="Times New Roman" w:eastAsia="仿宋" w:cs="Times New Roman"/>
                <w:szCs w:val="21"/>
              </w:rPr>
              <w:t>湖南省</w:t>
            </w:r>
          </w:p>
        </w:tc>
        <w:tc>
          <w:tcPr>
            <w:tcW w:w="420" w:type="dxa"/>
            <w:vAlign w:val="center"/>
          </w:tcPr>
          <w:p w14:paraId="219EC2B7">
            <w:pPr>
              <w:jc w:val="center"/>
              <w:rPr>
                <w:rFonts w:ascii="Times New Roman" w:hAnsi="Times New Roman" w:eastAsia="仿宋" w:cs="Times New Roman"/>
                <w:szCs w:val="21"/>
              </w:rPr>
            </w:pPr>
            <w:r>
              <w:rPr>
                <w:rFonts w:ascii="Times New Roman" w:hAnsi="Times New Roman" w:eastAsia="仿宋" w:cs="Times New Roman"/>
                <w:szCs w:val="21"/>
              </w:rPr>
              <w:t>永州市</w:t>
            </w:r>
          </w:p>
        </w:tc>
        <w:tc>
          <w:tcPr>
            <w:tcW w:w="567" w:type="dxa"/>
            <w:vAlign w:val="center"/>
          </w:tcPr>
          <w:p w14:paraId="7E601DA3">
            <w:pPr>
              <w:jc w:val="center"/>
              <w:rPr>
                <w:rFonts w:ascii="Times New Roman" w:hAnsi="Times New Roman" w:eastAsia="仿宋" w:cs="Times New Roman"/>
                <w:szCs w:val="21"/>
              </w:rPr>
            </w:pPr>
            <w:r>
              <w:rPr>
                <w:rFonts w:ascii="Times New Roman" w:hAnsi="Times New Roman" w:eastAsia="仿宋" w:cs="Times New Roman"/>
                <w:szCs w:val="21"/>
              </w:rPr>
              <w:t>新田县</w:t>
            </w:r>
          </w:p>
        </w:tc>
        <w:tc>
          <w:tcPr>
            <w:tcW w:w="709" w:type="dxa"/>
            <w:vAlign w:val="center"/>
          </w:tcPr>
          <w:p w14:paraId="7421E7AB">
            <w:pPr>
              <w:jc w:val="center"/>
              <w:rPr>
                <w:rFonts w:ascii="Times New Roman" w:hAnsi="Times New Roman" w:eastAsia="仿宋" w:cs="Times New Roman"/>
                <w:szCs w:val="21"/>
              </w:rPr>
            </w:pPr>
            <w:r>
              <w:rPr>
                <w:rFonts w:ascii="Times New Roman" w:hAnsi="Times New Roman" w:eastAsia="仿宋" w:cs="Times New Roman"/>
                <w:szCs w:val="21"/>
              </w:rPr>
              <w:t>优先保护单元</w:t>
            </w:r>
          </w:p>
        </w:tc>
        <w:tc>
          <w:tcPr>
            <w:tcW w:w="1134" w:type="dxa"/>
            <w:vAlign w:val="center"/>
          </w:tcPr>
          <w:p w14:paraId="47E005B5">
            <w:pPr>
              <w:jc w:val="center"/>
              <w:rPr>
                <w:rFonts w:ascii="Times New Roman" w:hAnsi="Times New Roman" w:eastAsia="仿宋" w:cs="Times New Roman"/>
                <w:bCs/>
                <w:szCs w:val="21"/>
              </w:rPr>
            </w:pPr>
            <w:r>
              <w:rPr>
                <w:rFonts w:ascii="Times New Roman" w:hAnsi="Times New Roman" w:eastAsia="仿宋" w:cs="Times New Roman"/>
                <w:bCs/>
                <w:szCs w:val="21"/>
              </w:rPr>
              <w:t>101.25</w:t>
            </w:r>
          </w:p>
        </w:tc>
        <w:tc>
          <w:tcPr>
            <w:tcW w:w="1276" w:type="dxa"/>
            <w:vAlign w:val="center"/>
          </w:tcPr>
          <w:p w14:paraId="709CC9DA">
            <w:pPr>
              <w:jc w:val="center"/>
              <w:rPr>
                <w:rFonts w:ascii="Times New Roman" w:hAnsi="Times New Roman" w:eastAsia="仿宋" w:cs="Times New Roman"/>
                <w:szCs w:val="21"/>
              </w:rPr>
            </w:pPr>
            <w:r>
              <w:rPr>
                <w:rFonts w:ascii="Times New Roman" w:hAnsi="Times New Roman" w:eastAsia="仿宋" w:cs="Times New Roman"/>
                <w:szCs w:val="21"/>
              </w:rPr>
              <w:t>新隆镇/新圩镇</w:t>
            </w:r>
          </w:p>
        </w:tc>
        <w:tc>
          <w:tcPr>
            <w:tcW w:w="1701" w:type="dxa"/>
            <w:vAlign w:val="center"/>
          </w:tcPr>
          <w:p w14:paraId="7AFC91FD">
            <w:pPr>
              <w:jc w:val="center"/>
              <w:rPr>
                <w:rFonts w:ascii="Times New Roman" w:hAnsi="Times New Roman" w:eastAsia="仿宋" w:cs="Times New Roman"/>
                <w:szCs w:val="21"/>
              </w:rPr>
            </w:pPr>
            <w:r>
              <w:rPr>
                <w:rFonts w:ascii="Times New Roman" w:hAnsi="Times New Roman" w:eastAsia="仿宋" w:cs="Times New Roman"/>
                <w:b/>
                <w:bCs/>
                <w:szCs w:val="21"/>
              </w:rPr>
              <w:t>新隆镇：</w:t>
            </w:r>
            <w:r>
              <w:rPr>
                <w:rFonts w:ascii="Times New Roman" w:hAnsi="Times New Roman" w:eastAsia="仿宋" w:cs="Times New Roman"/>
                <w:szCs w:val="21"/>
              </w:rPr>
              <w:t>重点生态功能区；</w:t>
            </w:r>
          </w:p>
          <w:p w14:paraId="62AB5DED">
            <w:pPr>
              <w:jc w:val="center"/>
              <w:rPr>
                <w:rFonts w:ascii="Times New Roman" w:hAnsi="Times New Roman" w:eastAsia="仿宋" w:cs="Times New Roman"/>
                <w:szCs w:val="21"/>
              </w:rPr>
            </w:pPr>
            <w:r>
              <w:rPr>
                <w:rFonts w:ascii="Times New Roman" w:hAnsi="Times New Roman" w:eastAsia="仿宋" w:cs="Times New Roman"/>
                <w:b/>
                <w:bCs/>
                <w:szCs w:val="21"/>
              </w:rPr>
              <w:t>新圩镇：</w:t>
            </w:r>
            <w:r>
              <w:rPr>
                <w:rFonts w:ascii="Times New Roman" w:hAnsi="Times New Roman" w:eastAsia="仿宋" w:cs="Times New Roman"/>
                <w:szCs w:val="21"/>
              </w:rPr>
              <w:t>农产品主产区</w:t>
            </w:r>
          </w:p>
        </w:tc>
        <w:tc>
          <w:tcPr>
            <w:tcW w:w="2835" w:type="dxa"/>
            <w:gridSpan w:val="2"/>
            <w:vAlign w:val="center"/>
          </w:tcPr>
          <w:p w14:paraId="4CEE3A4B">
            <w:pPr>
              <w:widowControl/>
              <w:jc w:val="center"/>
              <w:rPr>
                <w:rFonts w:ascii="Times New Roman" w:hAnsi="Times New Roman" w:eastAsia="仿宋" w:cs="Times New Roman"/>
                <w:szCs w:val="21"/>
              </w:rPr>
            </w:pPr>
            <w:r>
              <w:rPr>
                <w:rFonts w:ascii="Times New Roman" w:hAnsi="Times New Roman" w:eastAsia="仿宋" w:cs="Times New Roman"/>
                <w:kern w:val="0"/>
                <w:szCs w:val="21"/>
              </w:rPr>
              <w:t>农业、养殖业</w:t>
            </w:r>
          </w:p>
        </w:tc>
        <w:tc>
          <w:tcPr>
            <w:tcW w:w="3141" w:type="dxa"/>
            <w:vAlign w:val="center"/>
          </w:tcPr>
          <w:p w14:paraId="7372B707">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031F49A8">
            <w:pPr>
              <w:widowControl/>
              <w:jc w:val="left"/>
              <w:rPr>
                <w:rFonts w:ascii="Times New Roman" w:hAnsi="Times New Roman" w:eastAsia="仿宋" w:cs="Times New Roman"/>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湖南新田县新田河湿地公园、湖南福音山国家森林公园等。</w:t>
            </w:r>
          </w:p>
        </w:tc>
      </w:tr>
      <w:tr w14:paraId="793A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42262D06">
            <w:pPr>
              <w:rPr>
                <w:rFonts w:ascii="Times New Roman" w:hAnsi="Times New Roman" w:eastAsia="仿宋" w:cs="Times New Roman"/>
                <w:b/>
                <w:szCs w:val="21"/>
              </w:rPr>
            </w:pPr>
            <w:r>
              <w:rPr>
                <w:rFonts w:ascii="Times New Roman" w:hAnsi="Times New Roman" w:eastAsia="仿宋" w:cs="Times New Roman"/>
                <w:b/>
                <w:szCs w:val="21"/>
              </w:rPr>
              <w:t>主要属性</w:t>
            </w:r>
          </w:p>
        </w:tc>
        <w:tc>
          <w:tcPr>
            <w:tcW w:w="13059" w:type="dxa"/>
            <w:gridSpan w:val="11"/>
            <w:vAlign w:val="center"/>
          </w:tcPr>
          <w:p w14:paraId="5961EEAE">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b/>
                <w:bCs/>
                <w:kern w:val="0"/>
                <w:szCs w:val="21"/>
              </w:rPr>
              <w:t>新隆镇</w:t>
            </w:r>
            <w:r>
              <w:rPr>
                <w:rFonts w:ascii="Times New Roman" w:hAnsi="Times New Roman" w:eastAsia="仿宋" w:cs="Times New Roman"/>
                <w:kern w:val="0"/>
                <w:szCs w:val="21"/>
              </w:rPr>
              <w:t>：</w:t>
            </w:r>
          </w:p>
          <w:p w14:paraId="1585383D">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湿地公园/水土流失敏感区/原生态红线/生物多样性保护功能重要区）；水环境优先保护区/水环境一般管控区；大气环境优先保护区/大气环境受体敏感重点管控区/大气环境弱扩散重点管控区；农用地优先保护区/建设用地重点管控区/一般管控区</w:t>
            </w:r>
          </w:p>
          <w:p w14:paraId="502C5FF4">
            <w:pPr>
              <w:rPr>
                <w:rFonts w:ascii="Times New Roman" w:hAnsi="Times New Roman" w:eastAsia="仿宋" w:cs="Times New Roman"/>
                <w:kern w:val="0"/>
                <w:szCs w:val="21"/>
              </w:rPr>
            </w:pPr>
            <w:r>
              <w:rPr>
                <w:rFonts w:ascii="Times New Roman" w:hAnsi="Times New Roman" w:eastAsia="仿宋" w:cs="Times New Roman"/>
                <w:b/>
                <w:bCs/>
                <w:kern w:val="0"/>
                <w:szCs w:val="21"/>
              </w:rPr>
              <w:t>新圩镇</w:t>
            </w:r>
            <w:r>
              <w:rPr>
                <w:rFonts w:ascii="Times New Roman" w:hAnsi="Times New Roman" w:eastAsia="仿宋" w:cs="Times New Roman"/>
                <w:kern w:val="0"/>
                <w:szCs w:val="21"/>
              </w:rPr>
              <w:t>：</w:t>
            </w:r>
          </w:p>
          <w:p w14:paraId="24F2A8FE">
            <w:pPr>
              <w:rPr>
                <w:rFonts w:ascii="Times New Roman" w:hAnsi="Times New Roman" w:eastAsia="仿宋" w:cs="Times New Roman"/>
                <w:szCs w:val="21"/>
              </w:rPr>
            </w:pPr>
            <w:r>
              <w:rPr>
                <w:rFonts w:ascii="Times New Roman" w:hAnsi="Times New Roman" w:eastAsia="仿宋" w:cs="Times New Roman"/>
                <w:szCs w:val="21"/>
              </w:rPr>
              <w:t>红线/一般生态空间（湿地公园/三区三线生态红线/生物多样性保护功能重要区/森林公园/水源涵养重要区）；水环境优先保护区/水环境一般管控区；大气环境优先保护区/大气环境受体敏感重点管控区/大气环境弱扩散重点管控区；农用地优先保护区/建设用地重点管控区/其他重点管控区/一般管控区</w:t>
            </w:r>
          </w:p>
        </w:tc>
      </w:tr>
      <w:tr w14:paraId="7D36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E867DDF">
            <w:pPr>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067" w:type="dxa"/>
            <w:gridSpan w:val="9"/>
            <w:vAlign w:val="center"/>
          </w:tcPr>
          <w:p w14:paraId="02ACDFC2">
            <w:pPr>
              <w:jc w:val="center"/>
              <w:rPr>
                <w:rFonts w:ascii="Times New Roman" w:hAnsi="Times New Roman" w:eastAsia="仿宋" w:cs="Times New Roman"/>
                <w:b/>
                <w:szCs w:val="21"/>
              </w:rPr>
            </w:pPr>
            <w:r>
              <w:rPr>
                <w:rFonts w:ascii="Times New Roman" w:hAnsi="Times New Roman" w:eastAsia="仿宋" w:cs="Times New Roman"/>
                <w:b/>
                <w:szCs w:val="21"/>
              </w:rPr>
              <w:t>管控要求</w:t>
            </w:r>
          </w:p>
        </w:tc>
        <w:tc>
          <w:tcPr>
            <w:tcW w:w="3992" w:type="dxa"/>
            <w:gridSpan w:val="2"/>
            <w:vAlign w:val="center"/>
          </w:tcPr>
          <w:p w14:paraId="5ED1211D">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362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A8649D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067" w:type="dxa"/>
            <w:gridSpan w:val="9"/>
            <w:vAlign w:val="center"/>
          </w:tcPr>
          <w:p w14:paraId="38E03B0D">
            <w:pPr>
              <w:pStyle w:val="55"/>
              <w:rPr>
                <w:rFonts w:eastAsia="仿宋"/>
                <w:szCs w:val="21"/>
              </w:rPr>
            </w:pPr>
            <w:r>
              <w:rPr>
                <w:rFonts w:eastAsia="仿宋"/>
                <w:szCs w:val="21"/>
              </w:rPr>
              <w:t>（1.1）产业准入应严格执行国家、省级关于主体功能区划的环境保护及产业准入负面清单要求。</w:t>
            </w:r>
          </w:p>
          <w:p w14:paraId="0CFAD7C3">
            <w:pPr>
              <w:pStyle w:val="55"/>
              <w:rPr>
                <w:rFonts w:eastAsia="仿宋"/>
                <w:szCs w:val="21"/>
              </w:rPr>
            </w:pPr>
            <w:r>
              <w:rPr>
                <w:rFonts w:eastAsia="仿宋"/>
                <w:szCs w:val="21"/>
              </w:rPr>
              <w:t>（1.2）畜禽养殖产业布局应符合《湖南省新</w:t>
            </w:r>
            <w:r>
              <w:rPr>
                <w:rFonts w:eastAsia="仿宋"/>
                <w:kern w:val="0"/>
                <w:szCs w:val="21"/>
              </w:rPr>
              <w:t>田县畜禽规模养殖“三区”划定方案》</w:t>
            </w:r>
            <w:r>
              <w:rPr>
                <w:rFonts w:eastAsia="仿宋"/>
                <w:szCs w:val="21"/>
              </w:rPr>
              <w:t>。</w:t>
            </w:r>
          </w:p>
        </w:tc>
        <w:tc>
          <w:tcPr>
            <w:tcW w:w="3992" w:type="dxa"/>
            <w:gridSpan w:val="2"/>
            <w:vMerge w:val="restart"/>
            <w:vAlign w:val="center"/>
          </w:tcPr>
          <w:p w14:paraId="1E0F21BC">
            <w:pPr>
              <w:rPr>
                <w:rFonts w:ascii="Times New Roman" w:hAnsi="Times New Roman" w:eastAsia="仿宋" w:cs="Times New Roman"/>
                <w:szCs w:val="21"/>
              </w:rPr>
            </w:pPr>
            <w:r>
              <w:rPr>
                <w:rFonts w:ascii="Times New Roman" w:hAnsi="Times New Roman" w:eastAsia="仿宋" w:cs="Times New Roman"/>
                <w:szCs w:val="21"/>
              </w:rPr>
              <w:t>（1.2）《湖南省新</w:t>
            </w:r>
            <w:r>
              <w:rPr>
                <w:rFonts w:ascii="Times New Roman" w:hAnsi="Times New Roman" w:eastAsia="仿宋" w:cs="Times New Roman"/>
                <w:kern w:val="0"/>
                <w:szCs w:val="21"/>
              </w:rPr>
              <w:t>田县畜禽规模养殖“三区”划定方案》</w:t>
            </w:r>
            <w:r>
              <w:rPr>
                <w:rFonts w:ascii="Times New Roman" w:hAnsi="Times New Roman" w:eastAsia="仿宋" w:cs="Times New Roman"/>
                <w:szCs w:val="21"/>
              </w:rPr>
              <w:t>（新政办发〔2020〕6号）；</w:t>
            </w:r>
          </w:p>
          <w:p w14:paraId="5FAD3919">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798A8E5E">
            <w:pPr>
              <w:tabs>
                <w:tab w:val="left" w:pos="1021"/>
              </w:tabs>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r>
              <w:rPr>
                <w:rFonts w:ascii="Times New Roman" w:hAnsi="Times New Roman" w:eastAsia="仿宋" w:cs="Times New Roman"/>
                <w:szCs w:val="21"/>
              </w:rPr>
              <w:br w:type="textWrapping"/>
            </w:r>
            <w:r>
              <w:rPr>
                <w:rFonts w:ascii="Times New Roman" w:hAnsi="Times New Roman" w:eastAsia="仿宋" w:cs="Times New Roman"/>
                <w:szCs w:val="21"/>
              </w:rPr>
              <w:t>（3.1）《永州市新田县“十四五”生态环境保护规划（2021-2025）研究报告》；</w:t>
            </w:r>
          </w:p>
          <w:p w14:paraId="393ED37E">
            <w:pPr>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2F68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5984653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067" w:type="dxa"/>
            <w:gridSpan w:val="9"/>
            <w:vAlign w:val="center"/>
          </w:tcPr>
          <w:p w14:paraId="68552319">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（2.1）有关行业新建项目必须执行《新田县环境突出问题集中整治重点行业操作规范（试行）》，现有项目必须在规定期限内达到《规范》要求，否则自行淘汰退出。</w:t>
            </w:r>
          </w:p>
          <w:p w14:paraId="210F771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tc>
        <w:tc>
          <w:tcPr>
            <w:tcW w:w="3992" w:type="dxa"/>
            <w:gridSpan w:val="2"/>
            <w:vMerge w:val="continue"/>
            <w:vAlign w:val="center"/>
          </w:tcPr>
          <w:p w14:paraId="2801D5E0">
            <w:pPr>
              <w:rPr>
                <w:rFonts w:ascii="Times New Roman" w:hAnsi="Times New Roman" w:eastAsia="仿宋" w:cs="Times New Roman"/>
                <w:szCs w:val="21"/>
              </w:rPr>
            </w:pPr>
          </w:p>
        </w:tc>
      </w:tr>
      <w:tr w14:paraId="5668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3E32EC9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067" w:type="dxa"/>
            <w:gridSpan w:val="9"/>
            <w:vAlign w:val="center"/>
          </w:tcPr>
          <w:p w14:paraId="74726BDB">
            <w:pPr>
              <w:tabs>
                <w:tab w:val="left" w:pos="1021"/>
              </w:tabs>
              <w:ind w:firstLine="420" w:firstLineChars="200"/>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kern w:val="0"/>
                <w:szCs w:val="21"/>
              </w:rPr>
              <w:t>（3.1）</w:t>
            </w:r>
            <w:r>
              <w:rPr>
                <w:rFonts w:ascii="Times New Roman" w:hAnsi="Times New Roman" w:eastAsia="仿宋" w:cs="Times New Roman"/>
                <w:color w:val="000000" w:themeColor="text1"/>
                <w:szCs w:val="21"/>
                <w14:textFill>
                  <w14:solidFill>
                    <w14:schemeClr w14:val="tx1"/>
                  </w14:solidFill>
                </w14:textFill>
              </w:rPr>
              <w:t>建立环境风险台帐。</w:t>
            </w:r>
            <w:r>
              <w:rPr>
                <w:rFonts w:ascii="Times New Roman" w:hAnsi="Times New Roman" w:eastAsia="仿宋" w:cs="Times New Roman"/>
                <w:color w:val="000000" w:themeColor="text1"/>
                <w:szCs w:val="21"/>
                <w:lang w:val="zh-CN"/>
                <w14:textFill>
                  <w14:solidFill>
                    <w14:schemeClr w14:val="tx1"/>
                  </w14:solidFill>
                </w14:textFill>
              </w:rPr>
              <w:t>加强灾害应急救助体系建设，建立救灾物资分级筹措、分级管理、逐级保障的体系，建立和完善县级救灾应急仓库。</w:t>
            </w:r>
          </w:p>
        </w:tc>
        <w:tc>
          <w:tcPr>
            <w:tcW w:w="3992" w:type="dxa"/>
            <w:gridSpan w:val="2"/>
            <w:vMerge w:val="continue"/>
            <w:vAlign w:val="center"/>
          </w:tcPr>
          <w:p w14:paraId="06C18695">
            <w:pPr>
              <w:rPr>
                <w:rFonts w:ascii="Times New Roman" w:hAnsi="Times New Roman" w:eastAsia="仿宋" w:cs="Times New Roman"/>
                <w:szCs w:val="21"/>
              </w:rPr>
            </w:pPr>
          </w:p>
        </w:tc>
      </w:tr>
      <w:tr w14:paraId="3A6C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Align w:val="center"/>
          </w:tcPr>
          <w:p w14:paraId="6E819A6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067" w:type="dxa"/>
            <w:gridSpan w:val="9"/>
            <w:vAlign w:val="center"/>
          </w:tcPr>
          <w:p w14:paraId="005F0F4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1B72FBED">
            <w:pPr>
              <w:widowControl/>
              <w:ind w:right="31" w:rightChars="15" w:firstLine="420" w:firstLineChars="200"/>
              <w:jc w:val="left"/>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3992" w:type="dxa"/>
            <w:gridSpan w:val="2"/>
            <w:vMerge w:val="continue"/>
            <w:vAlign w:val="center"/>
          </w:tcPr>
          <w:p w14:paraId="4CCA1D84">
            <w:pPr>
              <w:rPr>
                <w:rFonts w:ascii="Times New Roman" w:hAnsi="Times New Roman" w:eastAsia="仿宋" w:cs="Times New Roman"/>
                <w:szCs w:val="21"/>
              </w:rPr>
            </w:pPr>
          </w:p>
        </w:tc>
      </w:tr>
    </w:tbl>
    <w:p w14:paraId="5072A0BA">
      <w:pPr>
        <w:rPr>
          <w:rFonts w:ascii="Times New Roman" w:hAnsi="Times New Roman" w:eastAsia="仿宋" w:cs="Times New Roman"/>
          <w:kern w:val="0"/>
          <w:szCs w:val="21"/>
        </w:rPr>
      </w:pPr>
    </w:p>
    <w:p w14:paraId="29885DF8">
      <w:pPr>
        <w:widowControl/>
        <w:jc w:val="left"/>
        <w:rPr>
          <w:rFonts w:ascii="Times New Roman" w:hAnsi="Times New Roman" w:eastAsia="仿宋" w:cs="Times New Roman"/>
          <w:kern w:val="0"/>
          <w:szCs w:val="21"/>
        </w:rPr>
      </w:pPr>
      <w:r>
        <w:rPr>
          <w:rFonts w:ascii="Times New Roman" w:hAnsi="Times New Roman" w:eastAsia="仿宋" w:cs="Times New Roman"/>
          <w:szCs w:val="21"/>
        </w:rPr>
        <w:br w:type="page"/>
      </w:r>
    </w:p>
    <w:tbl>
      <w:tblPr>
        <w:tblStyle w:val="20"/>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786"/>
        <w:gridCol w:w="567"/>
        <w:gridCol w:w="482"/>
        <w:gridCol w:w="560"/>
        <w:gridCol w:w="872"/>
        <w:gridCol w:w="1263"/>
        <w:gridCol w:w="1926"/>
        <w:gridCol w:w="1276"/>
        <w:gridCol w:w="142"/>
        <w:gridCol w:w="1576"/>
        <w:gridCol w:w="2427"/>
      </w:tblGrid>
      <w:tr w14:paraId="4D0A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tcPr>
          <w:p w14:paraId="3BDDE9B2">
            <w:pPr>
              <w:widowControl/>
              <w:jc w:val="center"/>
              <w:rPr>
                <w:rFonts w:ascii="Times New Roman" w:hAnsi="Times New Roman" w:eastAsia="仿宋" w:cs="Times New Roman"/>
                <w:b/>
                <w:kern w:val="0"/>
                <w:szCs w:val="21"/>
              </w:rPr>
            </w:pPr>
            <w:bookmarkStart w:id="80" w:name="_Toc14419472"/>
            <w:r>
              <w:rPr>
                <w:rFonts w:ascii="Times New Roman" w:hAnsi="Times New Roman" w:eastAsia="仿宋" w:cs="Times New Roman"/>
                <w:b/>
                <w:szCs w:val="21"/>
              </w:rPr>
              <w:br w:type="page"/>
            </w:r>
            <w:r>
              <w:rPr>
                <w:rFonts w:ascii="Times New Roman" w:hAnsi="Times New Roman" w:eastAsia="仿宋" w:cs="Times New Roman"/>
                <w:b/>
                <w:szCs w:val="21"/>
              </w:rPr>
              <w:br w:type="page"/>
            </w:r>
            <w:r>
              <w:rPr>
                <w:rFonts w:ascii="Times New Roman" w:hAnsi="Times New Roman" w:eastAsia="仿宋" w:cs="Times New Roman"/>
                <w:b/>
                <w:kern w:val="0"/>
                <w:szCs w:val="21"/>
              </w:rPr>
              <w:t>环境管控单元编码</w:t>
            </w:r>
          </w:p>
        </w:tc>
        <w:tc>
          <w:tcPr>
            <w:tcW w:w="1786" w:type="dxa"/>
            <w:vMerge w:val="restart"/>
            <w:vAlign w:val="center"/>
          </w:tcPr>
          <w:p w14:paraId="627A3E9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09" w:type="dxa"/>
            <w:gridSpan w:val="3"/>
            <w:vAlign w:val="center"/>
          </w:tcPr>
          <w:p w14:paraId="1143A51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872" w:type="dxa"/>
            <w:vMerge w:val="restart"/>
            <w:vAlign w:val="center"/>
          </w:tcPr>
          <w:p w14:paraId="24DA180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263" w:type="dxa"/>
            <w:vMerge w:val="restart"/>
            <w:vAlign w:val="center"/>
          </w:tcPr>
          <w:p w14:paraId="43D444B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926" w:type="dxa"/>
            <w:vMerge w:val="restart"/>
            <w:vAlign w:val="center"/>
          </w:tcPr>
          <w:p w14:paraId="3635EFB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276" w:type="dxa"/>
            <w:vMerge w:val="restart"/>
            <w:vAlign w:val="center"/>
          </w:tcPr>
          <w:p w14:paraId="5671D4C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718" w:type="dxa"/>
            <w:gridSpan w:val="2"/>
            <w:vMerge w:val="restart"/>
            <w:vAlign w:val="center"/>
          </w:tcPr>
          <w:p w14:paraId="6C7CF803">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427" w:type="dxa"/>
            <w:vMerge w:val="restart"/>
            <w:vAlign w:val="center"/>
          </w:tcPr>
          <w:p w14:paraId="620CAAB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A89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6" w:type="dxa"/>
            <w:vMerge w:val="continue"/>
          </w:tcPr>
          <w:p w14:paraId="4CE2CBDB">
            <w:pPr>
              <w:widowControl/>
              <w:jc w:val="center"/>
              <w:rPr>
                <w:rFonts w:ascii="Times New Roman" w:hAnsi="Times New Roman" w:eastAsia="仿宋" w:cs="Times New Roman"/>
                <w:b/>
                <w:kern w:val="0"/>
                <w:szCs w:val="21"/>
              </w:rPr>
            </w:pPr>
          </w:p>
        </w:tc>
        <w:tc>
          <w:tcPr>
            <w:tcW w:w="1786" w:type="dxa"/>
            <w:vMerge w:val="continue"/>
          </w:tcPr>
          <w:p w14:paraId="11C5B0DD">
            <w:pPr>
              <w:widowControl/>
              <w:rPr>
                <w:rFonts w:ascii="Times New Roman" w:hAnsi="Times New Roman" w:eastAsia="仿宋" w:cs="Times New Roman"/>
                <w:b/>
                <w:kern w:val="0"/>
                <w:szCs w:val="21"/>
              </w:rPr>
            </w:pPr>
          </w:p>
        </w:tc>
        <w:tc>
          <w:tcPr>
            <w:tcW w:w="567" w:type="dxa"/>
          </w:tcPr>
          <w:p w14:paraId="52368304">
            <w:pPr>
              <w:widowControl/>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82" w:type="dxa"/>
          </w:tcPr>
          <w:p w14:paraId="21FC50E0">
            <w:pPr>
              <w:widowControl/>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560" w:type="dxa"/>
          </w:tcPr>
          <w:p w14:paraId="4B6242E6">
            <w:pPr>
              <w:widowControl/>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872" w:type="dxa"/>
            <w:vMerge w:val="continue"/>
          </w:tcPr>
          <w:p w14:paraId="2A899888">
            <w:pPr>
              <w:widowControl/>
              <w:rPr>
                <w:rFonts w:ascii="Times New Roman" w:hAnsi="Times New Roman" w:eastAsia="仿宋" w:cs="Times New Roman"/>
                <w:b/>
                <w:kern w:val="0"/>
                <w:szCs w:val="21"/>
              </w:rPr>
            </w:pPr>
          </w:p>
        </w:tc>
        <w:tc>
          <w:tcPr>
            <w:tcW w:w="1263" w:type="dxa"/>
            <w:vMerge w:val="continue"/>
          </w:tcPr>
          <w:p w14:paraId="01CBADCF">
            <w:pPr>
              <w:widowControl/>
              <w:rPr>
                <w:rFonts w:ascii="Times New Roman" w:hAnsi="Times New Roman" w:eastAsia="仿宋" w:cs="Times New Roman"/>
                <w:b/>
                <w:kern w:val="0"/>
                <w:szCs w:val="21"/>
              </w:rPr>
            </w:pPr>
          </w:p>
        </w:tc>
        <w:tc>
          <w:tcPr>
            <w:tcW w:w="1926" w:type="dxa"/>
            <w:vMerge w:val="continue"/>
          </w:tcPr>
          <w:p w14:paraId="50D3BC1D">
            <w:pPr>
              <w:widowControl/>
              <w:rPr>
                <w:rFonts w:ascii="Times New Roman" w:hAnsi="Times New Roman" w:eastAsia="仿宋" w:cs="Times New Roman"/>
                <w:b/>
                <w:kern w:val="0"/>
                <w:szCs w:val="21"/>
              </w:rPr>
            </w:pPr>
          </w:p>
        </w:tc>
        <w:tc>
          <w:tcPr>
            <w:tcW w:w="1276" w:type="dxa"/>
            <w:vMerge w:val="continue"/>
          </w:tcPr>
          <w:p w14:paraId="01D7F846">
            <w:pPr>
              <w:widowControl/>
              <w:rPr>
                <w:rFonts w:ascii="Times New Roman" w:hAnsi="Times New Roman" w:eastAsia="仿宋" w:cs="Times New Roman"/>
                <w:b/>
                <w:kern w:val="0"/>
                <w:szCs w:val="21"/>
              </w:rPr>
            </w:pPr>
          </w:p>
        </w:tc>
        <w:tc>
          <w:tcPr>
            <w:tcW w:w="1718" w:type="dxa"/>
            <w:gridSpan w:val="2"/>
            <w:vMerge w:val="continue"/>
          </w:tcPr>
          <w:p w14:paraId="4378C969">
            <w:pPr>
              <w:widowControl/>
              <w:rPr>
                <w:rFonts w:ascii="Times New Roman" w:hAnsi="Times New Roman" w:eastAsia="仿宋" w:cs="Times New Roman"/>
                <w:b/>
                <w:kern w:val="0"/>
                <w:szCs w:val="21"/>
              </w:rPr>
            </w:pPr>
          </w:p>
        </w:tc>
        <w:tc>
          <w:tcPr>
            <w:tcW w:w="2427" w:type="dxa"/>
            <w:vMerge w:val="continue"/>
          </w:tcPr>
          <w:p w14:paraId="3E234A5B">
            <w:pPr>
              <w:widowControl/>
              <w:rPr>
                <w:rFonts w:ascii="Times New Roman" w:hAnsi="Times New Roman" w:eastAsia="仿宋" w:cs="Times New Roman"/>
                <w:b/>
                <w:kern w:val="0"/>
                <w:szCs w:val="21"/>
              </w:rPr>
            </w:pPr>
          </w:p>
        </w:tc>
      </w:tr>
      <w:tr w14:paraId="04CB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bottom w:val="single" w:color="auto" w:sz="4" w:space="0"/>
              <w:right w:val="single" w:color="auto" w:sz="4" w:space="0"/>
            </w:tcBorders>
            <w:vAlign w:val="center"/>
          </w:tcPr>
          <w:p w14:paraId="448FDD2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ZH431128</w:t>
            </w:r>
          </w:p>
          <w:p w14:paraId="2B7DD6D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20001</w:t>
            </w:r>
          </w:p>
        </w:tc>
        <w:tc>
          <w:tcPr>
            <w:tcW w:w="1786" w:type="dxa"/>
            <w:tcBorders>
              <w:top w:val="single" w:color="auto" w:sz="4" w:space="0"/>
              <w:left w:val="single" w:color="auto" w:sz="4" w:space="0"/>
              <w:bottom w:val="single" w:color="auto" w:sz="4" w:space="0"/>
              <w:right w:val="single" w:color="auto" w:sz="4" w:space="0"/>
            </w:tcBorders>
            <w:vAlign w:val="center"/>
          </w:tcPr>
          <w:p w14:paraId="0F6BB4CA">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大坪塘镇</w:t>
            </w:r>
          </w:p>
        </w:tc>
        <w:tc>
          <w:tcPr>
            <w:tcW w:w="567" w:type="dxa"/>
            <w:tcBorders>
              <w:top w:val="single" w:color="auto" w:sz="4" w:space="0"/>
              <w:left w:val="single" w:color="auto" w:sz="4" w:space="0"/>
              <w:bottom w:val="single" w:color="auto" w:sz="4" w:space="0"/>
              <w:right w:val="single" w:color="auto" w:sz="4" w:space="0"/>
            </w:tcBorders>
            <w:vAlign w:val="center"/>
          </w:tcPr>
          <w:p w14:paraId="76CB026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82" w:type="dxa"/>
            <w:tcBorders>
              <w:top w:val="single" w:color="auto" w:sz="4" w:space="0"/>
              <w:left w:val="single" w:color="auto" w:sz="4" w:space="0"/>
              <w:bottom w:val="single" w:color="auto" w:sz="4" w:space="0"/>
              <w:right w:val="single" w:color="auto" w:sz="4" w:space="0"/>
            </w:tcBorders>
            <w:vAlign w:val="center"/>
          </w:tcPr>
          <w:p w14:paraId="63EBA634">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0" w:type="dxa"/>
            <w:tcBorders>
              <w:top w:val="single" w:color="auto" w:sz="4" w:space="0"/>
              <w:left w:val="single" w:color="auto" w:sz="4" w:space="0"/>
              <w:bottom w:val="single" w:color="auto" w:sz="4" w:space="0"/>
              <w:right w:val="single" w:color="auto" w:sz="4" w:space="0"/>
            </w:tcBorders>
            <w:vAlign w:val="center"/>
          </w:tcPr>
          <w:p w14:paraId="760D3BB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新田县</w:t>
            </w:r>
          </w:p>
        </w:tc>
        <w:tc>
          <w:tcPr>
            <w:tcW w:w="872" w:type="dxa"/>
            <w:tcBorders>
              <w:top w:val="single" w:color="auto" w:sz="4" w:space="0"/>
              <w:left w:val="single" w:color="auto" w:sz="4" w:space="0"/>
              <w:bottom w:val="single" w:color="auto" w:sz="4" w:space="0"/>
              <w:right w:val="single" w:color="auto" w:sz="4" w:space="0"/>
            </w:tcBorders>
            <w:vAlign w:val="center"/>
          </w:tcPr>
          <w:p w14:paraId="231D7EF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263" w:type="dxa"/>
            <w:tcBorders>
              <w:top w:val="single" w:color="auto" w:sz="4" w:space="0"/>
              <w:left w:val="single" w:color="auto" w:sz="4" w:space="0"/>
              <w:bottom w:val="single" w:color="auto" w:sz="4" w:space="0"/>
              <w:right w:val="single" w:color="auto" w:sz="4" w:space="0"/>
            </w:tcBorders>
            <w:shd w:val="clear" w:color="auto" w:fill="auto"/>
            <w:vAlign w:val="center"/>
          </w:tcPr>
          <w:p w14:paraId="500252C4">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77.38</w:t>
            </w:r>
          </w:p>
        </w:tc>
        <w:tc>
          <w:tcPr>
            <w:tcW w:w="1926" w:type="dxa"/>
            <w:tcBorders>
              <w:top w:val="single" w:color="auto" w:sz="4" w:space="0"/>
              <w:left w:val="single" w:color="auto" w:sz="4" w:space="0"/>
              <w:bottom w:val="single" w:color="auto" w:sz="4" w:space="0"/>
              <w:right w:val="nil"/>
            </w:tcBorders>
            <w:shd w:val="clear" w:color="auto" w:fill="auto"/>
            <w:vAlign w:val="center"/>
          </w:tcPr>
          <w:p w14:paraId="5B4AD06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大坪塘镇</w:t>
            </w:r>
          </w:p>
        </w:tc>
        <w:tc>
          <w:tcPr>
            <w:tcW w:w="1276" w:type="dxa"/>
            <w:vAlign w:val="center"/>
          </w:tcPr>
          <w:p w14:paraId="2D755C4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重点生态功能区</w:t>
            </w:r>
          </w:p>
        </w:tc>
        <w:tc>
          <w:tcPr>
            <w:tcW w:w="1718" w:type="dxa"/>
            <w:gridSpan w:val="2"/>
            <w:vAlign w:val="center"/>
          </w:tcPr>
          <w:p w14:paraId="5E7CBE0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农业</w:t>
            </w:r>
          </w:p>
        </w:tc>
        <w:tc>
          <w:tcPr>
            <w:tcW w:w="2427" w:type="dxa"/>
            <w:vAlign w:val="center"/>
          </w:tcPr>
          <w:p w14:paraId="1D991239">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1115F668">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湖南新田县新田河湿地公园等。</w:t>
            </w:r>
          </w:p>
        </w:tc>
      </w:tr>
      <w:tr w14:paraId="16E5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6" w:type="dxa"/>
          </w:tcPr>
          <w:p w14:paraId="20732D5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77" w:type="dxa"/>
            <w:gridSpan w:val="11"/>
          </w:tcPr>
          <w:p w14:paraId="4B2DD56D">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水土流失敏感区/湿地公园/原生态红线/生物多样性保护功能重要区）；水环境优先保护区/水环境一般管控区；大气环境优先保护区/大气环境受体敏感重点管控区/大气环境弱扩散重点管控区；农用地优先保护区/农用地重点管控区/建设用地重点管控区/其他重点管控区/一般管控区</w:t>
            </w:r>
          </w:p>
        </w:tc>
      </w:tr>
      <w:tr w14:paraId="72BD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Pr>
          <w:p w14:paraId="0098FE2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874" w:type="dxa"/>
            <w:gridSpan w:val="9"/>
          </w:tcPr>
          <w:p w14:paraId="53DAFE99">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003" w:type="dxa"/>
            <w:gridSpan w:val="2"/>
          </w:tcPr>
          <w:p w14:paraId="2CE30319">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298A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10603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874" w:type="dxa"/>
            <w:gridSpan w:val="9"/>
            <w:vAlign w:val="center"/>
          </w:tcPr>
          <w:p w14:paraId="3119E549">
            <w:pPr>
              <w:pStyle w:val="55"/>
              <w:rPr>
                <w:rFonts w:eastAsia="仿宋"/>
                <w:szCs w:val="21"/>
              </w:rPr>
            </w:pPr>
            <w:r>
              <w:rPr>
                <w:rFonts w:eastAsia="仿宋"/>
                <w:szCs w:val="21"/>
              </w:rPr>
              <w:t>（1.1）产业准入应严格执行国家、省级关于主体功能区划的环境保护及产业准入负面</w:t>
            </w:r>
            <w:r>
              <w:rPr>
                <w:rFonts w:ascii="Times New Roman" w:hAnsi="Times New Roman" w:eastAsia="仿宋" w:cs="Times New Roman"/>
                <w:kern w:val="0"/>
                <w:szCs w:val="21"/>
              </w:rPr>
              <w:t>（试行）</w:t>
            </w:r>
            <w:r>
              <w:rPr>
                <w:rFonts w:eastAsia="仿宋"/>
                <w:szCs w:val="21"/>
              </w:rPr>
              <w:t>清单要求。</w:t>
            </w:r>
          </w:p>
          <w:p w14:paraId="5CAE0249">
            <w:pPr>
              <w:pStyle w:val="55"/>
              <w:rPr>
                <w:rFonts w:eastAsia="仿宋"/>
                <w:kern w:val="0"/>
                <w:szCs w:val="21"/>
              </w:rPr>
            </w:pPr>
            <w:r>
              <w:rPr>
                <w:rFonts w:eastAsia="仿宋"/>
                <w:szCs w:val="21"/>
              </w:rPr>
              <w:t>（1.2）畜禽养殖产业布局应符合《湖南省新</w:t>
            </w:r>
            <w:r>
              <w:rPr>
                <w:rFonts w:eastAsia="仿宋"/>
                <w:kern w:val="0"/>
                <w:szCs w:val="21"/>
              </w:rPr>
              <w:t>田县畜禽规模养殖“三区”划定方案》</w:t>
            </w:r>
            <w:r>
              <w:rPr>
                <w:rFonts w:eastAsia="仿宋"/>
                <w:szCs w:val="21"/>
              </w:rPr>
              <w:t>。</w:t>
            </w:r>
          </w:p>
        </w:tc>
        <w:tc>
          <w:tcPr>
            <w:tcW w:w="4003" w:type="dxa"/>
            <w:gridSpan w:val="2"/>
            <w:vMerge w:val="restart"/>
          </w:tcPr>
          <w:p w14:paraId="4648C315">
            <w:pPr>
              <w:rPr>
                <w:rFonts w:ascii="Times New Roman" w:hAnsi="Times New Roman" w:eastAsia="仿宋" w:cs="Times New Roman"/>
                <w:kern w:val="0"/>
                <w:szCs w:val="21"/>
              </w:rPr>
            </w:pPr>
            <w:r>
              <w:rPr>
                <w:rFonts w:ascii="Times New Roman" w:hAnsi="Times New Roman" w:eastAsia="仿宋" w:cs="Times New Roman"/>
                <w:szCs w:val="21"/>
              </w:rPr>
              <w:t>（1.2）《湖南省新</w:t>
            </w:r>
            <w:r>
              <w:rPr>
                <w:rFonts w:ascii="Times New Roman" w:hAnsi="Times New Roman" w:eastAsia="仿宋" w:cs="Times New Roman"/>
                <w:kern w:val="0"/>
                <w:szCs w:val="21"/>
              </w:rPr>
              <w:t>田县畜禽规模养殖“三区”划定方案》（2019年11月）；</w:t>
            </w:r>
          </w:p>
          <w:p w14:paraId="0667BF5E">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21B18624">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p>
          <w:p w14:paraId="4BC6A76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（3.1）《永州市新田县“十四五”生态环境保护规划（2021-2025）研究报告》；</w:t>
            </w:r>
          </w:p>
          <w:p w14:paraId="50EDEC98">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2F65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1DA30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874" w:type="dxa"/>
            <w:gridSpan w:val="9"/>
            <w:vAlign w:val="center"/>
          </w:tcPr>
          <w:p w14:paraId="064B19A4">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（2.1）有关行业新建项目必须执行《新田县环境突出问题集中整治重点行业操作规范》，现有项目必须在规定期限内达到《规范》要求，否则自行淘汰退出。</w:t>
            </w:r>
          </w:p>
          <w:p w14:paraId="65C4913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w:t>
            </w:r>
            <w:r>
              <w:rPr>
                <w:rFonts w:ascii="Times New Roman" w:hAnsi="Times New Roman" w:cs="Times New Roman"/>
              </w:rPr>
              <w:t>全</w:t>
            </w:r>
            <w:r>
              <w:rPr>
                <w:rFonts w:ascii="Times New Roman" w:hAnsi="Times New Roman" w:eastAsia="仿宋" w:cs="Times New Roman"/>
                <w:szCs w:val="21"/>
              </w:rPr>
              <w:t>面推广并形成“户分类减量、村收集利用、镇少量中转、县处理处置”等符合农村实情、具有新田县特色的农村垃圾收集处理体系。</w:t>
            </w:r>
          </w:p>
        </w:tc>
        <w:tc>
          <w:tcPr>
            <w:tcW w:w="4003" w:type="dxa"/>
            <w:gridSpan w:val="2"/>
            <w:vMerge w:val="continue"/>
          </w:tcPr>
          <w:p w14:paraId="221C516D">
            <w:pPr>
              <w:widowControl/>
              <w:rPr>
                <w:rFonts w:ascii="Times New Roman" w:hAnsi="Times New Roman" w:eastAsia="仿宋" w:cs="Times New Roman"/>
                <w:szCs w:val="21"/>
              </w:rPr>
            </w:pPr>
          </w:p>
        </w:tc>
      </w:tr>
      <w:tr w14:paraId="0593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82EBE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874" w:type="dxa"/>
            <w:gridSpan w:val="9"/>
            <w:vAlign w:val="center"/>
          </w:tcPr>
          <w:p w14:paraId="3F67FB84">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color w:val="000000" w:themeColor="text1"/>
                <w:szCs w:val="21"/>
                <w14:textFill>
                  <w14:solidFill>
                    <w14:schemeClr w14:val="tx1"/>
                  </w14:solidFill>
                </w14:textFill>
              </w:rPr>
              <w:t>建立环境风险台帐。</w:t>
            </w:r>
            <w:r>
              <w:rPr>
                <w:rFonts w:ascii="Times New Roman" w:hAnsi="Times New Roman" w:eastAsia="仿宋" w:cs="Times New Roman"/>
                <w:color w:val="000000" w:themeColor="text1"/>
                <w:szCs w:val="21"/>
                <w:lang w:val="zh-CN"/>
                <w14:textFill>
                  <w14:solidFill>
                    <w14:schemeClr w14:val="tx1"/>
                  </w14:solidFill>
                </w14:textFill>
              </w:rPr>
              <w:t>加强灾害应急救助体系建设，建立救灾物资分级筹措、分级管理、逐级保障的体系，建立和完善县级救灾应急仓库。</w:t>
            </w:r>
          </w:p>
        </w:tc>
        <w:tc>
          <w:tcPr>
            <w:tcW w:w="4003" w:type="dxa"/>
            <w:gridSpan w:val="2"/>
            <w:vMerge w:val="continue"/>
          </w:tcPr>
          <w:p w14:paraId="67F390E0">
            <w:pPr>
              <w:widowControl/>
              <w:rPr>
                <w:rFonts w:ascii="Times New Roman" w:hAnsi="Times New Roman" w:eastAsia="仿宋" w:cs="Times New Roman"/>
                <w:szCs w:val="21"/>
              </w:rPr>
            </w:pPr>
          </w:p>
        </w:tc>
      </w:tr>
      <w:tr w14:paraId="3C07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A4908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874" w:type="dxa"/>
            <w:gridSpan w:val="9"/>
            <w:vAlign w:val="center"/>
          </w:tcPr>
          <w:p w14:paraId="12D9BB6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1FB23D28">
            <w:pPr>
              <w:widowControl/>
              <w:ind w:right="31" w:rightChars="15" w:firstLine="420" w:firstLineChars="200"/>
              <w:jc w:val="left"/>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4003" w:type="dxa"/>
            <w:gridSpan w:val="2"/>
            <w:vMerge w:val="continue"/>
          </w:tcPr>
          <w:p w14:paraId="0D808BF3">
            <w:pPr>
              <w:widowControl/>
              <w:rPr>
                <w:rFonts w:ascii="Times New Roman" w:hAnsi="Times New Roman" w:eastAsia="仿宋" w:cs="Times New Roman"/>
                <w:szCs w:val="21"/>
              </w:rPr>
            </w:pPr>
          </w:p>
        </w:tc>
      </w:tr>
    </w:tbl>
    <w:p w14:paraId="52BDCF0A">
      <w:pPr>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425"/>
        <w:gridCol w:w="426"/>
        <w:gridCol w:w="425"/>
        <w:gridCol w:w="1134"/>
        <w:gridCol w:w="1134"/>
        <w:gridCol w:w="1559"/>
        <w:gridCol w:w="1559"/>
        <w:gridCol w:w="764"/>
        <w:gridCol w:w="1079"/>
        <w:gridCol w:w="2586"/>
      </w:tblGrid>
      <w:tr w14:paraId="68D4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1D71B074">
            <w:pPr>
              <w:widowControl/>
              <w:jc w:val="center"/>
              <w:rPr>
                <w:rFonts w:ascii="Times New Roman" w:hAnsi="Times New Roman" w:eastAsia="仿宋" w:cs="Times New Roman"/>
                <w:b/>
                <w:kern w:val="0"/>
                <w:szCs w:val="21"/>
              </w:rPr>
            </w:pPr>
            <w:r>
              <w:rPr>
                <w:rFonts w:ascii="Times New Roman" w:hAnsi="Times New Roman" w:eastAsia="仿宋" w:cs="Times New Roman"/>
                <w:b/>
                <w:szCs w:val="21"/>
              </w:rPr>
              <w:br w:type="page"/>
            </w:r>
            <w:r>
              <w:rPr>
                <w:rFonts w:ascii="Times New Roman" w:hAnsi="Times New Roman" w:eastAsia="仿宋" w:cs="Times New Roman"/>
                <w:b/>
                <w:kern w:val="0"/>
                <w:szCs w:val="21"/>
              </w:rPr>
              <w:t>环境管控单元编码</w:t>
            </w:r>
          </w:p>
        </w:tc>
        <w:tc>
          <w:tcPr>
            <w:tcW w:w="1843" w:type="dxa"/>
            <w:vMerge w:val="restart"/>
            <w:vAlign w:val="center"/>
          </w:tcPr>
          <w:p w14:paraId="3AD1541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276" w:type="dxa"/>
            <w:gridSpan w:val="3"/>
            <w:vAlign w:val="center"/>
          </w:tcPr>
          <w:p w14:paraId="2E810772">
            <w:pPr>
              <w:widowControl/>
              <w:jc w:val="center"/>
              <w:rPr>
                <w:rFonts w:ascii="Times New Roman" w:hAnsi="Times New Roman" w:eastAsia="仿宋" w:cs="Times New Roman"/>
                <w:b/>
                <w:szCs w:val="21"/>
              </w:rPr>
            </w:pPr>
            <w:r>
              <w:rPr>
                <w:rFonts w:ascii="Times New Roman" w:hAnsi="Times New Roman" w:eastAsia="仿宋" w:cs="Times New Roman"/>
                <w:b/>
                <w:szCs w:val="21"/>
              </w:rPr>
              <w:t>行政区划</w:t>
            </w:r>
          </w:p>
        </w:tc>
        <w:tc>
          <w:tcPr>
            <w:tcW w:w="1134" w:type="dxa"/>
            <w:vMerge w:val="restart"/>
            <w:vAlign w:val="center"/>
          </w:tcPr>
          <w:p w14:paraId="3E21EE9C">
            <w:pPr>
              <w:widowControl/>
              <w:jc w:val="center"/>
              <w:rPr>
                <w:rFonts w:ascii="Times New Roman" w:hAnsi="Times New Roman" w:eastAsia="仿宋" w:cs="Times New Roman"/>
                <w:b/>
                <w:szCs w:val="21"/>
              </w:rPr>
            </w:pPr>
            <w:r>
              <w:rPr>
                <w:rFonts w:ascii="Times New Roman" w:hAnsi="Times New Roman" w:eastAsia="仿宋" w:cs="Times New Roman"/>
                <w:b/>
                <w:szCs w:val="21"/>
              </w:rPr>
              <w:t>单元分类</w:t>
            </w:r>
          </w:p>
        </w:tc>
        <w:tc>
          <w:tcPr>
            <w:tcW w:w="1134" w:type="dxa"/>
            <w:vMerge w:val="restart"/>
            <w:vAlign w:val="center"/>
          </w:tcPr>
          <w:p w14:paraId="02E304C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559" w:type="dxa"/>
            <w:vMerge w:val="restart"/>
            <w:vAlign w:val="center"/>
          </w:tcPr>
          <w:p w14:paraId="5B0B76A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559" w:type="dxa"/>
            <w:vMerge w:val="restart"/>
            <w:vAlign w:val="center"/>
          </w:tcPr>
          <w:p w14:paraId="0B4D165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843" w:type="dxa"/>
            <w:gridSpan w:val="2"/>
            <w:vMerge w:val="restart"/>
            <w:vAlign w:val="center"/>
          </w:tcPr>
          <w:p w14:paraId="1DF7263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586" w:type="dxa"/>
            <w:vMerge w:val="restart"/>
            <w:vAlign w:val="center"/>
          </w:tcPr>
          <w:p w14:paraId="7B145E8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1A03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2DC63BE1">
            <w:pPr>
              <w:widowControl/>
              <w:jc w:val="left"/>
              <w:rPr>
                <w:rFonts w:ascii="Times New Roman" w:hAnsi="Times New Roman" w:eastAsia="仿宋" w:cs="Times New Roman"/>
                <w:b/>
                <w:kern w:val="0"/>
                <w:szCs w:val="21"/>
              </w:rPr>
            </w:pPr>
          </w:p>
        </w:tc>
        <w:tc>
          <w:tcPr>
            <w:tcW w:w="1843" w:type="dxa"/>
            <w:vMerge w:val="continue"/>
            <w:vAlign w:val="center"/>
          </w:tcPr>
          <w:p w14:paraId="5F75E71A">
            <w:pPr>
              <w:widowControl/>
              <w:jc w:val="left"/>
              <w:rPr>
                <w:rFonts w:ascii="Times New Roman" w:hAnsi="Times New Roman" w:eastAsia="仿宋" w:cs="Times New Roman"/>
                <w:b/>
                <w:kern w:val="0"/>
                <w:szCs w:val="21"/>
              </w:rPr>
            </w:pPr>
          </w:p>
        </w:tc>
        <w:tc>
          <w:tcPr>
            <w:tcW w:w="425" w:type="dxa"/>
            <w:vAlign w:val="center"/>
          </w:tcPr>
          <w:p w14:paraId="7E86F0C2">
            <w:pPr>
              <w:widowControl/>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6" w:type="dxa"/>
            <w:vAlign w:val="center"/>
          </w:tcPr>
          <w:p w14:paraId="7157C5BA">
            <w:pPr>
              <w:widowControl/>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25" w:type="dxa"/>
            <w:vAlign w:val="center"/>
          </w:tcPr>
          <w:p w14:paraId="22BB9F81">
            <w:pPr>
              <w:widowControl/>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1134" w:type="dxa"/>
            <w:vMerge w:val="continue"/>
            <w:vAlign w:val="center"/>
          </w:tcPr>
          <w:p w14:paraId="553F10DE">
            <w:pPr>
              <w:widowControl/>
              <w:jc w:val="left"/>
              <w:rPr>
                <w:rFonts w:ascii="Times New Roman" w:hAnsi="Times New Roman" w:eastAsia="仿宋" w:cs="Times New Roman"/>
                <w:b/>
                <w:szCs w:val="21"/>
              </w:rPr>
            </w:pPr>
          </w:p>
        </w:tc>
        <w:tc>
          <w:tcPr>
            <w:tcW w:w="1134" w:type="dxa"/>
            <w:vMerge w:val="continue"/>
            <w:vAlign w:val="center"/>
          </w:tcPr>
          <w:p w14:paraId="6EE07A15">
            <w:pPr>
              <w:widowControl/>
              <w:jc w:val="left"/>
              <w:rPr>
                <w:rFonts w:ascii="Times New Roman" w:hAnsi="Times New Roman" w:eastAsia="仿宋" w:cs="Times New Roman"/>
                <w:b/>
                <w:kern w:val="0"/>
                <w:szCs w:val="21"/>
              </w:rPr>
            </w:pPr>
          </w:p>
        </w:tc>
        <w:tc>
          <w:tcPr>
            <w:tcW w:w="1559" w:type="dxa"/>
            <w:vMerge w:val="continue"/>
            <w:vAlign w:val="center"/>
          </w:tcPr>
          <w:p w14:paraId="50C033DB">
            <w:pPr>
              <w:widowControl/>
              <w:jc w:val="left"/>
              <w:rPr>
                <w:rFonts w:ascii="Times New Roman" w:hAnsi="Times New Roman" w:eastAsia="仿宋" w:cs="Times New Roman"/>
                <w:b/>
                <w:kern w:val="0"/>
                <w:szCs w:val="21"/>
              </w:rPr>
            </w:pPr>
          </w:p>
        </w:tc>
        <w:tc>
          <w:tcPr>
            <w:tcW w:w="1559" w:type="dxa"/>
            <w:vMerge w:val="continue"/>
            <w:vAlign w:val="center"/>
          </w:tcPr>
          <w:p w14:paraId="5E499F8E">
            <w:pPr>
              <w:widowControl/>
              <w:jc w:val="left"/>
              <w:rPr>
                <w:rFonts w:ascii="Times New Roman" w:hAnsi="Times New Roman" w:eastAsia="仿宋" w:cs="Times New Roman"/>
                <w:b/>
                <w:kern w:val="0"/>
                <w:szCs w:val="21"/>
              </w:rPr>
            </w:pPr>
          </w:p>
        </w:tc>
        <w:tc>
          <w:tcPr>
            <w:tcW w:w="1843" w:type="dxa"/>
            <w:gridSpan w:val="2"/>
            <w:vMerge w:val="continue"/>
            <w:vAlign w:val="center"/>
          </w:tcPr>
          <w:p w14:paraId="75D4DA8C">
            <w:pPr>
              <w:widowControl/>
              <w:jc w:val="left"/>
              <w:rPr>
                <w:rFonts w:ascii="Times New Roman" w:hAnsi="Times New Roman" w:eastAsia="仿宋" w:cs="Times New Roman"/>
                <w:b/>
                <w:kern w:val="0"/>
                <w:szCs w:val="21"/>
              </w:rPr>
            </w:pPr>
          </w:p>
        </w:tc>
        <w:tc>
          <w:tcPr>
            <w:tcW w:w="2586" w:type="dxa"/>
            <w:vMerge w:val="continue"/>
            <w:vAlign w:val="center"/>
          </w:tcPr>
          <w:p w14:paraId="7C2A2F89">
            <w:pPr>
              <w:widowControl/>
              <w:jc w:val="left"/>
              <w:rPr>
                <w:rFonts w:ascii="Times New Roman" w:hAnsi="Times New Roman" w:eastAsia="仿宋" w:cs="Times New Roman"/>
                <w:b/>
                <w:kern w:val="0"/>
                <w:szCs w:val="21"/>
              </w:rPr>
            </w:pPr>
          </w:p>
        </w:tc>
      </w:tr>
      <w:tr w14:paraId="2D2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7B99EFF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ZH431128</w:t>
            </w:r>
          </w:p>
          <w:p w14:paraId="13C9D60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20002</w:t>
            </w:r>
          </w:p>
        </w:tc>
        <w:tc>
          <w:tcPr>
            <w:tcW w:w="1843" w:type="dxa"/>
            <w:vAlign w:val="center"/>
          </w:tcPr>
          <w:p w14:paraId="6145E91D">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三井镇/石羊镇/陶岭镇</w:t>
            </w:r>
          </w:p>
        </w:tc>
        <w:tc>
          <w:tcPr>
            <w:tcW w:w="425" w:type="dxa"/>
            <w:vAlign w:val="center"/>
          </w:tcPr>
          <w:p w14:paraId="66A87EA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42DC6BB7">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25" w:type="dxa"/>
            <w:vAlign w:val="center"/>
          </w:tcPr>
          <w:p w14:paraId="0452A2B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新田县</w:t>
            </w:r>
          </w:p>
        </w:tc>
        <w:tc>
          <w:tcPr>
            <w:tcW w:w="1134" w:type="dxa"/>
            <w:vAlign w:val="center"/>
          </w:tcPr>
          <w:p w14:paraId="20F22E9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134" w:type="dxa"/>
            <w:shd w:val="clear" w:color="auto" w:fill="auto"/>
            <w:vAlign w:val="center"/>
          </w:tcPr>
          <w:p w14:paraId="3B0E74EC">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168.71</w:t>
            </w:r>
          </w:p>
        </w:tc>
        <w:tc>
          <w:tcPr>
            <w:tcW w:w="1559" w:type="dxa"/>
            <w:shd w:val="clear" w:color="auto" w:fill="auto"/>
            <w:vAlign w:val="center"/>
          </w:tcPr>
          <w:p w14:paraId="3A1FF60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三井镇/石羊镇/陶岭镇</w:t>
            </w:r>
          </w:p>
        </w:tc>
        <w:tc>
          <w:tcPr>
            <w:tcW w:w="1559" w:type="dxa"/>
            <w:vAlign w:val="center"/>
          </w:tcPr>
          <w:p w14:paraId="6EE981CF">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三井镇/石羊镇/陶岭镇：</w:t>
            </w:r>
            <w:r>
              <w:rPr>
                <w:rFonts w:ascii="Times New Roman" w:hAnsi="Times New Roman" w:eastAsia="仿宋" w:cs="Times New Roman"/>
                <w:kern w:val="0"/>
                <w:szCs w:val="21"/>
              </w:rPr>
              <w:t>重点生态功能区</w:t>
            </w:r>
          </w:p>
        </w:tc>
        <w:tc>
          <w:tcPr>
            <w:tcW w:w="1843" w:type="dxa"/>
            <w:gridSpan w:val="2"/>
            <w:vAlign w:val="center"/>
          </w:tcPr>
          <w:p w14:paraId="0CA65943">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三井镇、陶岭镇：</w:t>
            </w:r>
            <w:r>
              <w:rPr>
                <w:rFonts w:ascii="Times New Roman" w:hAnsi="Times New Roman" w:eastAsia="仿宋" w:cs="Times New Roman"/>
                <w:kern w:val="0"/>
                <w:szCs w:val="21"/>
              </w:rPr>
              <w:t>农业</w:t>
            </w:r>
          </w:p>
          <w:p w14:paraId="3004FF42">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石羊镇</w:t>
            </w:r>
            <w:r>
              <w:rPr>
                <w:rFonts w:ascii="Times New Roman" w:hAnsi="Times New Roman" w:eastAsia="仿宋" w:cs="Times New Roman"/>
                <w:kern w:val="0"/>
                <w:szCs w:val="21"/>
              </w:rPr>
              <w:t>：采矿（砂石土矿）、农业</w:t>
            </w:r>
          </w:p>
        </w:tc>
        <w:tc>
          <w:tcPr>
            <w:tcW w:w="2586" w:type="dxa"/>
            <w:vAlign w:val="center"/>
          </w:tcPr>
          <w:p w14:paraId="06CA8A54">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2D17E7AE">
            <w:pPr>
              <w:widowControl/>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湖南福音山国家森林公园、湖南新田大观堡国家石漠公园等。</w:t>
            </w:r>
          </w:p>
        </w:tc>
      </w:tr>
      <w:tr w14:paraId="4F51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129" w:type="dxa"/>
            <w:vAlign w:val="center"/>
          </w:tcPr>
          <w:p w14:paraId="304064F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34" w:type="dxa"/>
            <w:gridSpan w:val="11"/>
            <w:vAlign w:val="center"/>
          </w:tcPr>
          <w:p w14:paraId="58D22D54">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b/>
                <w:bCs/>
                <w:kern w:val="0"/>
                <w:szCs w:val="21"/>
              </w:rPr>
              <w:t>三井镇</w:t>
            </w:r>
            <w:r>
              <w:rPr>
                <w:rFonts w:ascii="Times New Roman" w:hAnsi="Times New Roman" w:eastAsia="仿宋" w:cs="Times New Roman"/>
                <w:kern w:val="0"/>
                <w:szCs w:val="21"/>
              </w:rPr>
              <w:t>：</w:t>
            </w:r>
          </w:p>
          <w:p w14:paraId="77A217E2">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kern w:val="0"/>
                <w:szCs w:val="21"/>
              </w:rPr>
              <w:t>红线/一般生态空间（水源涵养重要区/石漠公园/生物多样性保护功能重要区/水土流失敏感区/三区三线生态红线）；水环境一般管控区；大气环境优先保护区/大气环境受体敏感重点管控区/大气环境弱扩散重点管控区；农用地优先保护区/一般管控区</w:t>
            </w:r>
          </w:p>
          <w:p w14:paraId="111E7918">
            <w:pPr>
              <w:tabs>
                <w:tab w:val="left" w:pos="1021"/>
              </w:tabs>
              <w:ind w:hanging="1"/>
              <w:rPr>
                <w:rFonts w:ascii="Times New Roman" w:hAnsi="Times New Roman" w:eastAsia="仿宋" w:cs="Times New Roman"/>
                <w:b/>
                <w:bCs/>
                <w:kern w:val="0"/>
                <w:szCs w:val="21"/>
              </w:rPr>
            </w:pPr>
            <w:r>
              <w:rPr>
                <w:rFonts w:ascii="Times New Roman" w:hAnsi="Times New Roman" w:eastAsia="仿宋" w:cs="Times New Roman"/>
                <w:b/>
                <w:bCs/>
                <w:kern w:val="0"/>
                <w:szCs w:val="21"/>
              </w:rPr>
              <w:t>石羊镇</w:t>
            </w:r>
            <w:r>
              <w:rPr>
                <w:rFonts w:ascii="Times New Roman" w:hAnsi="Times New Roman" w:eastAsia="仿宋" w:cs="Times New Roman"/>
                <w:kern w:val="0"/>
                <w:szCs w:val="21"/>
              </w:rPr>
              <w:t>：</w:t>
            </w:r>
          </w:p>
          <w:p w14:paraId="6AD5EE34">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森林公园/生物多样性保护功能重要区/水土流失敏感区/石漠化敏感区/原生态红线）；水环境一般管控区；大气环境优先保护区/大气环境受体敏感重点管控区/大气环境弱扩散重点管控区；农用地优先保护区/建设用地重点管控区/其他重点管控区/一般管控区</w:t>
            </w:r>
          </w:p>
          <w:p w14:paraId="425956DC">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bCs/>
                <w:kern w:val="0"/>
                <w:szCs w:val="21"/>
              </w:rPr>
              <w:t>陶岭镇</w:t>
            </w:r>
            <w:r>
              <w:rPr>
                <w:rFonts w:ascii="Times New Roman" w:hAnsi="Times New Roman" w:eastAsia="仿宋" w:cs="Times New Roman"/>
                <w:kern w:val="0"/>
                <w:szCs w:val="21"/>
              </w:rPr>
              <w:t>：</w:t>
            </w:r>
          </w:p>
          <w:p w14:paraId="6EF4E551">
            <w:pPr>
              <w:tabs>
                <w:tab w:val="left" w:pos="1021"/>
              </w:tabs>
              <w:ind w:hanging="1"/>
              <w:rPr>
                <w:rFonts w:ascii="Times New Roman" w:hAnsi="Times New Roman" w:eastAsia="仿宋" w:cs="Times New Roman"/>
                <w:kern w:val="0"/>
                <w:szCs w:val="21"/>
              </w:rPr>
            </w:pPr>
            <w:r>
              <w:rPr>
                <w:rFonts w:ascii="Times New Roman" w:hAnsi="Times New Roman" w:eastAsia="仿宋" w:cs="Times New Roman"/>
                <w:kern w:val="0"/>
                <w:szCs w:val="21"/>
              </w:rPr>
              <w:t>一般生态空间（水源涵养重要区/生物多样性保护功能重要区）；水环境一般管控区；大气环境受体敏感重点管控区/大气环境弱扩散重点管控区；农用地优先保护区/其他重点管控区/一般管控区</w:t>
            </w:r>
          </w:p>
        </w:tc>
      </w:tr>
      <w:tr w14:paraId="77CE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FD17A3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9269" w:type="dxa"/>
            <w:gridSpan w:val="9"/>
            <w:vAlign w:val="center"/>
          </w:tcPr>
          <w:p w14:paraId="4AA0CBEA">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3665" w:type="dxa"/>
            <w:gridSpan w:val="2"/>
            <w:vAlign w:val="center"/>
          </w:tcPr>
          <w:p w14:paraId="67864396">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D4C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794A42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9269" w:type="dxa"/>
            <w:gridSpan w:val="9"/>
            <w:vAlign w:val="center"/>
          </w:tcPr>
          <w:p w14:paraId="0D7734BC">
            <w:pPr>
              <w:pStyle w:val="55"/>
              <w:rPr>
                <w:rFonts w:eastAsia="仿宋"/>
                <w:szCs w:val="21"/>
              </w:rPr>
            </w:pPr>
            <w:r>
              <w:rPr>
                <w:rFonts w:eastAsia="仿宋"/>
                <w:szCs w:val="21"/>
              </w:rPr>
              <w:t>（1.1）产业准入应严格执行国家、省级关于主体功能区划的环境保护及产业准入负面清单要求。</w:t>
            </w:r>
          </w:p>
          <w:p w14:paraId="13E4C779">
            <w:pPr>
              <w:pStyle w:val="55"/>
              <w:rPr>
                <w:rFonts w:eastAsia="仿宋"/>
                <w:kern w:val="0"/>
                <w:szCs w:val="21"/>
              </w:rPr>
            </w:pPr>
            <w:r>
              <w:rPr>
                <w:rFonts w:eastAsia="仿宋"/>
                <w:szCs w:val="21"/>
              </w:rPr>
              <w:t>（1.2）畜禽养殖产业布局应符合《湖南省新</w:t>
            </w:r>
            <w:r>
              <w:rPr>
                <w:rFonts w:eastAsia="仿宋"/>
                <w:kern w:val="0"/>
                <w:szCs w:val="21"/>
              </w:rPr>
              <w:t>田县畜禽规模养殖“三区”划定方案》</w:t>
            </w:r>
            <w:r>
              <w:rPr>
                <w:rFonts w:eastAsia="仿宋"/>
                <w:szCs w:val="21"/>
              </w:rPr>
              <w:t>。</w:t>
            </w:r>
          </w:p>
        </w:tc>
        <w:tc>
          <w:tcPr>
            <w:tcW w:w="3665" w:type="dxa"/>
            <w:gridSpan w:val="2"/>
            <w:vMerge w:val="restart"/>
            <w:vAlign w:val="center"/>
          </w:tcPr>
          <w:p w14:paraId="05359DA4">
            <w:pPr>
              <w:rPr>
                <w:rFonts w:ascii="Times New Roman" w:hAnsi="Times New Roman" w:eastAsia="仿宋" w:cs="Times New Roman"/>
                <w:kern w:val="0"/>
                <w:szCs w:val="21"/>
              </w:rPr>
            </w:pPr>
            <w:r>
              <w:rPr>
                <w:rFonts w:ascii="Times New Roman" w:hAnsi="Times New Roman" w:eastAsia="仿宋" w:cs="Times New Roman"/>
                <w:szCs w:val="21"/>
              </w:rPr>
              <w:t>（1.2）《湖南省新</w:t>
            </w:r>
            <w:r>
              <w:rPr>
                <w:rFonts w:ascii="Times New Roman" w:hAnsi="Times New Roman" w:eastAsia="仿宋" w:cs="Times New Roman"/>
                <w:kern w:val="0"/>
                <w:szCs w:val="21"/>
              </w:rPr>
              <w:t>田县畜禽规模养殖“三区”划定方案》（2019年11月）；</w:t>
            </w:r>
          </w:p>
          <w:p w14:paraId="172C1639">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610F635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p>
          <w:p w14:paraId="58278DD7">
            <w:pPr>
              <w:adjustRightInd w:val="0"/>
              <w:snapToGrid w:val="0"/>
              <w:rPr>
                <w:rFonts w:ascii="Times New Roman" w:hAnsi="Times New Roman" w:eastAsia="仿宋" w:cs="Times New Roman"/>
                <w:szCs w:val="21"/>
              </w:rPr>
            </w:pPr>
            <w:r>
              <w:rPr>
                <w:rFonts w:ascii="Times New Roman" w:hAnsi="Times New Roman" w:eastAsia="仿宋" w:cs="Times New Roman"/>
                <w:szCs w:val="21"/>
              </w:rPr>
              <w:t>（2.3）</w:t>
            </w:r>
            <w:bookmarkStart w:id="81" w:name="OLE_LINK11"/>
            <w:r>
              <w:rPr>
                <w:rFonts w:ascii="Times New Roman" w:hAnsi="Times New Roman" w:eastAsia="仿宋" w:cs="Times New Roman"/>
                <w:szCs w:val="21"/>
              </w:rPr>
              <w:t>《永州市新田县“十四五”生态环境保护规划（2021-2025）》</w:t>
            </w:r>
            <w:bookmarkEnd w:id="81"/>
            <w:r>
              <w:rPr>
                <w:rFonts w:ascii="Times New Roman" w:hAnsi="Times New Roman" w:eastAsia="仿宋" w:cs="Times New Roman"/>
                <w:szCs w:val="21"/>
              </w:rPr>
              <w:t>；</w:t>
            </w:r>
          </w:p>
          <w:p w14:paraId="6B887887">
            <w:pPr>
              <w:adjustRightInd w:val="0"/>
              <w:snapToGrid w:val="0"/>
              <w:rPr>
                <w:rFonts w:ascii="Times New Roman" w:hAnsi="Times New Roman" w:eastAsia="仿宋" w:cs="Times New Roman"/>
                <w:szCs w:val="21"/>
              </w:rPr>
            </w:pPr>
            <w:r>
              <w:rPr>
                <w:rFonts w:ascii="Times New Roman" w:hAnsi="Times New Roman" w:eastAsia="仿宋" w:cs="Times New Roman"/>
                <w:szCs w:val="21"/>
              </w:rPr>
              <w:t>（3.1）《永州市新田县“十四五”生态环境保护规划（2021-2025）研究报告》；</w:t>
            </w:r>
          </w:p>
          <w:p w14:paraId="34A6A074">
            <w:pPr>
              <w:adjustRightInd w:val="0"/>
              <w:snapToGrid w:val="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326C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8A49B6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9269" w:type="dxa"/>
            <w:gridSpan w:val="9"/>
            <w:vAlign w:val="center"/>
          </w:tcPr>
          <w:p w14:paraId="562D0EAB">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（2.1）有关行业新建项目必须执行《新田县环境突出问题集中整治重点行业操作规范（试行）》，现有项目必须在规定期限内达到《规范》要求，否则自行淘汰退出。</w:t>
            </w:r>
          </w:p>
          <w:p w14:paraId="67EA816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p w14:paraId="06EC101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（2.3）严格控制涉重金属企业进入，依法关停达标无望、治理整顿后仍不能稳定达标的涉重金属企业。强化涉重金属重点工矿企业的重金属污染物排放及周边环境中的重金属监测。</w:t>
            </w:r>
          </w:p>
        </w:tc>
        <w:tc>
          <w:tcPr>
            <w:tcW w:w="3665" w:type="dxa"/>
            <w:gridSpan w:val="2"/>
            <w:vMerge w:val="continue"/>
            <w:vAlign w:val="center"/>
          </w:tcPr>
          <w:p w14:paraId="179591A2">
            <w:pPr>
              <w:widowControl/>
              <w:jc w:val="left"/>
              <w:rPr>
                <w:rFonts w:ascii="Times New Roman" w:hAnsi="Times New Roman" w:eastAsia="仿宋" w:cs="Times New Roman"/>
                <w:szCs w:val="21"/>
              </w:rPr>
            </w:pPr>
          </w:p>
        </w:tc>
      </w:tr>
      <w:tr w14:paraId="150E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277892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9269" w:type="dxa"/>
            <w:gridSpan w:val="9"/>
            <w:vAlign w:val="center"/>
          </w:tcPr>
          <w:p w14:paraId="57DEA3B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w:t>
            </w:r>
            <w:r>
              <w:rPr>
                <w:rFonts w:ascii="Times New Roman" w:hAnsi="Times New Roman" w:eastAsia="仿宋" w:cs="Times New Roman"/>
                <w:color w:val="000000" w:themeColor="text1"/>
                <w:szCs w:val="21"/>
                <w14:textFill>
                  <w14:solidFill>
                    <w14:schemeClr w14:val="tx1"/>
                  </w14:solidFill>
                </w14:textFill>
              </w:rPr>
              <w:t>建立环境风险台帐。</w:t>
            </w:r>
            <w:r>
              <w:rPr>
                <w:rFonts w:ascii="Times New Roman" w:hAnsi="Times New Roman" w:eastAsia="仿宋" w:cs="Times New Roman"/>
                <w:color w:val="000000" w:themeColor="text1"/>
                <w:szCs w:val="21"/>
                <w:lang w:val="zh-CN"/>
                <w14:textFill>
                  <w14:solidFill>
                    <w14:schemeClr w14:val="tx1"/>
                  </w14:solidFill>
                </w14:textFill>
              </w:rPr>
              <w:t>加强灾害应急救助体系建设，建立救灾物资分级筹措、分级管理、逐级保障的体系，建立和完善县级救灾应急仓库。</w:t>
            </w:r>
          </w:p>
        </w:tc>
        <w:tc>
          <w:tcPr>
            <w:tcW w:w="3665" w:type="dxa"/>
            <w:gridSpan w:val="2"/>
            <w:vMerge w:val="continue"/>
            <w:vAlign w:val="center"/>
          </w:tcPr>
          <w:p w14:paraId="7ECF73C6">
            <w:pPr>
              <w:widowControl/>
              <w:jc w:val="left"/>
              <w:rPr>
                <w:rFonts w:ascii="Times New Roman" w:hAnsi="Times New Roman" w:eastAsia="仿宋" w:cs="Times New Roman"/>
                <w:szCs w:val="21"/>
              </w:rPr>
            </w:pPr>
          </w:p>
        </w:tc>
      </w:tr>
      <w:tr w14:paraId="7E32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2D19C8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9269" w:type="dxa"/>
            <w:gridSpan w:val="9"/>
            <w:vAlign w:val="center"/>
          </w:tcPr>
          <w:p w14:paraId="751F78E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（4.1）执行湖南省总体要求、永州市基本要求中与资源开发有关的规定。</w:t>
            </w:r>
          </w:p>
          <w:p w14:paraId="4EA6AB1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3665" w:type="dxa"/>
            <w:gridSpan w:val="2"/>
            <w:vMerge w:val="continue"/>
            <w:vAlign w:val="center"/>
          </w:tcPr>
          <w:p w14:paraId="4071CDD0">
            <w:pPr>
              <w:widowControl/>
              <w:jc w:val="left"/>
              <w:rPr>
                <w:rFonts w:ascii="Times New Roman" w:hAnsi="Times New Roman" w:eastAsia="仿宋" w:cs="Times New Roman"/>
                <w:szCs w:val="21"/>
              </w:rPr>
            </w:pPr>
          </w:p>
        </w:tc>
      </w:tr>
    </w:tbl>
    <w:p w14:paraId="6CAAD953">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6"/>
        <w:gridCol w:w="425"/>
        <w:gridCol w:w="426"/>
        <w:gridCol w:w="488"/>
        <w:gridCol w:w="959"/>
        <w:gridCol w:w="1319"/>
        <w:gridCol w:w="1347"/>
        <w:gridCol w:w="1415"/>
        <w:gridCol w:w="1276"/>
        <w:gridCol w:w="567"/>
        <w:gridCol w:w="3436"/>
      </w:tblGrid>
      <w:tr w14:paraId="6CD5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02DA6C82">
            <w:pPr>
              <w:widowControl/>
              <w:jc w:val="center"/>
              <w:rPr>
                <w:rFonts w:ascii="Times New Roman" w:hAnsi="Times New Roman" w:eastAsia="仿宋" w:cs="Times New Roman"/>
                <w:b/>
                <w:kern w:val="0"/>
                <w:szCs w:val="21"/>
              </w:rPr>
            </w:pPr>
            <w:r>
              <w:rPr>
                <w:rFonts w:ascii="Times New Roman" w:hAnsi="Times New Roman" w:eastAsia="仿宋" w:cs="Times New Roman"/>
                <w:b/>
                <w:szCs w:val="21"/>
              </w:rPr>
              <w:br w:type="page"/>
            </w:r>
            <w:r>
              <w:rPr>
                <w:rFonts w:ascii="Times New Roman" w:hAnsi="Times New Roman" w:eastAsia="仿宋" w:cs="Times New Roman"/>
                <w:b/>
                <w:kern w:val="0"/>
                <w:szCs w:val="21"/>
              </w:rPr>
              <w:t>环境管控单元编码</w:t>
            </w:r>
          </w:p>
        </w:tc>
        <w:tc>
          <w:tcPr>
            <w:tcW w:w="1276" w:type="dxa"/>
            <w:vMerge w:val="restart"/>
            <w:vAlign w:val="center"/>
          </w:tcPr>
          <w:p w14:paraId="7FFBA47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339" w:type="dxa"/>
            <w:gridSpan w:val="3"/>
            <w:vAlign w:val="center"/>
          </w:tcPr>
          <w:p w14:paraId="25370B0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959" w:type="dxa"/>
            <w:vMerge w:val="restart"/>
            <w:vAlign w:val="center"/>
          </w:tcPr>
          <w:p w14:paraId="0CCCF92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319" w:type="dxa"/>
            <w:vMerge w:val="restart"/>
            <w:vAlign w:val="center"/>
          </w:tcPr>
          <w:p w14:paraId="2CC9A47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347" w:type="dxa"/>
            <w:vMerge w:val="restart"/>
            <w:vAlign w:val="center"/>
          </w:tcPr>
          <w:p w14:paraId="1AEF71F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415" w:type="dxa"/>
            <w:vMerge w:val="restart"/>
            <w:vAlign w:val="center"/>
          </w:tcPr>
          <w:p w14:paraId="173BD93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1843" w:type="dxa"/>
            <w:gridSpan w:val="2"/>
            <w:vMerge w:val="restart"/>
            <w:vAlign w:val="center"/>
          </w:tcPr>
          <w:p w14:paraId="5F3E80F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3436" w:type="dxa"/>
            <w:vMerge w:val="restart"/>
            <w:vAlign w:val="center"/>
          </w:tcPr>
          <w:p w14:paraId="0E8FC6D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33C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58E4DA98">
            <w:pPr>
              <w:widowControl/>
              <w:jc w:val="left"/>
              <w:rPr>
                <w:rFonts w:ascii="Times New Roman" w:hAnsi="Times New Roman" w:eastAsia="仿宋" w:cs="Times New Roman"/>
                <w:b/>
                <w:kern w:val="0"/>
                <w:szCs w:val="21"/>
              </w:rPr>
            </w:pPr>
          </w:p>
        </w:tc>
        <w:tc>
          <w:tcPr>
            <w:tcW w:w="1276" w:type="dxa"/>
            <w:vMerge w:val="continue"/>
            <w:vAlign w:val="center"/>
          </w:tcPr>
          <w:p w14:paraId="3CAF9722">
            <w:pPr>
              <w:widowControl/>
              <w:jc w:val="left"/>
              <w:rPr>
                <w:rFonts w:ascii="Times New Roman" w:hAnsi="Times New Roman" w:eastAsia="仿宋" w:cs="Times New Roman"/>
                <w:b/>
                <w:kern w:val="0"/>
                <w:szCs w:val="21"/>
              </w:rPr>
            </w:pPr>
          </w:p>
        </w:tc>
        <w:tc>
          <w:tcPr>
            <w:tcW w:w="425" w:type="dxa"/>
            <w:vAlign w:val="center"/>
          </w:tcPr>
          <w:p w14:paraId="39E4B66A">
            <w:pPr>
              <w:widowControl/>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6" w:type="dxa"/>
            <w:vAlign w:val="center"/>
          </w:tcPr>
          <w:p w14:paraId="09F24B4E">
            <w:pPr>
              <w:widowControl/>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488" w:type="dxa"/>
            <w:vAlign w:val="center"/>
          </w:tcPr>
          <w:p w14:paraId="4CFF7C25">
            <w:pPr>
              <w:widowControl/>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959" w:type="dxa"/>
            <w:vMerge w:val="continue"/>
            <w:vAlign w:val="center"/>
          </w:tcPr>
          <w:p w14:paraId="15D5CCF6">
            <w:pPr>
              <w:widowControl/>
              <w:jc w:val="left"/>
              <w:rPr>
                <w:rFonts w:ascii="Times New Roman" w:hAnsi="Times New Roman" w:eastAsia="仿宋" w:cs="Times New Roman"/>
                <w:b/>
                <w:kern w:val="0"/>
                <w:szCs w:val="21"/>
              </w:rPr>
            </w:pPr>
          </w:p>
        </w:tc>
        <w:tc>
          <w:tcPr>
            <w:tcW w:w="1319" w:type="dxa"/>
            <w:vMerge w:val="continue"/>
            <w:vAlign w:val="center"/>
          </w:tcPr>
          <w:p w14:paraId="59AB328E">
            <w:pPr>
              <w:widowControl/>
              <w:jc w:val="left"/>
              <w:rPr>
                <w:rFonts w:ascii="Times New Roman" w:hAnsi="Times New Roman" w:eastAsia="仿宋" w:cs="Times New Roman"/>
                <w:b/>
                <w:kern w:val="0"/>
                <w:szCs w:val="21"/>
              </w:rPr>
            </w:pPr>
          </w:p>
        </w:tc>
        <w:tc>
          <w:tcPr>
            <w:tcW w:w="1347" w:type="dxa"/>
            <w:vMerge w:val="continue"/>
            <w:vAlign w:val="center"/>
          </w:tcPr>
          <w:p w14:paraId="4F02C877">
            <w:pPr>
              <w:widowControl/>
              <w:jc w:val="left"/>
              <w:rPr>
                <w:rFonts w:ascii="Times New Roman" w:hAnsi="Times New Roman" w:eastAsia="仿宋" w:cs="Times New Roman"/>
                <w:b/>
                <w:kern w:val="0"/>
                <w:szCs w:val="21"/>
              </w:rPr>
            </w:pPr>
          </w:p>
        </w:tc>
        <w:tc>
          <w:tcPr>
            <w:tcW w:w="1415" w:type="dxa"/>
            <w:vMerge w:val="continue"/>
            <w:vAlign w:val="center"/>
          </w:tcPr>
          <w:p w14:paraId="788BAE1E">
            <w:pPr>
              <w:widowControl/>
              <w:jc w:val="left"/>
              <w:rPr>
                <w:rFonts w:ascii="Times New Roman" w:hAnsi="Times New Roman" w:eastAsia="仿宋" w:cs="Times New Roman"/>
                <w:b/>
                <w:kern w:val="0"/>
                <w:szCs w:val="21"/>
              </w:rPr>
            </w:pPr>
          </w:p>
        </w:tc>
        <w:tc>
          <w:tcPr>
            <w:tcW w:w="1843" w:type="dxa"/>
            <w:gridSpan w:val="2"/>
            <w:vMerge w:val="continue"/>
            <w:vAlign w:val="center"/>
          </w:tcPr>
          <w:p w14:paraId="4CFC79C6">
            <w:pPr>
              <w:widowControl/>
              <w:jc w:val="left"/>
              <w:rPr>
                <w:rFonts w:ascii="Times New Roman" w:hAnsi="Times New Roman" w:eastAsia="仿宋" w:cs="Times New Roman"/>
                <w:b/>
                <w:kern w:val="0"/>
                <w:szCs w:val="21"/>
              </w:rPr>
            </w:pPr>
          </w:p>
        </w:tc>
        <w:tc>
          <w:tcPr>
            <w:tcW w:w="3436" w:type="dxa"/>
            <w:vMerge w:val="continue"/>
            <w:vAlign w:val="center"/>
          </w:tcPr>
          <w:p w14:paraId="10D34F80">
            <w:pPr>
              <w:widowControl/>
              <w:jc w:val="left"/>
              <w:rPr>
                <w:rFonts w:ascii="Times New Roman" w:hAnsi="Times New Roman" w:eastAsia="仿宋" w:cs="Times New Roman"/>
                <w:b/>
                <w:kern w:val="0"/>
                <w:szCs w:val="21"/>
              </w:rPr>
            </w:pPr>
          </w:p>
        </w:tc>
      </w:tr>
      <w:tr w14:paraId="5874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EBD208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ZH43112820003</w:t>
            </w:r>
          </w:p>
        </w:tc>
        <w:tc>
          <w:tcPr>
            <w:tcW w:w="1276" w:type="dxa"/>
            <w:vAlign w:val="center"/>
          </w:tcPr>
          <w:p w14:paraId="1B5C393E">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中山街道/龙泉街道</w:t>
            </w:r>
          </w:p>
        </w:tc>
        <w:tc>
          <w:tcPr>
            <w:tcW w:w="425" w:type="dxa"/>
            <w:vAlign w:val="center"/>
          </w:tcPr>
          <w:p w14:paraId="4E853E5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6" w:type="dxa"/>
            <w:vAlign w:val="center"/>
          </w:tcPr>
          <w:p w14:paraId="6A72BABD">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488" w:type="dxa"/>
            <w:vAlign w:val="center"/>
          </w:tcPr>
          <w:p w14:paraId="622A6E3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新田县</w:t>
            </w:r>
          </w:p>
        </w:tc>
        <w:tc>
          <w:tcPr>
            <w:tcW w:w="959" w:type="dxa"/>
            <w:vAlign w:val="center"/>
          </w:tcPr>
          <w:p w14:paraId="303296E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319" w:type="dxa"/>
            <w:shd w:val="clear" w:color="auto" w:fill="auto"/>
            <w:vAlign w:val="center"/>
          </w:tcPr>
          <w:p w14:paraId="7CC2F2A8">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45.30</w:t>
            </w:r>
          </w:p>
        </w:tc>
        <w:tc>
          <w:tcPr>
            <w:tcW w:w="1347" w:type="dxa"/>
            <w:shd w:val="clear" w:color="auto" w:fill="auto"/>
            <w:vAlign w:val="center"/>
          </w:tcPr>
          <w:p w14:paraId="11B1B04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中山街道/龙泉街道</w:t>
            </w:r>
          </w:p>
        </w:tc>
        <w:tc>
          <w:tcPr>
            <w:tcW w:w="1415" w:type="dxa"/>
            <w:vAlign w:val="center"/>
          </w:tcPr>
          <w:p w14:paraId="48849E29">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中山街道：</w:t>
            </w:r>
            <w:r>
              <w:rPr>
                <w:rFonts w:ascii="Times New Roman" w:hAnsi="Times New Roman" w:eastAsia="仿宋" w:cs="Times New Roman"/>
                <w:kern w:val="0"/>
                <w:szCs w:val="21"/>
              </w:rPr>
              <w:t>重点生态功能区；</w:t>
            </w:r>
          </w:p>
          <w:p w14:paraId="38166177">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龙泉街道：</w:t>
            </w:r>
            <w:r>
              <w:rPr>
                <w:rFonts w:ascii="Times New Roman" w:hAnsi="Times New Roman" w:eastAsia="仿宋" w:cs="Times New Roman"/>
                <w:kern w:val="0"/>
                <w:szCs w:val="21"/>
              </w:rPr>
              <w:t>城市化地区</w:t>
            </w:r>
          </w:p>
        </w:tc>
        <w:tc>
          <w:tcPr>
            <w:tcW w:w="1843" w:type="dxa"/>
            <w:gridSpan w:val="2"/>
            <w:vAlign w:val="center"/>
          </w:tcPr>
          <w:p w14:paraId="2AA2CA63">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农产品加工等。</w:t>
            </w:r>
          </w:p>
        </w:tc>
        <w:tc>
          <w:tcPr>
            <w:tcW w:w="3436" w:type="dxa"/>
            <w:vAlign w:val="center"/>
          </w:tcPr>
          <w:p w14:paraId="4AB842FD">
            <w:pPr>
              <w:widowControl/>
              <w:jc w:val="left"/>
              <w:rPr>
                <w:rFonts w:ascii="Times New Roman" w:hAnsi="Times New Roman" w:eastAsia="仿宋" w:cs="Times New Roman"/>
                <w:bCs/>
                <w:kern w:val="0"/>
                <w:szCs w:val="21"/>
              </w:rPr>
            </w:pPr>
            <w:r>
              <w:rPr>
                <w:rFonts w:ascii="Times New Roman" w:hAnsi="Times New Roman" w:eastAsia="仿宋" w:cs="Times New Roman"/>
                <w:bCs/>
                <w:kern w:val="0"/>
                <w:szCs w:val="21"/>
              </w:rPr>
              <w:t>无明显环境问题。</w:t>
            </w:r>
          </w:p>
          <w:p w14:paraId="6227821C">
            <w:pPr>
              <w:widowControl/>
              <w:jc w:val="left"/>
              <w:rPr>
                <w:rFonts w:ascii="Times New Roman" w:hAnsi="Times New Roman" w:eastAsia="仿宋" w:cs="Times New Roman"/>
                <w:bCs/>
                <w:kern w:val="0"/>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湖南新田县新田河湿地公园、湖南福音山国家森林公园等。</w:t>
            </w:r>
          </w:p>
        </w:tc>
      </w:tr>
      <w:tr w14:paraId="5F5E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jc w:val="center"/>
        </w:trPr>
        <w:tc>
          <w:tcPr>
            <w:tcW w:w="1129" w:type="dxa"/>
            <w:vAlign w:val="center"/>
          </w:tcPr>
          <w:p w14:paraId="733048D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34" w:type="dxa"/>
            <w:gridSpan w:val="11"/>
            <w:vAlign w:val="center"/>
          </w:tcPr>
          <w:p w14:paraId="01E78FE2">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kern w:val="0"/>
                <w:szCs w:val="21"/>
              </w:rPr>
              <w:t>中山街道</w:t>
            </w:r>
            <w:r>
              <w:rPr>
                <w:rFonts w:ascii="Times New Roman" w:hAnsi="Times New Roman" w:eastAsia="仿宋" w:cs="Times New Roman"/>
                <w:b/>
                <w:bCs/>
                <w:szCs w:val="21"/>
              </w:rPr>
              <w:t>：</w:t>
            </w:r>
          </w:p>
          <w:p w14:paraId="1B2CAF4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红线/一般生态空间（森林公园/三区三线生态红线/水源涵养重要区/水土流失敏感区/湿地公园/生物多样性保护功能重要区/原生态红线）；水环境优先保护区/水环境一般管控区；大气环境优先保护区/大气环境受体敏感重点管控区/大气环境弱扩散重点管控区；农用地优先保护区/建设用地重点管控区/其他重点管控区/一般管控区；高污染燃料禁燃区</w:t>
            </w:r>
          </w:p>
          <w:p w14:paraId="7FAFD271">
            <w:pPr>
              <w:tabs>
                <w:tab w:val="left" w:pos="1021"/>
              </w:tabs>
              <w:ind w:hanging="1"/>
              <w:rPr>
                <w:rFonts w:ascii="Times New Roman" w:hAnsi="Times New Roman" w:eastAsia="仿宋" w:cs="Times New Roman"/>
                <w:b/>
                <w:kern w:val="0"/>
                <w:szCs w:val="21"/>
              </w:rPr>
            </w:pPr>
            <w:r>
              <w:rPr>
                <w:rFonts w:ascii="Times New Roman" w:hAnsi="Times New Roman" w:eastAsia="仿宋" w:cs="Times New Roman"/>
                <w:b/>
                <w:kern w:val="0"/>
                <w:szCs w:val="21"/>
              </w:rPr>
              <w:t>龙泉街道：</w:t>
            </w:r>
          </w:p>
          <w:p w14:paraId="5436FC14">
            <w:pPr>
              <w:tabs>
                <w:tab w:val="left" w:pos="1021"/>
              </w:tabs>
              <w:ind w:hanging="1"/>
              <w:rPr>
                <w:rFonts w:ascii="Times New Roman" w:hAnsi="Times New Roman" w:eastAsia="仿宋" w:cs="Times New Roman"/>
                <w:kern w:val="0"/>
                <w:szCs w:val="21"/>
              </w:rPr>
            </w:pPr>
            <w:r>
              <w:rPr>
                <w:rFonts w:ascii="Times New Roman" w:hAnsi="Times New Roman" w:eastAsia="仿宋" w:cs="Times New Roman"/>
                <w:szCs w:val="21"/>
              </w:rPr>
              <w:t>红线/一般生态空间（水源涵养重要区/三区三线生态红线/水土流失敏感区/湿地公园/生物多样性保护功能重要区/原生态红线/森林公园）；水环境优先保护区/水环境工业污染重点管控区/水环境一般管控区；大气环境优先保护区/大气环境高排放重点管控区/大气环境受体敏感重点管控区/大气环境弱扩散重点管控区；农用地优先保护区/建设用地重点管控区/其他重点管控区/一般管控区；高污染燃料禁燃区</w:t>
            </w:r>
          </w:p>
        </w:tc>
      </w:tr>
      <w:tr w14:paraId="71A9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29" w:type="dxa"/>
            <w:vAlign w:val="center"/>
          </w:tcPr>
          <w:p w14:paraId="45D76E3B">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931" w:type="dxa"/>
            <w:gridSpan w:val="9"/>
            <w:vAlign w:val="center"/>
          </w:tcPr>
          <w:p w14:paraId="39BF76E8">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003" w:type="dxa"/>
            <w:gridSpan w:val="2"/>
            <w:vAlign w:val="center"/>
          </w:tcPr>
          <w:p w14:paraId="431E6F5B">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407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1129" w:type="dxa"/>
            <w:vAlign w:val="center"/>
          </w:tcPr>
          <w:p w14:paraId="1171FAF8">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931" w:type="dxa"/>
            <w:gridSpan w:val="9"/>
            <w:vAlign w:val="center"/>
          </w:tcPr>
          <w:p w14:paraId="26523F9D">
            <w:pPr>
              <w:pStyle w:val="55"/>
              <w:rPr>
                <w:rFonts w:eastAsia="仿宋"/>
                <w:szCs w:val="21"/>
              </w:rPr>
            </w:pPr>
            <w:r>
              <w:rPr>
                <w:rFonts w:eastAsia="仿宋"/>
                <w:szCs w:val="21"/>
              </w:rPr>
              <w:t>（1.1）产业准入应严格执行国家、省级关于主体功能区划的环境保护及产业准入负面清单要求。</w:t>
            </w:r>
          </w:p>
          <w:p w14:paraId="7C96DD9B">
            <w:pPr>
              <w:pStyle w:val="55"/>
              <w:rPr>
                <w:rFonts w:eastAsia="仿宋"/>
                <w:szCs w:val="21"/>
              </w:rPr>
            </w:pPr>
            <w:r>
              <w:rPr>
                <w:rFonts w:eastAsia="仿宋"/>
                <w:szCs w:val="21"/>
              </w:rPr>
              <w:t>（1.2）城市规划区内禁止新建烧制建筑砖瓦厂；城市建成区内禁止沥青搅拌站。</w:t>
            </w:r>
          </w:p>
          <w:p w14:paraId="0F2D67D9">
            <w:pPr>
              <w:ind w:firstLine="420" w:firstLineChars="200"/>
              <w:rPr>
                <w:rFonts w:ascii="Times New Roman" w:hAnsi="Times New Roman" w:eastAsia="仿宋" w:cs="Times New Roman"/>
                <w:szCs w:val="21"/>
              </w:rPr>
            </w:pPr>
            <w:r>
              <w:rPr>
                <w:rFonts w:ascii="Times New Roman" w:hAnsi="Times New Roman" w:eastAsia="仿宋" w:cs="Times New Roman"/>
                <w:szCs w:val="21"/>
              </w:rPr>
              <w:t>（1.3）新田工业集中区调区扩区原则上不应超出省级主管部门确定的拓展空间；对园区外的现有企业加强环境监管，确保污染物达标排放。</w:t>
            </w:r>
          </w:p>
        </w:tc>
        <w:tc>
          <w:tcPr>
            <w:tcW w:w="4003" w:type="dxa"/>
            <w:gridSpan w:val="2"/>
            <w:vMerge w:val="restart"/>
            <w:vAlign w:val="center"/>
          </w:tcPr>
          <w:p w14:paraId="17B201B1">
            <w:pPr>
              <w:rPr>
                <w:rFonts w:ascii="Times New Roman" w:hAnsi="Times New Roman" w:eastAsia="仿宋" w:cs="Times New Roman"/>
                <w:szCs w:val="21"/>
              </w:rPr>
            </w:pPr>
            <w:r>
              <w:rPr>
                <w:rFonts w:ascii="Times New Roman" w:hAnsi="Times New Roman" w:eastAsia="仿宋" w:cs="Times New Roman"/>
                <w:szCs w:val="21"/>
              </w:rPr>
              <w:t>（1.2）《永州市新田县“十四五”生态环境保护规划（2021-2025）研究报告》；</w:t>
            </w:r>
          </w:p>
          <w:p w14:paraId="1ED65A1C">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08C4415E">
            <w:pPr>
              <w:adjustRightInd w:val="0"/>
              <w:snapToGrid w:val="0"/>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p>
          <w:p w14:paraId="5AD88433">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（4.1）新田县人民政府办公室关于印发《新田县高污染燃料禁燃区划定方案》的通知（新政办函〔2019〕15号）；</w:t>
            </w:r>
          </w:p>
          <w:p w14:paraId="2E1977A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6899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1E63C9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931" w:type="dxa"/>
            <w:gridSpan w:val="9"/>
            <w:vAlign w:val="center"/>
          </w:tcPr>
          <w:p w14:paraId="2ADD1D41">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（2.1）有关行业新建项目必须执行《新田县环境突出问题集中整治重点行业操作规范（试行）》，现有项目必须在规定期限内达到《规范》要求，否则自行淘汰退出。</w:t>
            </w:r>
          </w:p>
          <w:p w14:paraId="3429BC9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tc>
        <w:tc>
          <w:tcPr>
            <w:tcW w:w="4003" w:type="dxa"/>
            <w:gridSpan w:val="2"/>
            <w:vMerge w:val="continue"/>
            <w:vAlign w:val="center"/>
          </w:tcPr>
          <w:p w14:paraId="4C956C4F">
            <w:pPr>
              <w:widowControl/>
              <w:jc w:val="left"/>
              <w:rPr>
                <w:rFonts w:ascii="Times New Roman" w:hAnsi="Times New Roman" w:eastAsia="仿宋" w:cs="Times New Roman"/>
                <w:szCs w:val="21"/>
              </w:rPr>
            </w:pPr>
          </w:p>
        </w:tc>
      </w:tr>
      <w:tr w14:paraId="6166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8B0AA3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931" w:type="dxa"/>
            <w:gridSpan w:val="9"/>
            <w:vAlign w:val="center"/>
          </w:tcPr>
          <w:p w14:paraId="37D6C73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（3.1）加强饮用水水源地风险管控，严格保护饮用水水质安全。</w:t>
            </w:r>
          </w:p>
        </w:tc>
        <w:tc>
          <w:tcPr>
            <w:tcW w:w="4003" w:type="dxa"/>
            <w:gridSpan w:val="2"/>
            <w:vMerge w:val="continue"/>
            <w:vAlign w:val="center"/>
          </w:tcPr>
          <w:p w14:paraId="564F5D42">
            <w:pPr>
              <w:widowControl/>
              <w:jc w:val="left"/>
              <w:rPr>
                <w:rFonts w:ascii="Times New Roman" w:hAnsi="Times New Roman" w:eastAsia="仿宋" w:cs="Times New Roman"/>
                <w:szCs w:val="21"/>
              </w:rPr>
            </w:pPr>
          </w:p>
        </w:tc>
      </w:tr>
      <w:tr w14:paraId="290B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72D9E8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931" w:type="dxa"/>
            <w:gridSpan w:val="9"/>
            <w:vAlign w:val="center"/>
          </w:tcPr>
          <w:p w14:paraId="36A2DD3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（4.1）高污染燃料禁燃区严格执行新田县人民政府办公室关于印发《新田县高污染燃料禁燃区划定方案》的通知（新政办函〔2019〕15号）。</w:t>
            </w:r>
          </w:p>
          <w:p w14:paraId="359B2BE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4003" w:type="dxa"/>
            <w:gridSpan w:val="2"/>
            <w:vMerge w:val="continue"/>
            <w:vAlign w:val="center"/>
          </w:tcPr>
          <w:p w14:paraId="6D6E0E56">
            <w:pPr>
              <w:widowControl/>
              <w:jc w:val="left"/>
              <w:rPr>
                <w:rFonts w:ascii="Times New Roman" w:hAnsi="Times New Roman" w:eastAsia="仿宋" w:cs="Times New Roman"/>
                <w:szCs w:val="21"/>
              </w:rPr>
            </w:pPr>
          </w:p>
        </w:tc>
      </w:tr>
    </w:tbl>
    <w:p w14:paraId="70966594">
      <w:pPr>
        <w:widowControl/>
        <w:jc w:val="left"/>
        <w:rPr>
          <w:rFonts w:ascii="Times New Roman" w:hAnsi="Times New Roman" w:eastAsia="仿宋" w:cs="Times New Roman"/>
          <w:b/>
          <w:szCs w:val="21"/>
        </w:rPr>
      </w:pPr>
      <w:r>
        <w:rPr>
          <w:rFonts w:ascii="Times New Roman" w:hAnsi="Times New Roman" w:eastAsia="仿宋" w:cs="Times New Roman"/>
          <w:b/>
          <w:szCs w:val="21"/>
        </w:rPr>
        <w:br w:type="page"/>
      </w:r>
    </w:p>
    <w:tbl>
      <w:tblPr>
        <w:tblStyle w:val="20"/>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477"/>
        <w:gridCol w:w="428"/>
        <w:gridCol w:w="428"/>
        <w:gridCol w:w="568"/>
        <w:gridCol w:w="993"/>
        <w:gridCol w:w="1068"/>
        <w:gridCol w:w="1275"/>
        <w:gridCol w:w="1843"/>
        <w:gridCol w:w="2126"/>
        <w:gridCol w:w="2728"/>
      </w:tblGrid>
      <w:tr w14:paraId="25E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5C82D88F">
            <w:pPr>
              <w:widowControl/>
              <w:jc w:val="center"/>
              <w:rPr>
                <w:rFonts w:ascii="Times New Roman" w:hAnsi="Times New Roman" w:eastAsia="仿宋" w:cs="Times New Roman"/>
                <w:b/>
                <w:kern w:val="0"/>
                <w:szCs w:val="21"/>
              </w:rPr>
            </w:pPr>
            <w:r>
              <w:rPr>
                <w:rFonts w:ascii="Times New Roman" w:hAnsi="Times New Roman" w:eastAsia="仿宋" w:cs="Times New Roman"/>
                <w:b/>
                <w:szCs w:val="21"/>
              </w:rPr>
              <w:br w:type="page"/>
            </w:r>
            <w:r>
              <w:rPr>
                <w:rFonts w:ascii="Times New Roman" w:hAnsi="Times New Roman" w:eastAsia="仿宋" w:cs="Times New Roman"/>
                <w:b/>
                <w:kern w:val="0"/>
                <w:szCs w:val="21"/>
              </w:rPr>
              <w:t>环境管控单元编码</w:t>
            </w:r>
          </w:p>
        </w:tc>
        <w:tc>
          <w:tcPr>
            <w:tcW w:w="1477" w:type="dxa"/>
            <w:vMerge w:val="restart"/>
            <w:vAlign w:val="center"/>
          </w:tcPr>
          <w:p w14:paraId="0838EEC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24" w:type="dxa"/>
            <w:gridSpan w:val="3"/>
            <w:vAlign w:val="center"/>
          </w:tcPr>
          <w:p w14:paraId="3496B8F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993" w:type="dxa"/>
            <w:vMerge w:val="restart"/>
            <w:vAlign w:val="center"/>
          </w:tcPr>
          <w:p w14:paraId="7A093F4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068" w:type="dxa"/>
            <w:vMerge w:val="restart"/>
            <w:vAlign w:val="center"/>
          </w:tcPr>
          <w:p w14:paraId="18199E48">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275" w:type="dxa"/>
            <w:vMerge w:val="restart"/>
            <w:vAlign w:val="center"/>
          </w:tcPr>
          <w:p w14:paraId="40AB165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843" w:type="dxa"/>
            <w:vMerge w:val="restart"/>
            <w:vAlign w:val="center"/>
          </w:tcPr>
          <w:p w14:paraId="1E0C9B4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2126" w:type="dxa"/>
            <w:vMerge w:val="restart"/>
            <w:vAlign w:val="center"/>
          </w:tcPr>
          <w:p w14:paraId="6D32253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728" w:type="dxa"/>
            <w:vMerge w:val="restart"/>
            <w:vAlign w:val="center"/>
          </w:tcPr>
          <w:p w14:paraId="01D124F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092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9" w:type="dxa"/>
            <w:vMerge w:val="continue"/>
            <w:vAlign w:val="center"/>
          </w:tcPr>
          <w:p w14:paraId="2B22B473">
            <w:pPr>
              <w:widowControl/>
              <w:jc w:val="left"/>
              <w:rPr>
                <w:rFonts w:ascii="Times New Roman" w:hAnsi="Times New Roman" w:eastAsia="仿宋" w:cs="Times New Roman"/>
                <w:b/>
                <w:kern w:val="0"/>
                <w:szCs w:val="21"/>
              </w:rPr>
            </w:pPr>
          </w:p>
        </w:tc>
        <w:tc>
          <w:tcPr>
            <w:tcW w:w="1477" w:type="dxa"/>
            <w:vMerge w:val="continue"/>
            <w:vAlign w:val="center"/>
          </w:tcPr>
          <w:p w14:paraId="176B6041">
            <w:pPr>
              <w:widowControl/>
              <w:jc w:val="left"/>
              <w:rPr>
                <w:rFonts w:ascii="Times New Roman" w:hAnsi="Times New Roman" w:eastAsia="仿宋" w:cs="Times New Roman"/>
                <w:b/>
                <w:kern w:val="0"/>
                <w:szCs w:val="21"/>
              </w:rPr>
            </w:pPr>
          </w:p>
        </w:tc>
        <w:tc>
          <w:tcPr>
            <w:tcW w:w="428" w:type="dxa"/>
            <w:vAlign w:val="center"/>
          </w:tcPr>
          <w:p w14:paraId="464016C1">
            <w:pPr>
              <w:widowControl/>
              <w:jc w:val="center"/>
              <w:rPr>
                <w:rFonts w:ascii="Times New Roman" w:hAnsi="Times New Roman" w:eastAsia="仿宋" w:cs="Times New Roman"/>
                <w:b/>
                <w:szCs w:val="21"/>
              </w:rPr>
            </w:pPr>
            <w:r>
              <w:rPr>
                <w:rFonts w:ascii="Times New Roman" w:hAnsi="Times New Roman" w:eastAsia="仿宋" w:cs="Times New Roman"/>
                <w:b/>
                <w:szCs w:val="21"/>
              </w:rPr>
              <w:t>省</w:t>
            </w:r>
          </w:p>
        </w:tc>
        <w:tc>
          <w:tcPr>
            <w:tcW w:w="428" w:type="dxa"/>
            <w:vAlign w:val="center"/>
          </w:tcPr>
          <w:p w14:paraId="14A122A3">
            <w:pPr>
              <w:widowControl/>
              <w:jc w:val="center"/>
              <w:rPr>
                <w:rFonts w:ascii="Times New Roman" w:hAnsi="Times New Roman" w:eastAsia="仿宋" w:cs="Times New Roman"/>
                <w:b/>
                <w:szCs w:val="21"/>
              </w:rPr>
            </w:pPr>
            <w:r>
              <w:rPr>
                <w:rFonts w:ascii="Times New Roman" w:hAnsi="Times New Roman" w:eastAsia="仿宋" w:cs="Times New Roman"/>
                <w:b/>
                <w:szCs w:val="21"/>
              </w:rPr>
              <w:t>市</w:t>
            </w:r>
          </w:p>
        </w:tc>
        <w:tc>
          <w:tcPr>
            <w:tcW w:w="568" w:type="dxa"/>
            <w:vAlign w:val="center"/>
          </w:tcPr>
          <w:p w14:paraId="1A98A2D0">
            <w:pPr>
              <w:widowControl/>
              <w:jc w:val="center"/>
              <w:rPr>
                <w:rFonts w:ascii="Times New Roman" w:hAnsi="Times New Roman" w:eastAsia="仿宋" w:cs="Times New Roman"/>
                <w:b/>
                <w:szCs w:val="21"/>
              </w:rPr>
            </w:pPr>
            <w:r>
              <w:rPr>
                <w:rFonts w:ascii="Times New Roman" w:hAnsi="Times New Roman" w:eastAsia="仿宋" w:cs="Times New Roman"/>
                <w:b/>
                <w:szCs w:val="21"/>
              </w:rPr>
              <w:t>县</w:t>
            </w:r>
          </w:p>
        </w:tc>
        <w:tc>
          <w:tcPr>
            <w:tcW w:w="993" w:type="dxa"/>
            <w:vMerge w:val="continue"/>
            <w:vAlign w:val="center"/>
          </w:tcPr>
          <w:p w14:paraId="41D9336E">
            <w:pPr>
              <w:widowControl/>
              <w:jc w:val="left"/>
              <w:rPr>
                <w:rFonts w:ascii="Times New Roman" w:hAnsi="Times New Roman" w:eastAsia="仿宋" w:cs="Times New Roman"/>
                <w:b/>
                <w:kern w:val="0"/>
                <w:szCs w:val="21"/>
              </w:rPr>
            </w:pPr>
          </w:p>
        </w:tc>
        <w:tc>
          <w:tcPr>
            <w:tcW w:w="1068" w:type="dxa"/>
            <w:vMerge w:val="continue"/>
            <w:vAlign w:val="center"/>
          </w:tcPr>
          <w:p w14:paraId="447C0428">
            <w:pPr>
              <w:widowControl/>
              <w:jc w:val="left"/>
              <w:rPr>
                <w:rFonts w:ascii="Times New Roman" w:hAnsi="Times New Roman" w:eastAsia="仿宋" w:cs="Times New Roman"/>
                <w:b/>
                <w:kern w:val="0"/>
                <w:szCs w:val="21"/>
              </w:rPr>
            </w:pPr>
          </w:p>
        </w:tc>
        <w:tc>
          <w:tcPr>
            <w:tcW w:w="1275" w:type="dxa"/>
            <w:vMerge w:val="continue"/>
            <w:vAlign w:val="center"/>
          </w:tcPr>
          <w:p w14:paraId="4E73DD73">
            <w:pPr>
              <w:widowControl/>
              <w:jc w:val="left"/>
              <w:rPr>
                <w:rFonts w:ascii="Times New Roman" w:hAnsi="Times New Roman" w:eastAsia="仿宋" w:cs="Times New Roman"/>
                <w:b/>
                <w:kern w:val="0"/>
                <w:szCs w:val="21"/>
              </w:rPr>
            </w:pPr>
          </w:p>
        </w:tc>
        <w:tc>
          <w:tcPr>
            <w:tcW w:w="1843" w:type="dxa"/>
            <w:vMerge w:val="continue"/>
            <w:vAlign w:val="center"/>
          </w:tcPr>
          <w:p w14:paraId="28E75B8D">
            <w:pPr>
              <w:widowControl/>
              <w:jc w:val="left"/>
              <w:rPr>
                <w:rFonts w:ascii="Times New Roman" w:hAnsi="Times New Roman" w:eastAsia="仿宋" w:cs="Times New Roman"/>
                <w:b/>
                <w:kern w:val="0"/>
                <w:szCs w:val="21"/>
              </w:rPr>
            </w:pPr>
          </w:p>
        </w:tc>
        <w:tc>
          <w:tcPr>
            <w:tcW w:w="2126" w:type="dxa"/>
            <w:vMerge w:val="continue"/>
            <w:vAlign w:val="center"/>
          </w:tcPr>
          <w:p w14:paraId="3555C3D8">
            <w:pPr>
              <w:widowControl/>
              <w:jc w:val="left"/>
              <w:rPr>
                <w:rFonts w:ascii="Times New Roman" w:hAnsi="Times New Roman" w:eastAsia="仿宋" w:cs="Times New Roman"/>
                <w:b/>
                <w:kern w:val="0"/>
                <w:szCs w:val="21"/>
              </w:rPr>
            </w:pPr>
          </w:p>
        </w:tc>
        <w:tc>
          <w:tcPr>
            <w:tcW w:w="2728" w:type="dxa"/>
            <w:vMerge w:val="continue"/>
            <w:vAlign w:val="center"/>
          </w:tcPr>
          <w:p w14:paraId="1D821B6E">
            <w:pPr>
              <w:widowControl/>
              <w:jc w:val="left"/>
              <w:rPr>
                <w:rFonts w:ascii="Times New Roman" w:hAnsi="Times New Roman" w:eastAsia="仿宋" w:cs="Times New Roman"/>
                <w:b/>
                <w:kern w:val="0"/>
                <w:szCs w:val="21"/>
              </w:rPr>
            </w:pPr>
          </w:p>
        </w:tc>
      </w:tr>
      <w:tr w14:paraId="12ED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9563D9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ZH431128</w:t>
            </w:r>
          </w:p>
          <w:p w14:paraId="7426D8E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30001</w:t>
            </w:r>
          </w:p>
        </w:tc>
        <w:tc>
          <w:tcPr>
            <w:tcW w:w="1477" w:type="dxa"/>
            <w:vAlign w:val="center"/>
          </w:tcPr>
          <w:p w14:paraId="7CB2AC7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枧头镇/金盆镇/中山街道/龙泉街道</w:t>
            </w:r>
          </w:p>
        </w:tc>
        <w:tc>
          <w:tcPr>
            <w:tcW w:w="428" w:type="dxa"/>
            <w:vAlign w:val="center"/>
          </w:tcPr>
          <w:p w14:paraId="7EF457E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8" w:type="dxa"/>
            <w:vAlign w:val="center"/>
          </w:tcPr>
          <w:p w14:paraId="13BF2D0F">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568" w:type="dxa"/>
            <w:vAlign w:val="center"/>
          </w:tcPr>
          <w:p w14:paraId="66BBA13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新田县</w:t>
            </w:r>
          </w:p>
        </w:tc>
        <w:tc>
          <w:tcPr>
            <w:tcW w:w="993" w:type="dxa"/>
            <w:vAlign w:val="center"/>
          </w:tcPr>
          <w:p w14:paraId="45317B3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068" w:type="dxa"/>
            <w:shd w:val="clear" w:color="auto" w:fill="auto"/>
            <w:vAlign w:val="center"/>
          </w:tcPr>
          <w:p w14:paraId="6A75AFB7">
            <w:pPr>
              <w:widowControl/>
              <w:jc w:val="center"/>
              <w:rPr>
                <w:rFonts w:ascii="Times New Roman" w:hAnsi="Times New Roman" w:eastAsia="仿宋" w:cs="Times New Roman"/>
                <w:strike/>
                <w:kern w:val="0"/>
                <w:szCs w:val="21"/>
              </w:rPr>
            </w:pPr>
            <w:r>
              <w:rPr>
                <w:rFonts w:ascii="Times New Roman" w:hAnsi="Times New Roman" w:eastAsia="仿宋" w:cs="Times New Roman"/>
                <w:kern w:val="0"/>
                <w:szCs w:val="21"/>
              </w:rPr>
              <w:t>282.73</w:t>
            </w:r>
          </w:p>
        </w:tc>
        <w:tc>
          <w:tcPr>
            <w:tcW w:w="1275" w:type="dxa"/>
            <w:shd w:val="clear" w:color="auto" w:fill="auto"/>
            <w:vAlign w:val="center"/>
          </w:tcPr>
          <w:p w14:paraId="7FD0134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枧头镇/金盆镇/中山街道/龙泉街道</w:t>
            </w:r>
          </w:p>
        </w:tc>
        <w:tc>
          <w:tcPr>
            <w:tcW w:w="1843" w:type="dxa"/>
            <w:vAlign w:val="center"/>
          </w:tcPr>
          <w:p w14:paraId="1A1A009F">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枧头镇/金盆镇：</w:t>
            </w:r>
            <w:r>
              <w:rPr>
                <w:rFonts w:ascii="Times New Roman" w:hAnsi="Times New Roman" w:eastAsia="仿宋" w:cs="Times New Roman"/>
                <w:kern w:val="0"/>
                <w:szCs w:val="21"/>
              </w:rPr>
              <w:t>农产品主产区；</w:t>
            </w:r>
          </w:p>
          <w:p w14:paraId="7DAE65B2">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中山街道：</w:t>
            </w:r>
            <w:r>
              <w:rPr>
                <w:rFonts w:ascii="Times New Roman" w:hAnsi="Times New Roman" w:eastAsia="仿宋" w:cs="Times New Roman"/>
                <w:kern w:val="0"/>
                <w:szCs w:val="21"/>
              </w:rPr>
              <w:t>重点生态功能区；</w:t>
            </w:r>
          </w:p>
          <w:p w14:paraId="0A16F0C9">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龙泉街道：</w:t>
            </w:r>
            <w:r>
              <w:rPr>
                <w:rFonts w:ascii="Times New Roman" w:hAnsi="Times New Roman" w:eastAsia="仿宋" w:cs="Times New Roman"/>
                <w:kern w:val="0"/>
                <w:szCs w:val="21"/>
              </w:rPr>
              <w:t>城市化地区</w:t>
            </w:r>
          </w:p>
        </w:tc>
        <w:tc>
          <w:tcPr>
            <w:tcW w:w="2126" w:type="dxa"/>
            <w:vAlign w:val="center"/>
          </w:tcPr>
          <w:p w14:paraId="07ACA349">
            <w:pPr>
              <w:widowControl/>
              <w:jc w:val="left"/>
              <w:rPr>
                <w:rFonts w:ascii="Times New Roman" w:hAnsi="Times New Roman" w:eastAsia="仿宋" w:cs="Times New Roman"/>
                <w:b/>
                <w:bCs/>
                <w:kern w:val="0"/>
                <w:szCs w:val="21"/>
              </w:rPr>
            </w:pPr>
            <w:r>
              <w:rPr>
                <w:rFonts w:ascii="Times New Roman" w:hAnsi="Times New Roman" w:eastAsia="仿宋" w:cs="Times New Roman"/>
                <w:b/>
                <w:bCs/>
                <w:kern w:val="0"/>
                <w:szCs w:val="21"/>
              </w:rPr>
              <w:t>枧头镇：</w:t>
            </w:r>
            <w:r>
              <w:rPr>
                <w:rFonts w:ascii="Times New Roman" w:hAnsi="Times New Roman" w:eastAsia="仿宋" w:cs="Times New Roman"/>
                <w:kern w:val="0"/>
                <w:szCs w:val="21"/>
              </w:rPr>
              <w:t>采矿（砂石土矿）、农业</w:t>
            </w:r>
          </w:p>
          <w:p w14:paraId="7E2046CD">
            <w:pPr>
              <w:widowControl/>
              <w:jc w:val="left"/>
              <w:rPr>
                <w:rFonts w:ascii="Times New Roman" w:hAnsi="Times New Roman" w:eastAsia="仿宋" w:cs="Times New Roman"/>
                <w:kern w:val="0"/>
                <w:szCs w:val="21"/>
              </w:rPr>
            </w:pPr>
            <w:r>
              <w:rPr>
                <w:rFonts w:ascii="Times New Roman" w:hAnsi="Times New Roman" w:eastAsia="仿宋" w:cs="Times New Roman"/>
                <w:b/>
                <w:bCs/>
                <w:kern w:val="0"/>
                <w:szCs w:val="21"/>
              </w:rPr>
              <w:t>金盆镇：</w:t>
            </w:r>
            <w:r>
              <w:rPr>
                <w:rFonts w:ascii="Times New Roman" w:hAnsi="Times New Roman" w:eastAsia="仿宋" w:cs="Times New Roman"/>
                <w:kern w:val="0"/>
                <w:szCs w:val="21"/>
              </w:rPr>
              <w:t>农业。</w:t>
            </w:r>
          </w:p>
          <w:p w14:paraId="3397CF22">
            <w:pPr>
              <w:widowControl/>
              <w:jc w:val="left"/>
              <w:rPr>
                <w:rFonts w:ascii="Times New Roman" w:hAnsi="Times New Roman" w:eastAsia="仿宋" w:cs="Times New Roman"/>
                <w:szCs w:val="21"/>
              </w:rPr>
            </w:pPr>
            <w:r>
              <w:rPr>
                <w:rFonts w:ascii="Times New Roman" w:hAnsi="Times New Roman" w:eastAsia="仿宋" w:cs="Times New Roman"/>
                <w:b/>
                <w:kern w:val="0"/>
                <w:szCs w:val="21"/>
              </w:rPr>
              <w:t>中山街道/龙泉街道</w:t>
            </w:r>
            <w:r>
              <w:rPr>
                <w:rFonts w:ascii="Times New Roman" w:hAnsi="Times New Roman" w:eastAsia="仿宋" w:cs="Times New Roman"/>
                <w:b/>
                <w:bCs/>
                <w:kern w:val="0"/>
                <w:szCs w:val="21"/>
              </w:rPr>
              <w:t>：</w:t>
            </w:r>
            <w:r>
              <w:rPr>
                <w:rFonts w:ascii="Times New Roman" w:hAnsi="Times New Roman" w:eastAsia="仿宋" w:cs="Times New Roman"/>
                <w:kern w:val="0"/>
                <w:szCs w:val="21"/>
              </w:rPr>
              <w:t>农产品加工。</w:t>
            </w:r>
          </w:p>
        </w:tc>
        <w:tc>
          <w:tcPr>
            <w:tcW w:w="2728" w:type="dxa"/>
            <w:vAlign w:val="center"/>
          </w:tcPr>
          <w:p w14:paraId="47F8E7FD">
            <w:pPr>
              <w:tabs>
                <w:tab w:val="left" w:pos="1021"/>
              </w:tabs>
              <w:ind w:hanging="1"/>
              <w:jc w:val="left"/>
              <w:rPr>
                <w:rFonts w:ascii="Times New Roman" w:hAnsi="Times New Roman" w:eastAsia="仿宋" w:cs="Times New Roman"/>
                <w:kern w:val="0"/>
                <w:szCs w:val="21"/>
              </w:rPr>
            </w:pPr>
            <w:r>
              <w:rPr>
                <w:rFonts w:ascii="Times New Roman" w:hAnsi="Times New Roman" w:eastAsia="仿宋" w:cs="Times New Roman"/>
                <w:kern w:val="0"/>
                <w:szCs w:val="21"/>
              </w:rPr>
              <w:t>无明显环境问题。</w:t>
            </w:r>
          </w:p>
          <w:p w14:paraId="6CAC3D7E">
            <w:pPr>
              <w:tabs>
                <w:tab w:val="left" w:pos="1021"/>
              </w:tabs>
              <w:ind w:hanging="1"/>
              <w:jc w:val="left"/>
              <w:rPr>
                <w:rFonts w:ascii="Times New Roman" w:hAnsi="Times New Roman" w:eastAsia="仿宋" w:cs="Times New Roman"/>
                <w:kern w:val="0"/>
                <w:szCs w:val="21"/>
              </w:rPr>
            </w:pPr>
            <w:r>
              <w:rPr>
                <w:rFonts w:ascii="Times New Roman" w:hAnsi="Times New Roman" w:eastAsia="仿宋" w:cs="Times New Roman"/>
                <w:b/>
                <w:bCs/>
                <w:szCs w:val="21"/>
              </w:rPr>
              <w:t>环保目标：</w:t>
            </w:r>
            <w:r>
              <w:rPr>
                <w:rFonts w:ascii="Times New Roman" w:hAnsi="Times New Roman" w:eastAsia="仿宋" w:cs="Times New Roman"/>
                <w:kern w:val="0"/>
                <w:szCs w:val="21"/>
              </w:rPr>
              <w:t>湖南新田县新田河湿地公园、、湖南福音山国家森林公园、湖南新田大观堡国家石漠公园等。</w:t>
            </w:r>
          </w:p>
        </w:tc>
      </w:tr>
      <w:tr w14:paraId="53F0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129" w:type="dxa"/>
            <w:vAlign w:val="center"/>
          </w:tcPr>
          <w:p w14:paraId="3E22EF7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34" w:type="dxa"/>
            <w:gridSpan w:val="10"/>
            <w:vAlign w:val="center"/>
          </w:tcPr>
          <w:p w14:paraId="1F209A1C">
            <w:pPr>
              <w:autoSpaceDE w:val="0"/>
              <w:autoSpaceDN w:val="0"/>
              <w:adjustRightInd w:val="0"/>
              <w:jc w:val="left"/>
              <w:rPr>
                <w:rFonts w:ascii="Times New Roman" w:hAnsi="Times New Roman" w:eastAsia="仿宋" w:cs="Times New Roman"/>
                <w:szCs w:val="21"/>
              </w:rPr>
            </w:pPr>
            <w:r>
              <w:rPr>
                <w:rFonts w:ascii="Times New Roman" w:hAnsi="Times New Roman" w:eastAsia="仿宋" w:cs="Times New Roman"/>
                <w:b/>
                <w:bCs/>
                <w:szCs w:val="21"/>
              </w:rPr>
              <w:t>枧头镇：</w:t>
            </w:r>
          </w:p>
          <w:p w14:paraId="52E8BE07">
            <w:pPr>
              <w:autoSpaceDE w:val="0"/>
              <w:autoSpaceDN w:val="0"/>
              <w:adjustRightInd w:val="0"/>
              <w:jc w:val="left"/>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水土流失敏感区/石漠公园/原生态红线/生物多样性保护功能重要区）；水环境一般管控区；大气环境优先保护区/大气环境受体敏感重点管控区/大气环境弱扩散重点管控区；农用地优先保护区/其他重点管控区/一般管控区</w:t>
            </w:r>
          </w:p>
          <w:p w14:paraId="0926DB32">
            <w:pPr>
              <w:tabs>
                <w:tab w:val="left" w:pos="1021"/>
              </w:tabs>
              <w:ind w:hanging="1"/>
              <w:rPr>
                <w:rFonts w:ascii="Times New Roman" w:hAnsi="Times New Roman" w:eastAsia="仿宋" w:cs="Times New Roman"/>
                <w:szCs w:val="21"/>
              </w:rPr>
            </w:pPr>
            <w:r>
              <w:rPr>
                <w:rFonts w:ascii="Times New Roman" w:hAnsi="Times New Roman" w:eastAsia="仿宋" w:cs="Times New Roman"/>
                <w:b/>
                <w:bCs/>
                <w:szCs w:val="21"/>
              </w:rPr>
              <w:t>金盆镇：</w:t>
            </w:r>
          </w:p>
          <w:p w14:paraId="72F8327D">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一般生态空间（水源涵养重要区/水土流失敏感区/原生态红线）；水环境一般管控区；大气环境优先保护区/大气环境受体敏感重点管控区/大气环境弱扩散重点管控区；农用地优先保护区/一般管控区</w:t>
            </w:r>
          </w:p>
          <w:p w14:paraId="70CD92CC">
            <w:pPr>
              <w:tabs>
                <w:tab w:val="left" w:pos="1021"/>
              </w:tabs>
              <w:ind w:hanging="1"/>
              <w:rPr>
                <w:rFonts w:ascii="Times New Roman" w:hAnsi="Times New Roman" w:eastAsia="仿宋" w:cs="Times New Roman"/>
                <w:kern w:val="0"/>
                <w:szCs w:val="21"/>
              </w:rPr>
            </w:pPr>
            <w:r>
              <w:rPr>
                <w:rFonts w:ascii="Times New Roman" w:hAnsi="Times New Roman" w:eastAsia="仿宋" w:cs="Times New Roman"/>
                <w:b/>
                <w:kern w:val="0"/>
                <w:szCs w:val="21"/>
              </w:rPr>
              <w:t>中山街道</w:t>
            </w:r>
            <w:r>
              <w:rPr>
                <w:rFonts w:ascii="Times New Roman" w:hAnsi="Times New Roman" w:eastAsia="仿宋" w:cs="Times New Roman"/>
                <w:b/>
                <w:bCs/>
                <w:szCs w:val="21"/>
              </w:rPr>
              <w:t>：</w:t>
            </w:r>
          </w:p>
          <w:p w14:paraId="3CD6A2D0">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红线/一般生态空间（森林公园/三区三线生态红线/水源涵养重要区/水土流失敏感区/湿地公园/生物多样性保护功能重要区/原生态红线）；水环境优先保护区/水环境一般管控区；大气环境优先保护区/大气环境受体敏感重点管控区/大气环境弱扩散重点管控区；农用地优先保护区/建设用地重点管控区/其他重点管控区/一般管控区；高污染燃料禁燃区</w:t>
            </w:r>
          </w:p>
          <w:p w14:paraId="5B9066B0">
            <w:pPr>
              <w:tabs>
                <w:tab w:val="left" w:pos="1021"/>
              </w:tabs>
              <w:ind w:hanging="1"/>
              <w:rPr>
                <w:rFonts w:ascii="Times New Roman" w:hAnsi="Times New Roman" w:eastAsia="仿宋" w:cs="Times New Roman"/>
                <w:b/>
                <w:kern w:val="0"/>
                <w:szCs w:val="21"/>
              </w:rPr>
            </w:pPr>
            <w:r>
              <w:rPr>
                <w:rFonts w:ascii="Times New Roman" w:hAnsi="Times New Roman" w:eastAsia="仿宋" w:cs="Times New Roman"/>
                <w:b/>
                <w:kern w:val="0"/>
                <w:szCs w:val="21"/>
              </w:rPr>
              <w:t>龙泉街道：</w:t>
            </w:r>
          </w:p>
          <w:p w14:paraId="4C2134F1">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水土流失敏感区/湿地公园/生物多样性保护功能重要区/原生态红线/森林公园）；水环境优先保护区/水环境工业污染重点管控区/水环境一般管控区；大气环境优先保护区/大气环境高排放重点管控区/大气环境受体敏感重点管控区/大气环境弱扩散重点管控区；农用地优先保护区/建设用地重点管控区/其他重点管控区/一般管控区；高污染燃料禁燃区</w:t>
            </w:r>
          </w:p>
        </w:tc>
      </w:tr>
      <w:tr w14:paraId="72CE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3FC88BB0">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080" w:type="dxa"/>
            <w:gridSpan w:val="8"/>
            <w:vAlign w:val="center"/>
          </w:tcPr>
          <w:p w14:paraId="73A424BC">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854" w:type="dxa"/>
            <w:gridSpan w:val="2"/>
            <w:vAlign w:val="center"/>
          </w:tcPr>
          <w:p w14:paraId="03453862">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A70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013905B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080" w:type="dxa"/>
            <w:gridSpan w:val="8"/>
            <w:vAlign w:val="center"/>
          </w:tcPr>
          <w:p w14:paraId="5DB00977">
            <w:pPr>
              <w:pStyle w:val="55"/>
              <w:rPr>
                <w:rFonts w:eastAsia="仿宋"/>
                <w:szCs w:val="21"/>
              </w:rPr>
            </w:pPr>
            <w:r>
              <w:rPr>
                <w:rFonts w:eastAsia="仿宋"/>
                <w:szCs w:val="21"/>
              </w:rPr>
              <w:t>（1.1）产业准入应严格执行国家、省级关于主体功能区划的环境保护及产业准入负面清单要求。</w:t>
            </w:r>
          </w:p>
          <w:p w14:paraId="13D6A87C">
            <w:pPr>
              <w:pStyle w:val="55"/>
              <w:rPr>
                <w:rFonts w:eastAsia="仿宋"/>
                <w:kern w:val="0"/>
                <w:szCs w:val="21"/>
              </w:rPr>
            </w:pPr>
            <w:r>
              <w:rPr>
                <w:rFonts w:eastAsia="仿宋"/>
                <w:szCs w:val="21"/>
              </w:rPr>
              <w:t>（1.2）畜禽养殖产业布局应符合《湖南省新</w:t>
            </w:r>
            <w:r>
              <w:rPr>
                <w:rFonts w:eastAsia="仿宋"/>
                <w:kern w:val="0"/>
                <w:szCs w:val="21"/>
              </w:rPr>
              <w:t>田县畜禽规模养殖“三区”划定方案》</w:t>
            </w:r>
            <w:r>
              <w:rPr>
                <w:rFonts w:eastAsia="仿宋"/>
                <w:szCs w:val="21"/>
              </w:rPr>
              <w:t>。</w:t>
            </w:r>
          </w:p>
        </w:tc>
        <w:tc>
          <w:tcPr>
            <w:tcW w:w="4854" w:type="dxa"/>
            <w:gridSpan w:val="2"/>
            <w:vMerge w:val="restart"/>
            <w:vAlign w:val="center"/>
          </w:tcPr>
          <w:p w14:paraId="40362C56">
            <w:pPr>
              <w:rPr>
                <w:rFonts w:ascii="Times New Roman" w:hAnsi="Times New Roman" w:eastAsia="仿宋" w:cs="Times New Roman"/>
                <w:kern w:val="0"/>
                <w:szCs w:val="21"/>
              </w:rPr>
            </w:pPr>
            <w:r>
              <w:rPr>
                <w:rFonts w:ascii="Times New Roman" w:hAnsi="Times New Roman" w:eastAsia="仿宋" w:cs="Times New Roman"/>
                <w:szCs w:val="21"/>
              </w:rPr>
              <w:t>（1.2）《湖南省新</w:t>
            </w:r>
            <w:r>
              <w:rPr>
                <w:rFonts w:ascii="Times New Roman" w:hAnsi="Times New Roman" w:eastAsia="仿宋" w:cs="Times New Roman"/>
                <w:kern w:val="0"/>
                <w:szCs w:val="21"/>
              </w:rPr>
              <w:t>田县畜禽规模养殖“三区”划定方案》（2019年11月）；</w:t>
            </w:r>
          </w:p>
          <w:p w14:paraId="3AB92C70">
            <w:pPr>
              <w:rPr>
                <w:rFonts w:ascii="Times New Roman" w:hAnsi="Times New Roman" w:eastAsia="仿宋" w:cs="Times New Roman"/>
                <w:szCs w:val="21"/>
              </w:rPr>
            </w:pPr>
            <w:r>
              <w:rPr>
                <w:rFonts w:ascii="Times New Roman" w:hAnsi="Times New Roman" w:eastAsia="仿宋" w:cs="Times New Roman"/>
                <w:szCs w:val="21"/>
              </w:rPr>
              <w:t>（2.1）《新田县环境保护督察工作领导小组办公室关于印发&lt;新田县环境突出问题集中整治重点行业操作规范（试行）&gt;的通知》（新环督〔2017〕5 号）；</w:t>
            </w:r>
          </w:p>
          <w:p w14:paraId="4A90F33B">
            <w:pPr>
              <w:adjustRightInd w:val="0"/>
              <w:snapToGrid w:val="0"/>
              <w:rPr>
                <w:rFonts w:ascii="Times New Roman" w:hAnsi="Times New Roman" w:eastAsia="仿宋" w:cs="Times New Roman"/>
                <w:szCs w:val="21"/>
              </w:rPr>
            </w:pPr>
            <w:r>
              <w:rPr>
                <w:rFonts w:ascii="Times New Roman" w:hAnsi="Times New Roman" w:eastAsia="仿宋" w:cs="Times New Roman"/>
                <w:szCs w:val="21"/>
              </w:rPr>
              <w:t>（2.2）《永州市新田县“十四五”生态环境保护规划（2021-2025）研究报告》；</w:t>
            </w:r>
          </w:p>
          <w:p w14:paraId="1D38FB16">
            <w:pPr>
              <w:adjustRightInd w:val="0"/>
              <w:snapToGrid w:val="0"/>
              <w:rPr>
                <w:rFonts w:ascii="Times New Roman" w:hAnsi="Times New Roman" w:eastAsia="仿宋" w:cs="Times New Roman"/>
                <w:szCs w:val="21"/>
              </w:rPr>
            </w:pPr>
            <w:r>
              <w:rPr>
                <w:rFonts w:ascii="Times New Roman" w:hAnsi="Times New Roman" w:eastAsia="仿宋" w:cs="Times New Roman"/>
                <w:szCs w:val="21"/>
              </w:rPr>
              <w:t>（2.3）《永州市新田县“十四五”生态环境保护规划（2021-2025）》；</w:t>
            </w:r>
          </w:p>
          <w:p w14:paraId="02F2F8D2">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（4.1）</w:t>
            </w:r>
            <w:bookmarkStart w:id="82" w:name="_Hlk58542757"/>
            <w:r>
              <w:rPr>
                <w:rFonts w:ascii="Times New Roman" w:hAnsi="Times New Roman" w:eastAsia="仿宋" w:cs="Times New Roman"/>
                <w:szCs w:val="21"/>
              </w:rPr>
              <w:t>新田县人民政府办公室关于印发《新田县高污染燃料禁燃区划定方案》的通知（新政办函〔2019〕15号）</w:t>
            </w:r>
            <w:bookmarkEnd w:id="82"/>
            <w:r>
              <w:rPr>
                <w:rFonts w:ascii="Times New Roman" w:hAnsi="Times New Roman" w:eastAsia="仿宋" w:cs="Times New Roman"/>
                <w:szCs w:val="21"/>
              </w:rPr>
              <w:t>；</w:t>
            </w:r>
          </w:p>
          <w:p w14:paraId="247C7539">
            <w:pPr>
              <w:tabs>
                <w:tab w:val="left" w:pos="1021"/>
              </w:tabs>
              <w:ind w:hanging="1"/>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tc>
      </w:tr>
      <w:tr w14:paraId="011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57BBB8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080" w:type="dxa"/>
            <w:gridSpan w:val="8"/>
            <w:vAlign w:val="center"/>
          </w:tcPr>
          <w:p w14:paraId="51546AFE">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（2.1）有关行业新建项目必须执行《新田县环境突出问题集中整治重点行业操作规范（试行）》，现有项目必须在规定期限内达到《规范》要求，否则自行淘汰退出。</w:t>
            </w:r>
          </w:p>
          <w:p w14:paraId="248B0C4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p w14:paraId="669EA57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w:t>
            </w:r>
            <w:bookmarkStart w:id="83" w:name="OLE_LINK14"/>
            <w:r>
              <w:rPr>
                <w:rFonts w:ascii="Times New Roman" w:hAnsi="Times New Roman" w:eastAsia="仿宋" w:cs="Times New Roman"/>
                <w:szCs w:val="21"/>
              </w:rPr>
              <w:t>严格控制涉重金属企业进入，依法关停达标无望、治理整顿后仍不能稳定达标的涉重金属企业。强化涉重金属重点工矿企业的重金属污染物排放及周边环境中的重金属监测。</w:t>
            </w:r>
            <w:bookmarkEnd w:id="83"/>
          </w:p>
        </w:tc>
        <w:tc>
          <w:tcPr>
            <w:tcW w:w="4854" w:type="dxa"/>
            <w:gridSpan w:val="2"/>
            <w:vMerge w:val="continue"/>
            <w:vAlign w:val="center"/>
          </w:tcPr>
          <w:p w14:paraId="46BF893F">
            <w:pPr>
              <w:widowControl/>
              <w:jc w:val="left"/>
              <w:rPr>
                <w:rFonts w:ascii="Times New Roman" w:hAnsi="Times New Roman" w:eastAsia="仿宋" w:cs="Times New Roman"/>
                <w:szCs w:val="21"/>
              </w:rPr>
            </w:pPr>
          </w:p>
        </w:tc>
      </w:tr>
      <w:tr w14:paraId="2840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8B8AF8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080" w:type="dxa"/>
            <w:gridSpan w:val="8"/>
            <w:vAlign w:val="center"/>
          </w:tcPr>
          <w:p w14:paraId="5472203F">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w:t>
            </w:r>
            <w:r>
              <w:rPr>
                <w:rFonts w:ascii="Times New Roman" w:hAnsi="Times New Roman" w:eastAsia="仿宋" w:cs="Times New Roman"/>
                <w:b/>
                <w:kern w:val="0"/>
                <w:szCs w:val="21"/>
              </w:rPr>
              <w:t>中山街道/龙泉街道</w:t>
            </w:r>
            <w:r>
              <w:rPr>
                <w:rFonts w:ascii="Times New Roman" w:hAnsi="Times New Roman" w:eastAsia="仿宋" w:cs="Times New Roman"/>
                <w:b/>
                <w:bCs/>
                <w:kern w:val="0"/>
                <w:szCs w:val="21"/>
              </w:rPr>
              <w:t>：</w:t>
            </w:r>
            <w:bookmarkStart w:id="84" w:name="_Hlk58580813"/>
            <w:r>
              <w:rPr>
                <w:rFonts w:ascii="Times New Roman" w:hAnsi="Times New Roman" w:eastAsia="仿宋" w:cs="Times New Roman"/>
                <w:kern w:val="0"/>
                <w:szCs w:val="21"/>
              </w:rPr>
              <w:t>加强饮用水水源地风险管控，严格保护饮用水水质安全。</w:t>
            </w:r>
            <w:bookmarkEnd w:id="84"/>
          </w:p>
        </w:tc>
        <w:tc>
          <w:tcPr>
            <w:tcW w:w="4854" w:type="dxa"/>
            <w:gridSpan w:val="2"/>
            <w:vMerge w:val="continue"/>
            <w:vAlign w:val="center"/>
          </w:tcPr>
          <w:p w14:paraId="4D61BD7E">
            <w:pPr>
              <w:widowControl/>
              <w:jc w:val="left"/>
              <w:rPr>
                <w:rFonts w:ascii="Times New Roman" w:hAnsi="Times New Roman" w:eastAsia="仿宋" w:cs="Times New Roman"/>
                <w:szCs w:val="21"/>
              </w:rPr>
            </w:pPr>
          </w:p>
        </w:tc>
      </w:tr>
      <w:tr w14:paraId="1841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F31807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080" w:type="dxa"/>
            <w:gridSpan w:val="8"/>
            <w:vAlign w:val="center"/>
          </w:tcPr>
          <w:p w14:paraId="1422A27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w:t>
            </w:r>
            <w:r>
              <w:rPr>
                <w:rFonts w:ascii="Times New Roman" w:hAnsi="Times New Roman" w:eastAsia="仿宋" w:cs="Times New Roman"/>
                <w:b/>
                <w:kern w:val="0"/>
                <w:szCs w:val="21"/>
              </w:rPr>
              <w:t>中山街道/龙泉街道</w:t>
            </w:r>
            <w:r>
              <w:rPr>
                <w:rFonts w:ascii="Times New Roman" w:hAnsi="Times New Roman" w:eastAsia="仿宋" w:cs="Times New Roman"/>
                <w:b/>
                <w:bCs/>
                <w:szCs w:val="21"/>
              </w:rPr>
              <w:t>：</w:t>
            </w:r>
            <w:r>
              <w:rPr>
                <w:rFonts w:ascii="Times New Roman" w:hAnsi="Times New Roman" w:eastAsia="仿宋" w:cs="Times New Roman"/>
                <w:szCs w:val="21"/>
              </w:rPr>
              <w:t>高污染燃料禁燃区严格执行《新田县高污染燃料禁燃区划定方案》的规定。</w:t>
            </w:r>
          </w:p>
          <w:p w14:paraId="7FA402DF">
            <w:pPr>
              <w:widowControl/>
              <w:ind w:right="31" w:rightChars="15" w:firstLine="420" w:firstLineChars="200"/>
              <w:jc w:val="left"/>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到2025年，新田县</w:t>
            </w:r>
            <w:r>
              <w:rPr>
                <w:rFonts w:ascii="Times New Roman" w:hAnsi="Times New Roman" w:eastAsia="仿宋" w:cs="Times New Roman"/>
                <w:spacing w:val="6"/>
                <w:szCs w:val="21"/>
              </w:rPr>
              <w:t>用水总量目标为15187万m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，农业用水总量控制在12112万m</w:t>
            </w:r>
            <w:r>
              <w:rPr>
                <w:rFonts w:ascii="Times New Roman" w:hAnsi="Times New Roman" w:eastAsia="仿宋" w:cs="Times New Roman"/>
                <w:spacing w:val="6"/>
                <w:szCs w:val="21"/>
                <w:vertAlign w:val="superscript"/>
              </w:rPr>
              <w:t>3</w:t>
            </w:r>
            <w:r>
              <w:rPr>
                <w:rFonts w:ascii="Times New Roman" w:hAnsi="Times New Roman" w:eastAsia="仿宋" w:cs="Times New Roman"/>
                <w:spacing w:val="6"/>
                <w:szCs w:val="21"/>
              </w:rPr>
              <w:t>，</w:t>
            </w:r>
            <w:r>
              <w:rPr>
                <w:rFonts w:ascii="Times New Roman" w:hAnsi="Times New Roman" w:eastAsia="仿宋" w:cs="Times New Roman"/>
                <w:kern w:val="0"/>
                <w:szCs w:val="21"/>
              </w:rPr>
              <w:t>万元地区生产总值用水量、万元工业增加值用水量分别比2020年降低10.08%、8.87%，农田灌溉水有效利用系数为0.555。</w:t>
            </w:r>
          </w:p>
        </w:tc>
        <w:tc>
          <w:tcPr>
            <w:tcW w:w="4854" w:type="dxa"/>
            <w:gridSpan w:val="2"/>
            <w:vMerge w:val="continue"/>
            <w:vAlign w:val="center"/>
          </w:tcPr>
          <w:p w14:paraId="4B077A9B">
            <w:pPr>
              <w:widowControl/>
              <w:jc w:val="left"/>
              <w:rPr>
                <w:rFonts w:ascii="Times New Roman" w:hAnsi="Times New Roman" w:eastAsia="仿宋" w:cs="Times New Roman"/>
                <w:szCs w:val="21"/>
              </w:rPr>
            </w:pPr>
          </w:p>
        </w:tc>
      </w:tr>
    </w:tbl>
    <w:p w14:paraId="7B6A00D6">
      <w:pPr>
        <w:rPr>
          <w:rFonts w:ascii="Times New Roman" w:hAnsi="Times New Roman" w:eastAsia="仿宋" w:cs="Times New Roman"/>
          <w:b/>
          <w:szCs w:val="21"/>
        </w:rPr>
      </w:pPr>
      <w:r>
        <w:rPr>
          <w:rFonts w:ascii="Times New Roman" w:hAnsi="Times New Roman" w:eastAsia="仿宋" w:cs="Times New Roman"/>
          <w:b/>
          <w:szCs w:val="21"/>
        </w:rPr>
        <w:br w:type="page"/>
      </w:r>
      <w:bookmarkEnd w:id="80"/>
    </w:p>
    <w:p w14:paraId="28BF8790">
      <w:pPr>
        <w:jc w:val="center"/>
        <w:outlineLvl w:val="0"/>
        <w:rPr>
          <w:rFonts w:ascii="Times New Roman" w:hAnsi="Times New Roman" w:eastAsia="仿宋" w:cs="Times New Roman"/>
          <w:b/>
          <w:szCs w:val="21"/>
        </w:rPr>
      </w:pPr>
      <w:bookmarkStart w:id="85" w:name="_Toc160709120"/>
      <w:bookmarkStart w:id="86" w:name="_Toc58452429"/>
      <w:bookmarkStart w:id="87" w:name="_Toc2414"/>
      <w:bookmarkStart w:id="88" w:name="_Toc20484776"/>
      <w:r>
        <w:rPr>
          <w:rFonts w:ascii="Times New Roman" w:hAnsi="Times New Roman" w:eastAsia="仿宋" w:cs="Times New Roman"/>
          <w:b/>
          <w:szCs w:val="21"/>
        </w:rPr>
        <w:t>11  江华瑶族自治县</w:t>
      </w:r>
      <w:bookmarkEnd w:id="85"/>
      <w:bookmarkEnd w:id="86"/>
      <w:bookmarkEnd w:id="87"/>
      <w:bookmarkEnd w:id="88"/>
    </w:p>
    <w:tbl>
      <w:tblPr>
        <w:tblStyle w:val="20"/>
        <w:tblW w:w="14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063"/>
        <w:gridCol w:w="425"/>
        <w:gridCol w:w="423"/>
        <w:gridCol w:w="711"/>
        <w:gridCol w:w="709"/>
        <w:gridCol w:w="945"/>
        <w:gridCol w:w="1071"/>
        <w:gridCol w:w="1386"/>
        <w:gridCol w:w="1875"/>
        <w:gridCol w:w="2642"/>
        <w:gridCol w:w="1627"/>
        <w:gridCol w:w="8"/>
      </w:tblGrid>
      <w:tr w14:paraId="5709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7" w:hRule="atLeast"/>
          <w:jc w:val="center"/>
        </w:trPr>
        <w:tc>
          <w:tcPr>
            <w:tcW w:w="1200" w:type="dxa"/>
            <w:vMerge w:val="restart"/>
            <w:vAlign w:val="center"/>
          </w:tcPr>
          <w:p w14:paraId="180DD9D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063" w:type="dxa"/>
            <w:vMerge w:val="restart"/>
            <w:vAlign w:val="center"/>
          </w:tcPr>
          <w:p w14:paraId="4979B0C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9" w:type="dxa"/>
            <w:gridSpan w:val="3"/>
            <w:vAlign w:val="center"/>
          </w:tcPr>
          <w:p w14:paraId="3F9E594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6335D0A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5" w:type="dxa"/>
            <w:vMerge w:val="restart"/>
            <w:vAlign w:val="center"/>
          </w:tcPr>
          <w:p w14:paraId="7CB0DBB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71" w:type="dxa"/>
            <w:vMerge w:val="restart"/>
            <w:vAlign w:val="center"/>
          </w:tcPr>
          <w:p w14:paraId="3E7DF59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386" w:type="dxa"/>
            <w:vMerge w:val="restart"/>
            <w:vAlign w:val="center"/>
          </w:tcPr>
          <w:p w14:paraId="013872E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517" w:type="dxa"/>
            <w:gridSpan w:val="2"/>
            <w:vMerge w:val="restart"/>
            <w:vAlign w:val="center"/>
          </w:tcPr>
          <w:p w14:paraId="70C7868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627" w:type="dxa"/>
            <w:vMerge w:val="restart"/>
            <w:vAlign w:val="center"/>
          </w:tcPr>
          <w:p w14:paraId="4127A7B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526C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7" w:hRule="atLeast"/>
          <w:tblHeader/>
          <w:jc w:val="center"/>
        </w:trPr>
        <w:tc>
          <w:tcPr>
            <w:tcW w:w="1200" w:type="dxa"/>
            <w:vMerge w:val="continue"/>
            <w:vAlign w:val="center"/>
          </w:tcPr>
          <w:p w14:paraId="487AB354">
            <w:pPr>
              <w:widowControl/>
              <w:jc w:val="left"/>
              <w:rPr>
                <w:rFonts w:ascii="Times New Roman" w:hAnsi="Times New Roman" w:eastAsia="仿宋" w:cs="Times New Roman"/>
                <w:b/>
                <w:kern w:val="0"/>
                <w:szCs w:val="21"/>
              </w:rPr>
            </w:pPr>
          </w:p>
        </w:tc>
        <w:tc>
          <w:tcPr>
            <w:tcW w:w="1063" w:type="dxa"/>
            <w:vMerge w:val="continue"/>
            <w:vAlign w:val="center"/>
          </w:tcPr>
          <w:p w14:paraId="783B0D33">
            <w:pPr>
              <w:widowControl/>
              <w:jc w:val="left"/>
              <w:rPr>
                <w:rFonts w:ascii="Times New Roman" w:hAnsi="Times New Roman" w:eastAsia="仿宋" w:cs="Times New Roman"/>
                <w:b/>
                <w:kern w:val="0"/>
                <w:szCs w:val="21"/>
              </w:rPr>
            </w:pPr>
          </w:p>
        </w:tc>
        <w:tc>
          <w:tcPr>
            <w:tcW w:w="425" w:type="dxa"/>
            <w:vAlign w:val="center"/>
          </w:tcPr>
          <w:p w14:paraId="2F59D04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3" w:type="dxa"/>
            <w:vAlign w:val="center"/>
          </w:tcPr>
          <w:p w14:paraId="11C9208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11" w:type="dxa"/>
            <w:vAlign w:val="center"/>
          </w:tcPr>
          <w:p w14:paraId="4069089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4ED2A16B">
            <w:pPr>
              <w:widowControl/>
              <w:jc w:val="left"/>
              <w:rPr>
                <w:rFonts w:ascii="Times New Roman" w:hAnsi="Times New Roman" w:eastAsia="仿宋" w:cs="Times New Roman"/>
                <w:b/>
                <w:kern w:val="0"/>
                <w:szCs w:val="21"/>
              </w:rPr>
            </w:pPr>
          </w:p>
        </w:tc>
        <w:tc>
          <w:tcPr>
            <w:tcW w:w="945" w:type="dxa"/>
            <w:vMerge w:val="continue"/>
            <w:vAlign w:val="center"/>
          </w:tcPr>
          <w:p w14:paraId="455AA57A">
            <w:pPr>
              <w:widowControl/>
              <w:jc w:val="left"/>
              <w:rPr>
                <w:rFonts w:ascii="Times New Roman" w:hAnsi="Times New Roman" w:eastAsia="仿宋" w:cs="Times New Roman"/>
                <w:b/>
                <w:kern w:val="0"/>
                <w:szCs w:val="21"/>
              </w:rPr>
            </w:pPr>
          </w:p>
        </w:tc>
        <w:tc>
          <w:tcPr>
            <w:tcW w:w="1071" w:type="dxa"/>
            <w:vMerge w:val="continue"/>
            <w:vAlign w:val="center"/>
          </w:tcPr>
          <w:p w14:paraId="60E00D1F">
            <w:pPr>
              <w:widowControl/>
              <w:jc w:val="left"/>
              <w:rPr>
                <w:rFonts w:ascii="Times New Roman" w:hAnsi="Times New Roman" w:eastAsia="仿宋" w:cs="Times New Roman"/>
                <w:b/>
                <w:kern w:val="0"/>
                <w:szCs w:val="21"/>
              </w:rPr>
            </w:pPr>
          </w:p>
        </w:tc>
        <w:tc>
          <w:tcPr>
            <w:tcW w:w="1386" w:type="dxa"/>
            <w:vMerge w:val="continue"/>
            <w:vAlign w:val="center"/>
          </w:tcPr>
          <w:p w14:paraId="204CB859">
            <w:pPr>
              <w:widowControl/>
              <w:jc w:val="left"/>
              <w:rPr>
                <w:rFonts w:ascii="Times New Roman" w:hAnsi="Times New Roman" w:eastAsia="仿宋" w:cs="Times New Roman"/>
                <w:b/>
                <w:kern w:val="0"/>
                <w:szCs w:val="21"/>
              </w:rPr>
            </w:pPr>
          </w:p>
        </w:tc>
        <w:tc>
          <w:tcPr>
            <w:tcW w:w="4517" w:type="dxa"/>
            <w:gridSpan w:val="2"/>
            <w:vMerge w:val="continue"/>
            <w:vAlign w:val="center"/>
          </w:tcPr>
          <w:p w14:paraId="0B0E10CB">
            <w:pPr>
              <w:widowControl/>
              <w:jc w:val="left"/>
              <w:rPr>
                <w:rFonts w:ascii="Times New Roman" w:hAnsi="Times New Roman" w:eastAsia="仿宋" w:cs="Times New Roman"/>
                <w:b/>
                <w:kern w:val="0"/>
                <w:szCs w:val="21"/>
              </w:rPr>
            </w:pPr>
          </w:p>
        </w:tc>
        <w:tc>
          <w:tcPr>
            <w:tcW w:w="1627" w:type="dxa"/>
            <w:vMerge w:val="continue"/>
            <w:vAlign w:val="center"/>
          </w:tcPr>
          <w:p w14:paraId="77B36B3F">
            <w:pPr>
              <w:widowControl/>
              <w:jc w:val="left"/>
              <w:rPr>
                <w:rFonts w:ascii="Times New Roman" w:hAnsi="Times New Roman" w:eastAsia="仿宋" w:cs="Times New Roman"/>
                <w:b/>
                <w:kern w:val="0"/>
                <w:szCs w:val="21"/>
              </w:rPr>
            </w:pPr>
          </w:p>
        </w:tc>
      </w:tr>
      <w:tr w14:paraId="0BED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4" w:hRule="atLeast"/>
          <w:jc w:val="center"/>
        </w:trPr>
        <w:tc>
          <w:tcPr>
            <w:tcW w:w="1200" w:type="dxa"/>
            <w:vAlign w:val="center"/>
          </w:tcPr>
          <w:p w14:paraId="67873B04">
            <w:pPr>
              <w:widowControl/>
              <w:jc w:val="center"/>
              <w:rPr>
                <w:rFonts w:ascii="Times New Roman" w:hAnsi="Times New Roman" w:eastAsia="仿宋" w:cs="Times New Roman"/>
                <w:kern w:val="0"/>
                <w:szCs w:val="21"/>
              </w:rPr>
            </w:pPr>
            <w:bookmarkStart w:id="89" w:name="_Hlk58580880"/>
            <w:r>
              <w:rPr>
                <w:rFonts w:ascii="Times New Roman" w:hAnsi="Times New Roman" w:eastAsia="仿宋" w:cs="Times New Roman"/>
                <w:szCs w:val="21"/>
              </w:rPr>
              <w:t>ZH43112910001</w:t>
            </w:r>
            <w:bookmarkEnd w:id="89"/>
          </w:p>
        </w:tc>
        <w:tc>
          <w:tcPr>
            <w:tcW w:w="1063" w:type="dxa"/>
            <w:vAlign w:val="center"/>
          </w:tcPr>
          <w:p w14:paraId="484ED822">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大圩镇/蔚竹口乡/小圩壮族乡</w:t>
            </w:r>
          </w:p>
        </w:tc>
        <w:tc>
          <w:tcPr>
            <w:tcW w:w="425" w:type="dxa"/>
            <w:vAlign w:val="center"/>
          </w:tcPr>
          <w:p w14:paraId="5E72DE4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3" w:type="dxa"/>
            <w:vAlign w:val="center"/>
          </w:tcPr>
          <w:p w14:paraId="478B5711">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11" w:type="dxa"/>
            <w:vAlign w:val="center"/>
          </w:tcPr>
          <w:p w14:paraId="2B07E2A2">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709" w:type="dxa"/>
            <w:vAlign w:val="center"/>
          </w:tcPr>
          <w:p w14:paraId="76E6242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45" w:type="dxa"/>
            <w:vAlign w:val="center"/>
          </w:tcPr>
          <w:p w14:paraId="4B63C35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508.21</w:t>
            </w:r>
          </w:p>
        </w:tc>
        <w:tc>
          <w:tcPr>
            <w:tcW w:w="1071" w:type="dxa"/>
            <w:vAlign w:val="center"/>
          </w:tcPr>
          <w:p w14:paraId="55787B70">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大圩镇/蔚竹口乡 /小圩壮族乡</w:t>
            </w:r>
          </w:p>
        </w:tc>
        <w:tc>
          <w:tcPr>
            <w:tcW w:w="1386" w:type="dxa"/>
            <w:vAlign w:val="center"/>
          </w:tcPr>
          <w:p w14:paraId="467CE605">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大圩镇/蔚竹口乡/小圩壮族乡：</w:t>
            </w:r>
            <w:r>
              <w:rPr>
                <w:rFonts w:ascii="Times New Roman" w:hAnsi="Times New Roman" w:eastAsia="仿宋" w:cs="Times New Roman"/>
                <w:kern w:val="0"/>
                <w:szCs w:val="21"/>
              </w:rPr>
              <w:t>重点生态功能区</w:t>
            </w:r>
          </w:p>
        </w:tc>
        <w:tc>
          <w:tcPr>
            <w:tcW w:w="4517" w:type="dxa"/>
            <w:gridSpan w:val="2"/>
            <w:vAlign w:val="center"/>
          </w:tcPr>
          <w:p w14:paraId="6D68C496">
            <w:pPr>
              <w:widowControl/>
              <w:rPr>
                <w:rFonts w:ascii="Times New Roman" w:hAnsi="Times New Roman" w:eastAsia="仿宋" w:cs="Times New Roman"/>
                <w:szCs w:val="21"/>
              </w:rPr>
            </w:pPr>
            <w:r>
              <w:rPr>
                <w:rFonts w:ascii="Times New Roman" w:hAnsi="Times New Roman" w:eastAsia="仿宋" w:cs="Times New Roman"/>
                <w:b/>
                <w:bCs/>
                <w:szCs w:val="21"/>
              </w:rPr>
              <w:t>大圩镇：</w:t>
            </w:r>
            <w:r>
              <w:rPr>
                <w:rFonts w:ascii="Times New Roman" w:hAnsi="Times New Roman" w:eastAsia="仿宋" w:cs="Times New Roman"/>
                <w:szCs w:val="21"/>
              </w:rPr>
              <w:t>生态文化旅游；商品林种植、林下经济、农林产品深加工；低污染、低排放、来料组装等劳动密集型小微企业；农业种植；畜禽养殖；采矿。</w:t>
            </w:r>
          </w:p>
          <w:p w14:paraId="598EEE9A">
            <w:pPr>
              <w:widowControl/>
              <w:rPr>
                <w:rFonts w:ascii="Times New Roman" w:hAnsi="Times New Roman" w:eastAsia="仿宋" w:cs="Times New Roman"/>
                <w:szCs w:val="21"/>
              </w:rPr>
            </w:pPr>
            <w:r>
              <w:rPr>
                <w:rFonts w:ascii="Times New Roman" w:hAnsi="Times New Roman" w:eastAsia="仿宋" w:cs="Times New Roman"/>
                <w:b/>
                <w:bCs/>
                <w:szCs w:val="21"/>
              </w:rPr>
              <w:t>蔚竹口乡：</w:t>
            </w:r>
            <w:r>
              <w:rPr>
                <w:rFonts w:ascii="Times New Roman" w:hAnsi="Times New Roman" w:eastAsia="仿宋" w:cs="Times New Roman"/>
                <w:szCs w:val="21"/>
              </w:rPr>
              <w:t>生态文化旅游，农林产品深加工，特色农产品基地，水电，商品林种植；低污染、低排放、来料组装等劳动密集型小微企业。</w:t>
            </w:r>
          </w:p>
          <w:p w14:paraId="3392EF34">
            <w:pPr>
              <w:widowControl/>
              <w:rPr>
                <w:rFonts w:ascii="Times New Roman" w:hAnsi="Times New Roman" w:eastAsia="仿宋" w:cs="Times New Roman"/>
                <w:szCs w:val="21"/>
              </w:rPr>
            </w:pPr>
            <w:r>
              <w:rPr>
                <w:rFonts w:ascii="Times New Roman" w:hAnsi="Times New Roman" w:eastAsia="仿宋" w:cs="Times New Roman"/>
                <w:b/>
                <w:bCs/>
                <w:szCs w:val="21"/>
              </w:rPr>
              <w:t>小圩壮族乡</w:t>
            </w:r>
            <w:r>
              <w:rPr>
                <w:rFonts w:ascii="Times New Roman" w:hAnsi="Times New Roman" w:eastAsia="仿宋" w:cs="Times New Roman"/>
                <w:szCs w:val="21"/>
              </w:rPr>
              <w:t>：生态文化旅游；商品林种植、林下经济、农林产品深加工；低污染、低排放、来料组装等劳动密集型小微企业；农业种植；畜禽养殖业。</w:t>
            </w:r>
          </w:p>
        </w:tc>
        <w:tc>
          <w:tcPr>
            <w:tcW w:w="1627" w:type="dxa"/>
            <w:vAlign w:val="center"/>
          </w:tcPr>
          <w:p w14:paraId="6D538DDC">
            <w:pPr>
              <w:widowControl/>
              <w:rPr>
                <w:rFonts w:ascii="Times New Roman" w:hAnsi="Times New Roman" w:eastAsia="仿宋" w:cs="Times New Roman"/>
                <w:b/>
                <w:szCs w:val="21"/>
              </w:rPr>
            </w:pPr>
            <w:r>
              <w:rPr>
                <w:rFonts w:ascii="Times New Roman" w:hAnsi="Times New Roman" w:eastAsia="仿宋" w:cs="Times New Roman"/>
                <w:b/>
                <w:szCs w:val="21"/>
              </w:rPr>
              <w:t>环境问题：</w:t>
            </w:r>
          </w:p>
          <w:p w14:paraId="18B49347">
            <w:pPr>
              <w:widowControl/>
              <w:rPr>
                <w:rFonts w:ascii="Times New Roman" w:hAnsi="Times New Roman" w:eastAsia="仿宋" w:cs="Times New Roman"/>
                <w:kern w:val="0"/>
                <w:szCs w:val="21"/>
              </w:rPr>
            </w:pPr>
            <w:r>
              <w:rPr>
                <w:rFonts w:ascii="Times New Roman" w:hAnsi="Times New Roman" w:eastAsia="仿宋" w:cs="Times New Roman"/>
                <w:szCs w:val="21"/>
              </w:rPr>
              <w:t>无明显环境</w:t>
            </w:r>
            <w:r>
              <w:rPr>
                <w:rFonts w:ascii="Times New Roman" w:hAnsi="Times New Roman" w:eastAsia="仿宋" w:cs="Times New Roman"/>
                <w:kern w:val="0"/>
                <w:szCs w:val="21"/>
              </w:rPr>
              <w:t>问题。</w:t>
            </w:r>
          </w:p>
          <w:p w14:paraId="36C33055">
            <w:pPr>
              <w:widowControl/>
              <w:rPr>
                <w:rFonts w:ascii="Times New Roman" w:hAnsi="Times New Roman" w:eastAsia="仿宋" w:cs="Times New Roman"/>
                <w:b/>
                <w:kern w:val="0"/>
                <w:szCs w:val="21"/>
              </w:rPr>
            </w:pPr>
            <w:r>
              <w:rPr>
                <w:rFonts w:ascii="Times New Roman" w:hAnsi="Times New Roman" w:eastAsia="仿宋" w:cs="Times New Roman"/>
                <w:b/>
                <w:kern w:val="0"/>
                <w:szCs w:val="21"/>
              </w:rPr>
              <w:t>环保目标：</w:t>
            </w:r>
          </w:p>
          <w:p w14:paraId="440A4E6B">
            <w:pPr>
              <w:widowControl/>
              <w:rPr>
                <w:rFonts w:ascii="Times New Roman" w:hAnsi="Times New Roman" w:eastAsia="仿宋" w:cs="Times New Roman"/>
                <w:kern w:val="0"/>
                <w:szCs w:val="21"/>
              </w:rPr>
            </w:pPr>
            <w:r>
              <w:rPr>
                <w:rFonts w:ascii="Times New Roman" w:hAnsi="Times New Roman" w:eastAsia="仿宋" w:cs="Times New Roman"/>
                <w:kern w:val="0"/>
                <w:szCs w:val="21"/>
              </w:rPr>
              <w:t>湖南江华涔天河国家湿地公园。</w:t>
            </w:r>
          </w:p>
        </w:tc>
      </w:tr>
      <w:tr w14:paraId="0A4D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3" w:hRule="atLeast"/>
          <w:jc w:val="center"/>
        </w:trPr>
        <w:tc>
          <w:tcPr>
            <w:tcW w:w="1200" w:type="dxa"/>
            <w:vAlign w:val="center"/>
          </w:tcPr>
          <w:p w14:paraId="523255E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85" w:type="dxa"/>
            <w:gridSpan w:val="12"/>
            <w:vAlign w:val="center"/>
          </w:tcPr>
          <w:p w14:paraId="7C70D9FD">
            <w:pPr>
              <w:widowControl/>
              <w:rPr>
                <w:rFonts w:ascii="Times New Roman" w:hAnsi="Times New Roman" w:eastAsia="仿宋" w:cs="Times New Roman"/>
                <w:szCs w:val="21"/>
              </w:rPr>
            </w:pPr>
            <w:r>
              <w:rPr>
                <w:rFonts w:ascii="Times New Roman" w:hAnsi="Times New Roman" w:eastAsia="仿宋" w:cs="Times New Roman"/>
                <w:b/>
                <w:bCs/>
                <w:szCs w:val="21"/>
              </w:rPr>
              <w:t>大圩镇：</w:t>
            </w:r>
          </w:p>
          <w:p w14:paraId="10679542">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生物多样性保护功能重要区/水土保持功能重要区/水土流失敏感区/原生态红线/石漠化敏感区）；水环境一般管控区；大气环境受体敏感重点管控区；农用地优先保护区/其他重点管控区/一般管控区</w:t>
            </w:r>
          </w:p>
          <w:p w14:paraId="6BFEDCEC">
            <w:pPr>
              <w:widowControl/>
              <w:rPr>
                <w:rFonts w:ascii="Times New Roman" w:hAnsi="Times New Roman" w:eastAsia="仿宋" w:cs="Times New Roman"/>
                <w:szCs w:val="21"/>
              </w:rPr>
            </w:pPr>
            <w:r>
              <w:rPr>
                <w:rFonts w:ascii="Times New Roman" w:hAnsi="Times New Roman" w:eastAsia="仿宋" w:cs="Times New Roman"/>
                <w:b/>
                <w:bCs/>
                <w:szCs w:val="21"/>
              </w:rPr>
              <w:t>蔚竹口乡：</w:t>
            </w:r>
          </w:p>
          <w:p w14:paraId="09F2523B">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红线/一般生态空间（水源涵养重要区/三区三线生态红线/原生态红线）；水环境一般管控区；农用地优先保护区/一般管控区</w:t>
            </w:r>
          </w:p>
          <w:p w14:paraId="1D8D7394">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小圩壮族乡</w:t>
            </w:r>
            <w:r>
              <w:rPr>
                <w:rFonts w:ascii="Times New Roman" w:hAnsi="Times New Roman" w:eastAsia="仿宋" w:cs="Times New Roman"/>
                <w:szCs w:val="21"/>
              </w:rPr>
              <w:t>：</w:t>
            </w:r>
          </w:p>
          <w:p w14:paraId="249F0B6B">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湿地公园/水土保持功能重要区/水土流失敏感区/生物多样性保护功能重要区/石漠化敏感区）；水环境优先保护区/水环境一般管控区；大气环境优先保护区/大气环境受体敏感重点管控区；农用地优先保护区/其他重点管控区/一般管控区</w:t>
            </w:r>
          </w:p>
        </w:tc>
      </w:tr>
      <w:tr w14:paraId="70D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0" w:type="dxa"/>
            <w:vAlign w:val="center"/>
          </w:tcPr>
          <w:p w14:paraId="12C8BA3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08" w:type="dxa"/>
            <w:gridSpan w:val="9"/>
            <w:vAlign w:val="center"/>
          </w:tcPr>
          <w:p w14:paraId="6F8117C3">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277" w:type="dxa"/>
            <w:gridSpan w:val="3"/>
            <w:vAlign w:val="center"/>
          </w:tcPr>
          <w:p w14:paraId="66D0DDE9">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6AF3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200" w:type="dxa"/>
            <w:vAlign w:val="center"/>
          </w:tcPr>
          <w:p w14:paraId="38BC178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08" w:type="dxa"/>
            <w:gridSpan w:val="9"/>
            <w:vAlign w:val="center"/>
          </w:tcPr>
          <w:p w14:paraId="1B1A214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kern w:val="0"/>
                <w:szCs w:val="21"/>
              </w:rPr>
              <w:t>畜禽养殖产业布局应符合</w:t>
            </w:r>
            <w:r>
              <w:rPr>
                <w:rFonts w:ascii="Times New Roman" w:hAnsi="Times New Roman" w:eastAsia="仿宋" w:cs="Times New Roman"/>
                <w:szCs w:val="21"/>
              </w:rPr>
              <w:t>《江华瑶族自治县畜禽规模养殖“三区”划定方案》。</w:t>
            </w:r>
          </w:p>
          <w:p w14:paraId="3B12C600">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（1.2）封山育林期间，封山育林区域内禁止砍伐、移植树木，禁止烧炭、采脂、剥皮、挖根等毁林行为，禁止开垦、取土、采石及其他破坏林地行为。</w:t>
            </w:r>
          </w:p>
          <w:p w14:paraId="700BB4A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（1.3）生态保护区按照生态保护红线的相关管理规则进行管控。</w:t>
            </w:r>
          </w:p>
        </w:tc>
        <w:tc>
          <w:tcPr>
            <w:tcW w:w="4277" w:type="dxa"/>
            <w:gridSpan w:val="3"/>
            <w:vMerge w:val="restart"/>
            <w:vAlign w:val="center"/>
          </w:tcPr>
          <w:p w14:paraId="69A08062">
            <w:pPr>
              <w:keepNext w:val="0"/>
              <w:keepLines w:val="0"/>
              <w:pageBreakBefore w:val="0"/>
              <w:tabs>
                <w:tab w:val="left" w:pos="1021"/>
              </w:tabs>
              <w:kinsoku/>
              <w:wordWrap/>
              <w:overflowPunct/>
              <w:topLinePunct w:val="0"/>
              <w:autoSpaceDE/>
              <w:autoSpaceDN/>
              <w:bidi w:val="0"/>
              <w:adjustRightInd/>
              <w:snapToGrid/>
              <w:spacing w:line="300" w:lineRule="exact"/>
              <w:jc w:val="left"/>
              <w:textAlignment w:val="auto"/>
              <w:rPr>
                <w:rFonts w:ascii="Times New Roman" w:hAnsi="Times New Roman" w:eastAsia="仿宋" w:cs="Times New Roman"/>
                <w:szCs w:val="21"/>
              </w:rPr>
            </w:pPr>
            <w:r>
              <w:rPr>
                <w:rFonts w:ascii="Times New Roman" w:hAnsi="Times New Roman" w:eastAsia="仿宋" w:cs="Times New Roman"/>
                <w:szCs w:val="21"/>
              </w:rPr>
              <w:t>（1.1）《江华瑶族自治县畜禽规模养殖“三区”划定方案》（江华县政府2019年12月）；</w:t>
            </w:r>
          </w:p>
          <w:p w14:paraId="47DBC698">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（1.2）《江华瑶族自治县生态环境保护条例》；</w:t>
            </w:r>
          </w:p>
          <w:p w14:paraId="3ADD4EA0">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（1.3）《江华瑶族自治县国土空间总体规划（2021-2035年）》；</w:t>
            </w:r>
          </w:p>
          <w:p w14:paraId="59C21B33">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（2.1）《江华瑶族自治县2023 年生态环境保护工作要点》（江生环委办发〔2023〕4号）；</w:t>
            </w:r>
          </w:p>
          <w:p w14:paraId="38A2D083">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（2.2.1）（2.2.2）《江华瑶族自治县大气污染防治攻坚行动计划 （2023-2025年）》（江生环委办发〔2023〕2号）；</w:t>
            </w:r>
          </w:p>
          <w:p w14:paraId="78466921">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（2.3）《江华瑶族自治县生态环境保护条例》；</w:t>
            </w:r>
          </w:p>
          <w:p w14:paraId="79090F3C">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（3.1）《江华瑶族自治县重污染天气应急预案》（江政办发〔2024〕1号）；</w:t>
            </w:r>
          </w:p>
          <w:p w14:paraId="577892F4">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（3.2）《江华瑶族自治县生态环境保护条例》；</w:t>
            </w:r>
          </w:p>
          <w:p w14:paraId="2A1E0E12">
            <w:pPr>
              <w:keepNext w:val="0"/>
              <w:keepLines w:val="0"/>
              <w:pageBreakBefore w:val="0"/>
              <w:tabs>
                <w:tab w:val="left" w:pos="1021"/>
              </w:tabs>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（4.1）《江华瑶族自治县国土空间总体规划（2021-2035年）》；</w:t>
            </w:r>
          </w:p>
          <w:p w14:paraId="49B2BD5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1268D8C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（4.2.2）《永州市小水电清理整改工作方案》（永水发〔2019〕6号）；</w:t>
            </w:r>
          </w:p>
          <w:p w14:paraId="6B9EFC1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594E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1200" w:type="dxa"/>
            <w:vAlign w:val="center"/>
          </w:tcPr>
          <w:p w14:paraId="175B212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08" w:type="dxa"/>
            <w:gridSpan w:val="9"/>
            <w:vAlign w:val="center"/>
          </w:tcPr>
          <w:p w14:paraId="67CA5BB5">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（2.1）</w:t>
            </w:r>
            <w:r>
              <w:rPr>
                <w:rFonts w:ascii="Times New Roman" w:hAnsi="Times New Roman" w:eastAsia="仿宋" w:cs="Times New Roman"/>
                <w:b/>
                <w:bCs/>
                <w:kern w:val="0"/>
                <w:szCs w:val="21"/>
              </w:rPr>
              <w:t>废水</w:t>
            </w:r>
            <w:r>
              <w:rPr>
                <w:rFonts w:ascii="Times New Roman" w:hAnsi="Times New Roman" w:eastAsia="仿宋" w:cs="Times New Roman"/>
                <w:b/>
                <w:bCs/>
                <w:szCs w:val="21"/>
              </w:rPr>
              <w:t>：</w:t>
            </w:r>
            <w:r>
              <w:rPr>
                <w:rFonts w:ascii="Times New Roman" w:hAnsi="Times New Roman" w:eastAsia="仿宋" w:cs="Times New Roman"/>
                <w:kern w:val="0"/>
                <w:szCs w:val="21"/>
              </w:rPr>
              <w:t>加强城市污水收集管网建设和改造，推进乡镇污水处理设施正常运行。</w:t>
            </w:r>
          </w:p>
          <w:p w14:paraId="78AD8660">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b/>
                <w:bCs/>
                <w:kern w:val="0"/>
                <w:szCs w:val="21"/>
              </w:rPr>
            </w:pPr>
            <w:r>
              <w:rPr>
                <w:rFonts w:ascii="Times New Roman" w:hAnsi="Times New Roman" w:eastAsia="仿宋" w:cs="Times New Roman"/>
                <w:kern w:val="0"/>
                <w:szCs w:val="21"/>
              </w:rPr>
              <w:t>（2.2）</w:t>
            </w:r>
            <w:r>
              <w:rPr>
                <w:rFonts w:ascii="Times New Roman" w:hAnsi="Times New Roman" w:eastAsia="仿宋" w:cs="Times New Roman"/>
                <w:b/>
                <w:bCs/>
                <w:kern w:val="0"/>
                <w:szCs w:val="21"/>
              </w:rPr>
              <w:t>废气：</w:t>
            </w:r>
          </w:p>
          <w:p w14:paraId="06778AC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（2.2.1）按要求严格管控露天烧烤、烟气直排以及焚烧垃圾树叶。</w:t>
            </w:r>
          </w:p>
          <w:p w14:paraId="1477B2F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（2.2.2）强化施工建筑扬尘及道路扬尘污染控制，建筑施工按照“六不开工”和“七个100%”控制要求。</w:t>
            </w:r>
          </w:p>
          <w:p w14:paraId="0169723E">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（2.3）固体废物</w:t>
            </w:r>
            <w:r>
              <w:rPr>
                <w:rFonts w:ascii="Times New Roman" w:hAnsi="Times New Roman" w:eastAsia="仿宋" w:cs="Times New Roman"/>
                <w:szCs w:val="21"/>
              </w:rPr>
              <w:t>：统筹建设城乡垃圾分类、收集、贮存、运输、利用、处置设施；逐步完善分类投放、分类收集、分类运输、分类处理的垃圾处理系统，提高垃圾减量化、资源化、无害化水平；城乡垃圾必须堆放在指定的回收点。禁止擅自倾倒、堆放、丢弃、遗撒、填埋垃圾污染环境的行为。</w:t>
            </w:r>
          </w:p>
        </w:tc>
        <w:tc>
          <w:tcPr>
            <w:tcW w:w="4277" w:type="dxa"/>
            <w:gridSpan w:val="3"/>
            <w:vMerge w:val="continue"/>
            <w:vAlign w:val="center"/>
          </w:tcPr>
          <w:p w14:paraId="13C6533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 w:cs="Times New Roman"/>
                <w:szCs w:val="21"/>
              </w:rPr>
            </w:pPr>
          </w:p>
        </w:tc>
      </w:tr>
      <w:tr w14:paraId="097C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00" w:type="dxa"/>
            <w:vAlign w:val="center"/>
          </w:tcPr>
          <w:p w14:paraId="3BA2099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08" w:type="dxa"/>
            <w:gridSpan w:val="9"/>
            <w:vAlign w:val="center"/>
          </w:tcPr>
          <w:p w14:paraId="193EAE93">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kern w:val="0"/>
                <w:szCs w:val="21"/>
              </w:rPr>
              <w:t>（3.1）强化本行政区域内的重污染天气应对工作，积极采取应对措施，减少重污染天气影响。</w:t>
            </w:r>
          </w:p>
          <w:p w14:paraId="781F702E">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szCs w:val="21"/>
                <w:lang w:val="zh-CN" w:bidi="ar"/>
              </w:rPr>
              <w:t>（3.2）加强乡镇集中饮用水源地风险防控，确保水源地水质安全。</w:t>
            </w:r>
          </w:p>
        </w:tc>
        <w:tc>
          <w:tcPr>
            <w:tcW w:w="4277" w:type="dxa"/>
            <w:gridSpan w:val="3"/>
            <w:vMerge w:val="continue"/>
            <w:vAlign w:val="center"/>
          </w:tcPr>
          <w:p w14:paraId="69BD7C6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 w:cs="Times New Roman"/>
                <w:szCs w:val="21"/>
              </w:rPr>
            </w:pPr>
          </w:p>
        </w:tc>
      </w:tr>
      <w:tr w14:paraId="573D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00" w:type="dxa"/>
            <w:vAlign w:val="center"/>
          </w:tcPr>
          <w:p w14:paraId="4E3ACBEF">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08" w:type="dxa"/>
            <w:gridSpan w:val="9"/>
            <w:vAlign w:val="center"/>
          </w:tcPr>
          <w:p w14:paraId="7FC51100">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（4.1）能源：</w:t>
            </w:r>
          </w:p>
          <w:p w14:paraId="56FD24C9">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积极开发水能、风能、太阳能、生物质能等可再生能源，使可再生能源在电力一次能源结构中的占比不低于50%。</w:t>
            </w:r>
          </w:p>
          <w:p w14:paraId="4D72EA7C">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（4.2）水资源：</w:t>
            </w:r>
          </w:p>
          <w:p w14:paraId="0C26DFD2">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（4.2.1）到2025年，江华县指标应符合相应行政区域的管控要求，江华县用水总量达19454万m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1229C26A">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lang w:bidi="ar"/>
              </w:rPr>
              <w:t>（4.2.2）</w:t>
            </w:r>
            <w:r>
              <w:rPr>
                <w:rFonts w:ascii="Times New Roman" w:hAnsi="Times New Roman" w:eastAsia="仿宋" w:cs="Times New Roman"/>
                <w:szCs w:val="21"/>
              </w:rPr>
              <w:t>水电站应当按相关要求下泄生态流量。规范建设秩序，有效保护和修复河流生态系统。</w:t>
            </w:r>
          </w:p>
          <w:p w14:paraId="3EB60B0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ascii="Times New Roman" w:hAnsi="Times New Roman" w:eastAsia="仿宋" w:cs="Times New Roman"/>
                <w:szCs w:val="21"/>
              </w:rPr>
            </w:pPr>
            <w:r>
              <w:rPr>
                <w:rFonts w:ascii="Times New Roman" w:hAnsi="Times New Roman" w:eastAsia="仿宋" w:cs="Times New Roman"/>
                <w:szCs w:val="21"/>
              </w:rPr>
              <w:t>（4.3）土地资源：</w:t>
            </w:r>
          </w:p>
          <w:p w14:paraId="1BF4CBA6">
            <w:pPr>
              <w:keepNext w:val="0"/>
              <w:keepLines w:val="0"/>
              <w:pageBreakBefore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4277" w:type="dxa"/>
            <w:gridSpan w:val="3"/>
            <w:vMerge w:val="continue"/>
            <w:vAlign w:val="center"/>
          </w:tcPr>
          <w:p w14:paraId="327AF34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Times New Roman" w:hAnsi="Times New Roman" w:eastAsia="仿宋" w:cs="Times New Roman"/>
                <w:szCs w:val="21"/>
              </w:rPr>
            </w:pPr>
          </w:p>
        </w:tc>
      </w:tr>
    </w:tbl>
    <w:p w14:paraId="2A336A2A">
      <w:pPr>
        <w:rPr>
          <w:rFonts w:ascii="Times New Roman" w:hAnsi="Times New Roman" w:eastAsia="仿宋" w:cs="Times New Roman"/>
          <w:szCs w:val="21"/>
        </w:rPr>
      </w:pPr>
    </w:p>
    <w:p w14:paraId="49B436C8">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462817D5">
      <w:pPr>
        <w:rPr>
          <w:rFonts w:ascii="Times New Roman" w:hAnsi="Times New Roman" w:eastAsia="仿宋" w:cs="Times New Roman"/>
          <w:szCs w:val="21"/>
        </w:rPr>
      </w:pPr>
    </w:p>
    <w:tbl>
      <w:tblPr>
        <w:tblStyle w:val="20"/>
        <w:tblW w:w="14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754"/>
        <w:gridCol w:w="427"/>
        <w:gridCol w:w="491"/>
        <w:gridCol w:w="644"/>
        <w:gridCol w:w="668"/>
        <w:gridCol w:w="1056"/>
        <w:gridCol w:w="1189"/>
        <w:gridCol w:w="1366"/>
        <w:gridCol w:w="2044"/>
        <w:gridCol w:w="2154"/>
        <w:gridCol w:w="2193"/>
      </w:tblGrid>
      <w:tr w14:paraId="236E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restart"/>
            <w:vAlign w:val="center"/>
          </w:tcPr>
          <w:p w14:paraId="32F3387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754" w:type="dxa"/>
            <w:vMerge w:val="restart"/>
            <w:vAlign w:val="center"/>
          </w:tcPr>
          <w:p w14:paraId="5E3CFE3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62" w:type="dxa"/>
            <w:gridSpan w:val="3"/>
            <w:vAlign w:val="center"/>
          </w:tcPr>
          <w:p w14:paraId="71F57E7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668" w:type="dxa"/>
            <w:vMerge w:val="restart"/>
            <w:vAlign w:val="center"/>
          </w:tcPr>
          <w:p w14:paraId="162A2849">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056" w:type="dxa"/>
            <w:vMerge w:val="restart"/>
            <w:vAlign w:val="center"/>
          </w:tcPr>
          <w:p w14:paraId="7D33A84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89" w:type="dxa"/>
            <w:vMerge w:val="restart"/>
            <w:vAlign w:val="center"/>
          </w:tcPr>
          <w:p w14:paraId="6102F65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366" w:type="dxa"/>
            <w:vMerge w:val="restart"/>
            <w:vAlign w:val="center"/>
          </w:tcPr>
          <w:p w14:paraId="6855BFD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198" w:type="dxa"/>
            <w:gridSpan w:val="2"/>
            <w:vMerge w:val="restart"/>
            <w:vAlign w:val="center"/>
          </w:tcPr>
          <w:p w14:paraId="5E09C6A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93" w:type="dxa"/>
            <w:vMerge w:val="restart"/>
            <w:vAlign w:val="center"/>
          </w:tcPr>
          <w:p w14:paraId="29CEFC2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3EC7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97" w:type="dxa"/>
            <w:vMerge w:val="continue"/>
            <w:vAlign w:val="center"/>
          </w:tcPr>
          <w:p w14:paraId="3AB809E5">
            <w:pPr>
              <w:widowControl/>
              <w:jc w:val="left"/>
              <w:rPr>
                <w:rFonts w:ascii="Times New Roman" w:hAnsi="Times New Roman" w:eastAsia="仿宋" w:cs="Times New Roman"/>
                <w:b/>
                <w:kern w:val="0"/>
                <w:szCs w:val="21"/>
              </w:rPr>
            </w:pPr>
          </w:p>
        </w:tc>
        <w:tc>
          <w:tcPr>
            <w:tcW w:w="754" w:type="dxa"/>
            <w:vMerge w:val="continue"/>
            <w:vAlign w:val="center"/>
          </w:tcPr>
          <w:p w14:paraId="094A0CC5">
            <w:pPr>
              <w:widowControl/>
              <w:jc w:val="left"/>
              <w:rPr>
                <w:rFonts w:ascii="Times New Roman" w:hAnsi="Times New Roman" w:eastAsia="仿宋" w:cs="Times New Roman"/>
                <w:b/>
                <w:kern w:val="0"/>
                <w:szCs w:val="21"/>
              </w:rPr>
            </w:pPr>
          </w:p>
        </w:tc>
        <w:tc>
          <w:tcPr>
            <w:tcW w:w="427" w:type="dxa"/>
            <w:vAlign w:val="center"/>
          </w:tcPr>
          <w:p w14:paraId="29DE9C5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91" w:type="dxa"/>
            <w:vAlign w:val="center"/>
          </w:tcPr>
          <w:p w14:paraId="1CEA00D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44" w:type="dxa"/>
            <w:vAlign w:val="center"/>
          </w:tcPr>
          <w:p w14:paraId="28B381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668" w:type="dxa"/>
            <w:vMerge w:val="continue"/>
            <w:vAlign w:val="center"/>
          </w:tcPr>
          <w:p w14:paraId="4A531A21">
            <w:pPr>
              <w:widowControl/>
              <w:jc w:val="left"/>
              <w:rPr>
                <w:rFonts w:ascii="Times New Roman" w:hAnsi="Times New Roman" w:eastAsia="仿宋" w:cs="Times New Roman"/>
                <w:b/>
                <w:kern w:val="0"/>
                <w:szCs w:val="21"/>
              </w:rPr>
            </w:pPr>
          </w:p>
        </w:tc>
        <w:tc>
          <w:tcPr>
            <w:tcW w:w="1056" w:type="dxa"/>
            <w:vMerge w:val="continue"/>
            <w:vAlign w:val="center"/>
          </w:tcPr>
          <w:p w14:paraId="11447F94">
            <w:pPr>
              <w:widowControl/>
              <w:jc w:val="left"/>
              <w:rPr>
                <w:rFonts w:ascii="Times New Roman" w:hAnsi="Times New Roman" w:eastAsia="仿宋" w:cs="Times New Roman"/>
                <w:b/>
                <w:kern w:val="0"/>
                <w:szCs w:val="21"/>
              </w:rPr>
            </w:pPr>
          </w:p>
        </w:tc>
        <w:tc>
          <w:tcPr>
            <w:tcW w:w="1189" w:type="dxa"/>
            <w:vMerge w:val="continue"/>
            <w:vAlign w:val="center"/>
          </w:tcPr>
          <w:p w14:paraId="0EAC8F56">
            <w:pPr>
              <w:widowControl/>
              <w:jc w:val="left"/>
              <w:rPr>
                <w:rFonts w:ascii="Times New Roman" w:hAnsi="Times New Roman" w:eastAsia="仿宋" w:cs="Times New Roman"/>
                <w:b/>
                <w:kern w:val="0"/>
                <w:szCs w:val="21"/>
              </w:rPr>
            </w:pPr>
          </w:p>
        </w:tc>
        <w:tc>
          <w:tcPr>
            <w:tcW w:w="1366" w:type="dxa"/>
            <w:vMerge w:val="continue"/>
            <w:vAlign w:val="center"/>
          </w:tcPr>
          <w:p w14:paraId="24FDA581">
            <w:pPr>
              <w:widowControl/>
              <w:jc w:val="left"/>
              <w:rPr>
                <w:rFonts w:ascii="Times New Roman" w:hAnsi="Times New Roman" w:eastAsia="仿宋" w:cs="Times New Roman"/>
                <w:b/>
                <w:kern w:val="0"/>
                <w:szCs w:val="21"/>
              </w:rPr>
            </w:pPr>
          </w:p>
        </w:tc>
        <w:tc>
          <w:tcPr>
            <w:tcW w:w="4198" w:type="dxa"/>
            <w:gridSpan w:val="2"/>
            <w:vMerge w:val="continue"/>
            <w:vAlign w:val="center"/>
          </w:tcPr>
          <w:p w14:paraId="438F892D">
            <w:pPr>
              <w:widowControl/>
              <w:jc w:val="left"/>
              <w:rPr>
                <w:rFonts w:ascii="Times New Roman" w:hAnsi="Times New Roman" w:eastAsia="仿宋" w:cs="Times New Roman"/>
                <w:b/>
                <w:kern w:val="0"/>
                <w:szCs w:val="21"/>
              </w:rPr>
            </w:pPr>
          </w:p>
        </w:tc>
        <w:tc>
          <w:tcPr>
            <w:tcW w:w="2193" w:type="dxa"/>
            <w:vMerge w:val="continue"/>
            <w:vAlign w:val="center"/>
          </w:tcPr>
          <w:p w14:paraId="3C48AD2B">
            <w:pPr>
              <w:widowControl/>
              <w:jc w:val="left"/>
              <w:rPr>
                <w:rFonts w:ascii="Times New Roman" w:hAnsi="Times New Roman" w:eastAsia="仿宋" w:cs="Times New Roman"/>
                <w:b/>
                <w:kern w:val="0"/>
                <w:szCs w:val="21"/>
              </w:rPr>
            </w:pPr>
          </w:p>
        </w:tc>
      </w:tr>
      <w:tr w14:paraId="7BEC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14:paraId="0158F977">
            <w:pPr>
              <w:widowControl/>
              <w:jc w:val="center"/>
              <w:rPr>
                <w:rFonts w:ascii="Times New Roman" w:hAnsi="Times New Roman" w:eastAsia="仿宋" w:cs="Times New Roman"/>
                <w:kern w:val="0"/>
                <w:szCs w:val="21"/>
              </w:rPr>
            </w:pPr>
            <w:bookmarkStart w:id="90" w:name="_Hlk58581555"/>
            <w:r>
              <w:rPr>
                <w:rFonts w:ascii="Times New Roman" w:hAnsi="Times New Roman" w:eastAsia="仿宋" w:cs="Times New Roman"/>
                <w:szCs w:val="21"/>
              </w:rPr>
              <w:t>ZH43112910002</w:t>
            </w:r>
            <w:bookmarkEnd w:id="90"/>
          </w:p>
        </w:tc>
        <w:tc>
          <w:tcPr>
            <w:tcW w:w="754" w:type="dxa"/>
            <w:vAlign w:val="center"/>
          </w:tcPr>
          <w:p w14:paraId="0EF451A3">
            <w:pPr>
              <w:widowControl/>
              <w:jc w:val="center"/>
              <w:rPr>
                <w:rFonts w:ascii="Times New Roman" w:hAnsi="Times New Roman" w:eastAsia="仿宋" w:cs="Times New Roman"/>
                <w:kern w:val="0"/>
                <w:szCs w:val="21"/>
              </w:rPr>
            </w:pPr>
            <w:r>
              <w:rPr>
                <w:rFonts w:ascii="Times New Roman" w:hAnsi="Times New Roman" w:eastAsia="仿宋" w:cs="Times New Roman"/>
                <w:szCs w:val="21"/>
              </w:rPr>
              <w:t>大锡乡/码市镇</w:t>
            </w:r>
          </w:p>
        </w:tc>
        <w:tc>
          <w:tcPr>
            <w:tcW w:w="427" w:type="dxa"/>
            <w:vAlign w:val="center"/>
          </w:tcPr>
          <w:p w14:paraId="6D796E2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91" w:type="dxa"/>
            <w:vAlign w:val="center"/>
          </w:tcPr>
          <w:p w14:paraId="1FF7B468">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44" w:type="dxa"/>
            <w:vAlign w:val="center"/>
          </w:tcPr>
          <w:p w14:paraId="08E06709">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668" w:type="dxa"/>
            <w:vAlign w:val="center"/>
          </w:tcPr>
          <w:p w14:paraId="179D484E">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1056" w:type="dxa"/>
            <w:vAlign w:val="center"/>
          </w:tcPr>
          <w:p w14:paraId="667B06D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655.12</w:t>
            </w:r>
          </w:p>
        </w:tc>
        <w:tc>
          <w:tcPr>
            <w:tcW w:w="1189" w:type="dxa"/>
            <w:vAlign w:val="center"/>
          </w:tcPr>
          <w:p w14:paraId="7951B01A">
            <w:pPr>
              <w:widowControl/>
              <w:jc w:val="center"/>
              <w:rPr>
                <w:rFonts w:ascii="Times New Roman" w:hAnsi="Times New Roman" w:eastAsia="仿宋" w:cs="Times New Roman"/>
                <w:szCs w:val="21"/>
              </w:rPr>
            </w:pPr>
            <w:r>
              <w:rPr>
                <w:rFonts w:ascii="Times New Roman" w:hAnsi="Times New Roman" w:eastAsia="仿宋" w:cs="Times New Roman"/>
                <w:szCs w:val="21"/>
              </w:rPr>
              <w:t>大锡乡/码市镇</w:t>
            </w:r>
          </w:p>
        </w:tc>
        <w:tc>
          <w:tcPr>
            <w:tcW w:w="1366" w:type="dxa"/>
            <w:vAlign w:val="center"/>
          </w:tcPr>
          <w:p w14:paraId="3E042060">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大锡乡/码市镇：</w:t>
            </w:r>
            <w:r>
              <w:rPr>
                <w:rFonts w:ascii="Times New Roman" w:hAnsi="Times New Roman" w:eastAsia="仿宋" w:cs="Times New Roman"/>
                <w:kern w:val="0"/>
                <w:szCs w:val="21"/>
              </w:rPr>
              <w:t>重点生态功能区</w:t>
            </w:r>
          </w:p>
        </w:tc>
        <w:tc>
          <w:tcPr>
            <w:tcW w:w="4198" w:type="dxa"/>
            <w:gridSpan w:val="2"/>
            <w:vAlign w:val="center"/>
          </w:tcPr>
          <w:p w14:paraId="051495EC">
            <w:pPr>
              <w:widowControl/>
              <w:rPr>
                <w:rFonts w:ascii="Times New Roman" w:hAnsi="Times New Roman" w:eastAsia="仿宋" w:cs="Times New Roman"/>
                <w:szCs w:val="21"/>
              </w:rPr>
            </w:pPr>
            <w:r>
              <w:rPr>
                <w:rFonts w:ascii="Times New Roman" w:hAnsi="Times New Roman" w:eastAsia="仿宋" w:cs="Times New Roman"/>
                <w:b/>
                <w:bCs/>
                <w:szCs w:val="21"/>
              </w:rPr>
              <w:t>大锡乡：</w:t>
            </w:r>
            <w:r>
              <w:rPr>
                <w:rFonts w:ascii="Times New Roman" w:hAnsi="Times New Roman" w:eastAsia="仿宋" w:cs="Times New Roman"/>
                <w:szCs w:val="21"/>
              </w:rPr>
              <w:t>旅游业；商品林种植、林下经济、农林产品深加工；低污染的来料组装等劳动密集型小微企业；农业；水电；采矿业等。</w:t>
            </w:r>
          </w:p>
          <w:p w14:paraId="2AEA015A">
            <w:pPr>
              <w:widowControl/>
              <w:rPr>
                <w:rFonts w:ascii="Times New Roman" w:hAnsi="Times New Roman" w:eastAsia="仿宋" w:cs="Times New Roman"/>
                <w:szCs w:val="21"/>
              </w:rPr>
            </w:pPr>
            <w:r>
              <w:rPr>
                <w:rFonts w:ascii="Times New Roman" w:hAnsi="Times New Roman" w:eastAsia="仿宋" w:cs="Times New Roman"/>
                <w:b/>
                <w:bCs/>
                <w:szCs w:val="21"/>
              </w:rPr>
              <w:t>码市镇：</w:t>
            </w:r>
            <w:r>
              <w:rPr>
                <w:rFonts w:ascii="Times New Roman" w:hAnsi="Times New Roman" w:eastAsia="仿宋" w:cs="Times New Roman"/>
                <w:szCs w:val="21"/>
              </w:rPr>
              <w:t>林木精细深加工，商品林种植、林下经济、农林产品深加工；低污染的来料组装等劳动密集型小微企业；农业；水电；采矿业等。</w:t>
            </w:r>
          </w:p>
        </w:tc>
        <w:tc>
          <w:tcPr>
            <w:tcW w:w="2193" w:type="dxa"/>
            <w:vAlign w:val="center"/>
          </w:tcPr>
          <w:p w14:paraId="211CF81D">
            <w:pPr>
              <w:widowControl/>
              <w:jc w:val="left"/>
              <w:rPr>
                <w:rFonts w:ascii="Times New Roman" w:hAnsi="Times New Roman" w:eastAsia="仿宋" w:cs="Times New Roman"/>
                <w:b/>
                <w:szCs w:val="21"/>
              </w:rPr>
            </w:pPr>
            <w:r>
              <w:rPr>
                <w:rFonts w:ascii="Times New Roman" w:hAnsi="Times New Roman" w:eastAsia="仿宋" w:cs="Times New Roman"/>
                <w:b/>
                <w:szCs w:val="21"/>
              </w:rPr>
              <w:t>环境问题：</w:t>
            </w:r>
          </w:p>
          <w:p w14:paraId="3EB5F0A0">
            <w:pPr>
              <w:widowControl/>
              <w:jc w:val="left"/>
              <w:rPr>
                <w:rFonts w:ascii="Times New Roman" w:hAnsi="Times New Roman" w:eastAsia="仿宋" w:cs="Times New Roman"/>
                <w:szCs w:val="21"/>
              </w:rPr>
            </w:pPr>
            <w:r>
              <w:rPr>
                <w:rFonts w:ascii="Times New Roman" w:hAnsi="Times New Roman" w:eastAsia="仿宋" w:cs="Times New Roman"/>
                <w:szCs w:val="21"/>
              </w:rPr>
              <w:t>无明显环境问题。</w:t>
            </w:r>
          </w:p>
          <w:p w14:paraId="058DCA89">
            <w:pPr>
              <w:widowControl/>
              <w:jc w:val="left"/>
              <w:rPr>
                <w:rFonts w:ascii="Times New Roman" w:hAnsi="Times New Roman" w:eastAsia="仿宋" w:cs="Times New Roman"/>
                <w:b/>
                <w:szCs w:val="21"/>
              </w:rPr>
            </w:pPr>
            <w:r>
              <w:rPr>
                <w:rFonts w:ascii="Times New Roman" w:hAnsi="Times New Roman" w:eastAsia="仿宋" w:cs="Times New Roman"/>
                <w:b/>
                <w:szCs w:val="21"/>
              </w:rPr>
              <w:t>环保目标：</w:t>
            </w:r>
          </w:p>
          <w:p w14:paraId="6D20ACBC">
            <w:pPr>
              <w:widowControl/>
              <w:jc w:val="left"/>
              <w:rPr>
                <w:rFonts w:ascii="Times New Roman" w:hAnsi="Times New Roman" w:eastAsia="仿宋" w:cs="Times New Roman"/>
                <w:kern w:val="0"/>
                <w:szCs w:val="21"/>
              </w:rPr>
            </w:pPr>
            <w:r>
              <w:rPr>
                <w:rFonts w:ascii="Times New Roman" w:hAnsi="Times New Roman" w:eastAsia="仿宋" w:cs="Times New Roman"/>
                <w:kern w:val="0"/>
                <w:szCs w:val="21"/>
              </w:rPr>
              <w:t>潇水源头水域（蓝山县野狗山至暗山蓝山县江华县交界处）（汇水）/湖南江华涔天河国家湿地公园、湖南江华大龙山省级森林公园。</w:t>
            </w:r>
          </w:p>
        </w:tc>
      </w:tr>
      <w:tr w14:paraId="1DC6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1197" w:type="dxa"/>
            <w:vAlign w:val="center"/>
          </w:tcPr>
          <w:p w14:paraId="41D4797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986" w:type="dxa"/>
            <w:gridSpan w:val="11"/>
            <w:vAlign w:val="center"/>
          </w:tcPr>
          <w:p w14:paraId="4E3CC295">
            <w:pPr>
              <w:widowControl/>
              <w:rPr>
                <w:rFonts w:ascii="Times New Roman" w:hAnsi="Times New Roman" w:eastAsia="仿宋" w:cs="Times New Roman"/>
                <w:b/>
                <w:bCs/>
                <w:szCs w:val="21"/>
              </w:rPr>
            </w:pPr>
            <w:r>
              <w:rPr>
                <w:rFonts w:ascii="Times New Roman" w:hAnsi="Times New Roman" w:eastAsia="仿宋" w:cs="Times New Roman"/>
                <w:b/>
                <w:bCs/>
                <w:szCs w:val="21"/>
              </w:rPr>
              <w:t>大锡乡：</w:t>
            </w:r>
          </w:p>
          <w:p w14:paraId="44890A99">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红线/一般生态空间（水源涵养重要区/三区三线生态红线/原生态红线）；水环境其他重点管控区/水环境一般管控区；大气环境受体敏感重点管控区；农用地优先保护区/其他重点管控区/一般管控区</w:t>
            </w:r>
          </w:p>
          <w:p w14:paraId="20BD47A0">
            <w:pPr>
              <w:widowControl/>
              <w:rPr>
                <w:rFonts w:ascii="Times New Roman" w:hAnsi="Times New Roman" w:eastAsia="仿宋" w:cs="Times New Roman"/>
                <w:kern w:val="0"/>
                <w:szCs w:val="21"/>
              </w:rPr>
            </w:pPr>
            <w:r>
              <w:rPr>
                <w:rFonts w:ascii="Times New Roman" w:hAnsi="Times New Roman" w:eastAsia="仿宋" w:cs="Times New Roman"/>
                <w:b/>
                <w:bCs/>
                <w:szCs w:val="21"/>
              </w:rPr>
              <w:t>码市镇：</w:t>
            </w:r>
          </w:p>
          <w:p w14:paraId="507642B3">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森林公园/湿地公园/原生态红线/水土流失敏感区/生物多样性保护功能重要区/水土保持功能重要区）；水环境优先保护区/水环境其他重点管控区/水环境一般管控区；大气环境优先保护区/大气环境高排放重点管控区/大气环境受体敏感重点管控区；农用地优先保护区/建设用地重点管控区/其他重点管控区/一般管控区</w:t>
            </w:r>
          </w:p>
        </w:tc>
      </w:tr>
      <w:tr w14:paraId="4AE1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14:paraId="6AE2D23E">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639" w:type="dxa"/>
            <w:gridSpan w:val="9"/>
            <w:vAlign w:val="center"/>
          </w:tcPr>
          <w:p w14:paraId="202CFF9B">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347" w:type="dxa"/>
            <w:gridSpan w:val="2"/>
            <w:vAlign w:val="center"/>
          </w:tcPr>
          <w:p w14:paraId="23E0DCAE">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574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1197" w:type="dxa"/>
            <w:vAlign w:val="center"/>
          </w:tcPr>
          <w:p w14:paraId="54AB746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639" w:type="dxa"/>
            <w:gridSpan w:val="9"/>
            <w:vAlign w:val="center"/>
          </w:tcPr>
          <w:p w14:paraId="1D66B5D5">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（1.1）畜禽养殖产业布局应符合《江华瑶族自治县畜禽规模养殖“三区”划定方案》。</w:t>
            </w:r>
          </w:p>
          <w:p w14:paraId="49D0609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（1.2）生态保护区按照生态保护红线的相关管理规则进行管控。</w:t>
            </w:r>
          </w:p>
        </w:tc>
        <w:tc>
          <w:tcPr>
            <w:tcW w:w="4347" w:type="dxa"/>
            <w:gridSpan w:val="2"/>
            <w:vMerge w:val="restart"/>
            <w:vAlign w:val="center"/>
          </w:tcPr>
          <w:p w14:paraId="2CE3E18F">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（1.1）</w:t>
            </w:r>
            <w:r>
              <w:rPr>
                <w:rFonts w:ascii="Times New Roman" w:hAnsi="Times New Roman" w:eastAsia="仿宋" w:cs="Times New Roman"/>
                <w:szCs w:val="21"/>
              </w:rPr>
              <w:t>《江华瑶族自治县畜禽规模养殖“三区”划定方案》（江华县政府2019年12月）；</w:t>
            </w:r>
          </w:p>
          <w:p w14:paraId="75D77741">
            <w:pPr>
              <w:tabs>
                <w:tab w:val="left" w:pos="1021"/>
              </w:tabs>
              <w:rPr>
                <w:rFonts w:ascii="Times New Roman" w:hAnsi="Times New Roman" w:eastAsia="仿宋" w:cs="Times New Roman"/>
                <w:szCs w:val="21"/>
              </w:rPr>
            </w:pPr>
            <w:r>
              <w:rPr>
                <w:rFonts w:ascii="Times New Roman" w:hAnsi="Times New Roman" w:eastAsia="仿宋" w:cs="Times New Roman"/>
                <w:szCs w:val="21"/>
              </w:rPr>
              <w:t>（1.2）《江华瑶族自治县国土空间总体规划（2021-2035年）》；</w:t>
            </w:r>
          </w:p>
          <w:p w14:paraId="5062649D">
            <w:pPr>
              <w:tabs>
                <w:tab w:val="left" w:pos="1021"/>
              </w:tabs>
              <w:rPr>
                <w:rFonts w:ascii="Times New Roman" w:hAnsi="Times New Roman" w:eastAsia="仿宋" w:cs="Times New Roman"/>
                <w:szCs w:val="21"/>
              </w:rPr>
            </w:pPr>
            <w:r>
              <w:rPr>
                <w:rFonts w:ascii="Times New Roman" w:hAnsi="Times New Roman" w:eastAsia="仿宋" w:cs="Times New Roman"/>
                <w:szCs w:val="21"/>
              </w:rPr>
              <w:t>（2.1）《江华瑶族自治县2023 年生态环境保护工作要点》（江生环委办发〔2023〕4号）；（2.2.1）（2.2.2）《江华瑶族自治县大气污染防治攻坚行动计划 （2023-2025年）》（江生环委办发〔2023〕2号）；</w:t>
            </w:r>
          </w:p>
          <w:p w14:paraId="092DEA7E">
            <w:pPr>
              <w:tabs>
                <w:tab w:val="left" w:pos="1021"/>
              </w:tabs>
              <w:rPr>
                <w:rFonts w:ascii="Times New Roman" w:hAnsi="Times New Roman" w:eastAsia="仿宋" w:cs="Times New Roman"/>
                <w:szCs w:val="21"/>
              </w:rPr>
            </w:pPr>
            <w:r>
              <w:rPr>
                <w:rFonts w:ascii="Times New Roman" w:hAnsi="Times New Roman" w:eastAsia="仿宋" w:cs="Times New Roman"/>
                <w:szCs w:val="21"/>
              </w:rPr>
              <w:t>（3.1）《江华瑶族自治县生态环境保护条例》；</w:t>
            </w:r>
          </w:p>
          <w:p w14:paraId="1DCCE440">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（3.2）《江华瑶族自治县重污染天气应急预案》（江政办发〔2024〕1号）；</w:t>
            </w:r>
          </w:p>
          <w:p w14:paraId="19335529">
            <w:pPr>
              <w:tabs>
                <w:tab w:val="left" w:pos="1021"/>
              </w:tabs>
              <w:rPr>
                <w:rFonts w:ascii="Times New Roman" w:hAnsi="Times New Roman" w:eastAsia="仿宋" w:cs="Times New Roman"/>
                <w:szCs w:val="21"/>
              </w:rPr>
            </w:pPr>
            <w:r>
              <w:rPr>
                <w:rFonts w:ascii="Times New Roman" w:hAnsi="Times New Roman" w:eastAsia="仿宋" w:cs="Times New Roman"/>
                <w:szCs w:val="21"/>
              </w:rPr>
              <w:t>（4.1）《江华瑶族自治县国土空间总体规划（2021-2035年）》；</w:t>
            </w:r>
          </w:p>
          <w:p w14:paraId="529203BE">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（4.2.1）</w:t>
            </w:r>
            <w:r>
              <w:rPr>
                <w:rFonts w:ascii="Times New Roman" w:hAnsi="Times New Roman" w:eastAsia="仿宋" w:cs="Times New Roman"/>
                <w:kern w:val="0"/>
                <w:szCs w:val="21"/>
              </w:rPr>
              <w:t>《关于调整永州市“十四五”用水总量和强度双控目标的通知》（永水发〔2024〕1号）；</w:t>
            </w:r>
          </w:p>
          <w:p w14:paraId="2A276EFC">
            <w:pPr>
              <w:adjustRightInd w:val="0"/>
              <w:snapToGrid w:val="0"/>
              <w:rPr>
                <w:rFonts w:ascii="Times New Roman" w:hAnsi="Times New Roman" w:eastAsia="仿宋" w:cs="Times New Roman"/>
                <w:strike/>
                <w:szCs w:val="21"/>
              </w:rPr>
            </w:pPr>
            <w:r>
              <w:rPr>
                <w:rFonts w:ascii="Times New Roman" w:hAnsi="Times New Roman" w:eastAsia="仿宋" w:cs="Times New Roman"/>
                <w:szCs w:val="21"/>
              </w:rPr>
              <w:t>（4.3）《江华瑶族自治县国土空间总体规划（2021-2035年）》。</w:t>
            </w:r>
          </w:p>
        </w:tc>
      </w:tr>
      <w:tr w14:paraId="6184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14:paraId="5F49F4A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639" w:type="dxa"/>
            <w:gridSpan w:val="9"/>
            <w:vAlign w:val="center"/>
          </w:tcPr>
          <w:p w14:paraId="6853287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（2.1）废水：完善乡镇集镇所在地污水处理设施及管网。</w:t>
            </w:r>
          </w:p>
          <w:p w14:paraId="28D558B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（2.2）废气：</w:t>
            </w:r>
          </w:p>
          <w:p w14:paraId="2146FDE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（2.2.1）按要求严格管控露天烧烤、烟气直排以及焚烧垃圾树叶。</w:t>
            </w:r>
          </w:p>
          <w:p w14:paraId="533913A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（2.2.2）强化建筑施工扬尘及道路扬尘污染控制，建筑施工按照“六不开工”和“七个100%”控制要求。</w:t>
            </w:r>
          </w:p>
        </w:tc>
        <w:tc>
          <w:tcPr>
            <w:tcW w:w="4347" w:type="dxa"/>
            <w:gridSpan w:val="2"/>
            <w:vMerge w:val="continue"/>
            <w:vAlign w:val="center"/>
          </w:tcPr>
          <w:p w14:paraId="6F229B31">
            <w:pPr>
              <w:widowControl/>
              <w:jc w:val="left"/>
              <w:rPr>
                <w:rFonts w:ascii="Times New Roman" w:hAnsi="Times New Roman" w:eastAsia="仿宋" w:cs="Times New Roman"/>
                <w:szCs w:val="21"/>
              </w:rPr>
            </w:pPr>
          </w:p>
        </w:tc>
      </w:tr>
      <w:tr w14:paraId="369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14:paraId="5082C90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639" w:type="dxa"/>
            <w:gridSpan w:val="9"/>
            <w:vAlign w:val="center"/>
          </w:tcPr>
          <w:p w14:paraId="4155A08F">
            <w:pPr>
              <w:tabs>
                <w:tab w:val="left" w:pos="1021"/>
              </w:tabs>
              <w:ind w:firstLine="420" w:firstLineChars="200"/>
              <w:rPr>
                <w:rFonts w:ascii="Times New Roman" w:hAnsi="Times New Roman" w:eastAsia="仿宋" w:cs="Times New Roman"/>
                <w:szCs w:val="21"/>
                <w:lang w:val="zh-CN" w:bidi="ar"/>
              </w:rPr>
            </w:pPr>
            <w:r>
              <w:rPr>
                <w:rFonts w:ascii="Times New Roman" w:hAnsi="Times New Roman" w:eastAsia="仿宋" w:cs="Times New Roman"/>
                <w:kern w:val="0"/>
                <w:szCs w:val="21"/>
              </w:rPr>
              <w:t>（3.1）</w:t>
            </w:r>
            <w:r>
              <w:rPr>
                <w:rFonts w:ascii="Times New Roman" w:hAnsi="Times New Roman" w:eastAsia="仿宋" w:cs="Times New Roman"/>
                <w:szCs w:val="21"/>
                <w:lang w:val="zh-CN" w:bidi="ar"/>
              </w:rPr>
              <w:t>加强乡镇集中饮用水源地风险防控，确保水源地水质安全。</w:t>
            </w:r>
          </w:p>
          <w:p w14:paraId="6CAA902A">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（3.2）强化本行政区域内的重污染天气应对工作，积极采取应对措施，减少重污染天气影响。</w:t>
            </w:r>
          </w:p>
        </w:tc>
        <w:tc>
          <w:tcPr>
            <w:tcW w:w="4347" w:type="dxa"/>
            <w:gridSpan w:val="2"/>
            <w:vMerge w:val="continue"/>
            <w:vAlign w:val="center"/>
          </w:tcPr>
          <w:p w14:paraId="17088E18">
            <w:pPr>
              <w:widowControl/>
              <w:jc w:val="left"/>
              <w:rPr>
                <w:rFonts w:ascii="Times New Roman" w:hAnsi="Times New Roman" w:eastAsia="仿宋" w:cs="Times New Roman"/>
                <w:szCs w:val="21"/>
              </w:rPr>
            </w:pPr>
          </w:p>
        </w:tc>
      </w:tr>
      <w:tr w14:paraId="23DE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14:paraId="46639B6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639" w:type="dxa"/>
            <w:gridSpan w:val="9"/>
            <w:vAlign w:val="center"/>
          </w:tcPr>
          <w:p w14:paraId="387F352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AE77A99">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积极开发水能、风能、太阳能、生物质能等可再生能源，使可再生能源在电力一次能源结构中的占比不低于50%。</w:t>
            </w:r>
          </w:p>
          <w:p w14:paraId="3D93F896">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4B363D7C">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（4.2.1）到2025年，江华县指标应符合相应行政区域的管控要求，江华县用水总量达19454万m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0401975A">
            <w:pPr>
              <w:tabs>
                <w:tab w:val="left" w:pos="1021"/>
              </w:tabs>
              <w:ind w:firstLine="420" w:firstLineChars="200"/>
              <w:rPr>
                <w:rFonts w:ascii="Times New Roman" w:hAnsi="Times New Roman" w:eastAsia="仿宋" w:cs="Times New Roman"/>
                <w:szCs w:val="21"/>
              </w:rPr>
            </w:pPr>
            <w:bookmarkStart w:id="91" w:name="_Hlk58581647"/>
            <w:r>
              <w:rPr>
                <w:rFonts w:ascii="Times New Roman" w:hAnsi="Times New Roman" w:eastAsia="仿宋" w:cs="Times New Roman"/>
                <w:kern w:val="0"/>
                <w:szCs w:val="21"/>
                <w:lang w:bidi="ar"/>
              </w:rPr>
              <w:t>（4.2.2）</w:t>
            </w:r>
            <w:r>
              <w:rPr>
                <w:rFonts w:ascii="Times New Roman" w:hAnsi="Times New Roman" w:eastAsia="仿宋" w:cs="Times New Roman"/>
                <w:szCs w:val="21"/>
              </w:rPr>
              <w:t>水电站应当按相关要求下泄生态流量。</w:t>
            </w:r>
            <w:bookmarkEnd w:id="91"/>
            <w:r>
              <w:rPr>
                <w:rFonts w:ascii="Times New Roman" w:hAnsi="Times New Roman" w:eastAsia="仿宋" w:cs="Times New Roman"/>
                <w:szCs w:val="21"/>
              </w:rPr>
              <w:t>规范建设秩序，有效保护和修复河流生态系统。</w:t>
            </w:r>
          </w:p>
          <w:p w14:paraId="1C229329">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40D380DE">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4347" w:type="dxa"/>
            <w:gridSpan w:val="2"/>
            <w:vMerge w:val="continue"/>
            <w:vAlign w:val="center"/>
          </w:tcPr>
          <w:p w14:paraId="0CB82AF1">
            <w:pPr>
              <w:widowControl/>
              <w:jc w:val="left"/>
              <w:rPr>
                <w:rFonts w:ascii="Times New Roman" w:hAnsi="Times New Roman" w:eastAsia="仿宋" w:cs="Times New Roman"/>
                <w:szCs w:val="21"/>
              </w:rPr>
            </w:pPr>
          </w:p>
        </w:tc>
      </w:tr>
    </w:tbl>
    <w:p w14:paraId="61D182BD">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38F61551">
      <w:pPr>
        <w:rPr>
          <w:rFonts w:ascii="Times New Roman" w:hAnsi="Times New Roman" w:eastAsia="仿宋" w:cs="Times New Roman"/>
          <w:szCs w:val="21"/>
        </w:rPr>
      </w:pPr>
    </w:p>
    <w:tbl>
      <w:tblPr>
        <w:tblStyle w:val="20"/>
        <w:tblW w:w="14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851"/>
        <w:gridCol w:w="425"/>
        <w:gridCol w:w="423"/>
        <w:gridCol w:w="711"/>
        <w:gridCol w:w="709"/>
        <w:gridCol w:w="945"/>
        <w:gridCol w:w="1003"/>
        <w:gridCol w:w="1763"/>
        <w:gridCol w:w="1532"/>
        <w:gridCol w:w="2386"/>
        <w:gridCol w:w="2141"/>
      </w:tblGrid>
      <w:tr w14:paraId="378F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0" w:type="dxa"/>
            <w:vMerge w:val="restart"/>
            <w:vAlign w:val="center"/>
          </w:tcPr>
          <w:p w14:paraId="39CE49E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42FA54C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9" w:type="dxa"/>
            <w:gridSpan w:val="3"/>
            <w:vAlign w:val="center"/>
          </w:tcPr>
          <w:p w14:paraId="23EEF17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047B9A1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5" w:type="dxa"/>
            <w:vMerge w:val="restart"/>
            <w:vAlign w:val="center"/>
          </w:tcPr>
          <w:p w14:paraId="17B3B46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03" w:type="dxa"/>
            <w:vMerge w:val="restart"/>
            <w:vAlign w:val="center"/>
          </w:tcPr>
          <w:p w14:paraId="1B70C45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63" w:type="dxa"/>
            <w:vMerge w:val="restart"/>
            <w:vAlign w:val="center"/>
          </w:tcPr>
          <w:p w14:paraId="79FCEB5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918" w:type="dxa"/>
            <w:gridSpan w:val="2"/>
            <w:vMerge w:val="restart"/>
            <w:vAlign w:val="center"/>
          </w:tcPr>
          <w:p w14:paraId="75722A8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41" w:type="dxa"/>
            <w:vMerge w:val="restart"/>
            <w:vAlign w:val="center"/>
          </w:tcPr>
          <w:p w14:paraId="4ECF77A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280E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200" w:type="dxa"/>
            <w:vMerge w:val="continue"/>
            <w:vAlign w:val="center"/>
          </w:tcPr>
          <w:p w14:paraId="798A2751">
            <w:pPr>
              <w:widowControl/>
              <w:jc w:val="left"/>
              <w:rPr>
                <w:rFonts w:ascii="Times New Roman" w:hAnsi="Times New Roman" w:eastAsia="仿宋" w:cs="Times New Roman"/>
                <w:b/>
                <w:kern w:val="0"/>
                <w:szCs w:val="21"/>
              </w:rPr>
            </w:pPr>
          </w:p>
        </w:tc>
        <w:tc>
          <w:tcPr>
            <w:tcW w:w="851" w:type="dxa"/>
            <w:vMerge w:val="continue"/>
            <w:vAlign w:val="center"/>
          </w:tcPr>
          <w:p w14:paraId="0C331440">
            <w:pPr>
              <w:widowControl/>
              <w:jc w:val="left"/>
              <w:rPr>
                <w:rFonts w:ascii="Times New Roman" w:hAnsi="Times New Roman" w:eastAsia="仿宋" w:cs="Times New Roman"/>
                <w:b/>
                <w:kern w:val="0"/>
                <w:szCs w:val="21"/>
              </w:rPr>
            </w:pPr>
          </w:p>
        </w:tc>
        <w:tc>
          <w:tcPr>
            <w:tcW w:w="425" w:type="dxa"/>
            <w:vAlign w:val="center"/>
          </w:tcPr>
          <w:p w14:paraId="44602D9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3" w:type="dxa"/>
            <w:vAlign w:val="center"/>
          </w:tcPr>
          <w:p w14:paraId="4629CD2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11" w:type="dxa"/>
            <w:vAlign w:val="center"/>
          </w:tcPr>
          <w:p w14:paraId="733501B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689B1252">
            <w:pPr>
              <w:widowControl/>
              <w:jc w:val="left"/>
              <w:rPr>
                <w:rFonts w:ascii="Times New Roman" w:hAnsi="Times New Roman" w:eastAsia="仿宋" w:cs="Times New Roman"/>
                <w:b/>
                <w:kern w:val="0"/>
                <w:szCs w:val="21"/>
              </w:rPr>
            </w:pPr>
          </w:p>
        </w:tc>
        <w:tc>
          <w:tcPr>
            <w:tcW w:w="945" w:type="dxa"/>
            <w:vMerge w:val="continue"/>
            <w:vAlign w:val="center"/>
          </w:tcPr>
          <w:p w14:paraId="6D250637">
            <w:pPr>
              <w:widowControl/>
              <w:jc w:val="left"/>
              <w:rPr>
                <w:rFonts w:ascii="Times New Roman" w:hAnsi="Times New Roman" w:eastAsia="仿宋" w:cs="Times New Roman"/>
                <w:b/>
                <w:kern w:val="0"/>
                <w:szCs w:val="21"/>
              </w:rPr>
            </w:pPr>
          </w:p>
        </w:tc>
        <w:tc>
          <w:tcPr>
            <w:tcW w:w="1003" w:type="dxa"/>
            <w:vMerge w:val="continue"/>
            <w:vAlign w:val="center"/>
          </w:tcPr>
          <w:p w14:paraId="09DFD8D8">
            <w:pPr>
              <w:widowControl/>
              <w:jc w:val="left"/>
              <w:rPr>
                <w:rFonts w:ascii="Times New Roman" w:hAnsi="Times New Roman" w:eastAsia="仿宋" w:cs="Times New Roman"/>
                <w:b/>
                <w:kern w:val="0"/>
                <w:szCs w:val="21"/>
              </w:rPr>
            </w:pPr>
          </w:p>
        </w:tc>
        <w:tc>
          <w:tcPr>
            <w:tcW w:w="1763" w:type="dxa"/>
            <w:vMerge w:val="continue"/>
            <w:vAlign w:val="center"/>
          </w:tcPr>
          <w:p w14:paraId="31757F82">
            <w:pPr>
              <w:widowControl/>
              <w:jc w:val="left"/>
              <w:rPr>
                <w:rFonts w:ascii="Times New Roman" w:hAnsi="Times New Roman" w:eastAsia="仿宋" w:cs="Times New Roman"/>
                <w:b/>
                <w:kern w:val="0"/>
                <w:szCs w:val="21"/>
              </w:rPr>
            </w:pPr>
          </w:p>
        </w:tc>
        <w:tc>
          <w:tcPr>
            <w:tcW w:w="3918" w:type="dxa"/>
            <w:gridSpan w:val="2"/>
            <w:vMerge w:val="continue"/>
            <w:vAlign w:val="center"/>
          </w:tcPr>
          <w:p w14:paraId="38151247">
            <w:pPr>
              <w:widowControl/>
              <w:jc w:val="left"/>
              <w:rPr>
                <w:rFonts w:ascii="Times New Roman" w:hAnsi="Times New Roman" w:eastAsia="仿宋" w:cs="Times New Roman"/>
                <w:b/>
                <w:kern w:val="0"/>
                <w:szCs w:val="21"/>
              </w:rPr>
            </w:pPr>
          </w:p>
        </w:tc>
        <w:tc>
          <w:tcPr>
            <w:tcW w:w="2141" w:type="dxa"/>
            <w:vMerge w:val="continue"/>
            <w:vAlign w:val="center"/>
          </w:tcPr>
          <w:p w14:paraId="39B5A94E">
            <w:pPr>
              <w:widowControl/>
              <w:jc w:val="left"/>
              <w:rPr>
                <w:rFonts w:ascii="Times New Roman" w:hAnsi="Times New Roman" w:eastAsia="仿宋" w:cs="Times New Roman"/>
                <w:b/>
                <w:kern w:val="0"/>
                <w:szCs w:val="21"/>
              </w:rPr>
            </w:pPr>
          </w:p>
        </w:tc>
      </w:tr>
      <w:tr w14:paraId="2B0E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00" w:type="dxa"/>
            <w:vAlign w:val="center"/>
          </w:tcPr>
          <w:p w14:paraId="3D9BBDF0">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ZH43112910003</w:t>
            </w:r>
          </w:p>
        </w:tc>
        <w:tc>
          <w:tcPr>
            <w:tcW w:w="851" w:type="dxa"/>
            <w:vAlign w:val="center"/>
          </w:tcPr>
          <w:p w14:paraId="01B96134">
            <w:pPr>
              <w:widowControl/>
              <w:jc w:val="center"/>
              <w:rPr>
                <w:rFonts w:ascii="Times New Roman" w:hAnsi="Times New Roman" w:eastAsia="仿宋" w:cs="Times New Roman"/>
                <w:kern w:val="0"/>
                <w:szCs w:val="21"/>
              </w:rPr>
            </w:pPr>
            <w:r>
              <w:rPr>
                <w:rFonts w:ascii="Times New Roman" w:hAnsi="Times New Roman" w:eastAsia="仿宋" w:cs="Times New Roman"/>
                <w:szCs w:val="21"/>
              </w:rPr>
              <w:t>涔天河镇/水口镇</w:t>
            </w:r>
          </w:p>
        </w:tc>
        <w:tc>
          <w:tcPr>
            <w:tcW w:w="425" w:type="dxa"/>
            <w:vAlign w:val="center"/>
          </w:tcPr>
          <w:p w14:paraId="7C1876A1">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3" w:type="dxa"/>
            <w:vAlign w:val="center"/>
          </w:tcPr>
          <w:p w14:paraId="2627FCD7">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11" w:type="dxa"/>
            <w:vAlign w:val="center"/>
          </w:tcPr>
          <w:p w14:paraId="2195441A">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709" w:type="dxa"/>
            <w:vAlign w:val="center"/>
          </w:tcPr>
          <w:p w14:paraId="4364921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45" w:type="dxa"/>
            <w:vAlign w:val="center"/>
          </w:tcPr>
          <w:p w14:paraId="4A98AB7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664.03</w:t>
            </w:r>
          </w:p>
        </w:tc>
        <w:tc>
          <w:tcPr>
            <w:tcW w:w="1003" w:type="dxa"/>
            <w:vAlign w:val="center"/>
          </w:tcPr>
          <w:p w14:paraId="00BD7FA7">
            <w:pPr>
              <w:widowControl/>
              <w:jc w:val="left"/>
              <w:rPr>
                <w:rFonts w:ascii="Times New Roman" w:hAnsi="Times New Roman" w:eastAsia="仿宋" w:cs="Times New Roman"/>
                <w:kern w:val="0"/>
                <w:szCs w:val="21"/>
              </w:rPr>
            </w:pPr>
            <w:r>
              <w:rPr>
                <w:rFonts w:ascii="Times New Roman" w:hAnsi="Times New Roman" w:eastAsia="仿宋" w:cs="Times New Roman"/>
                <w:szCs w:val="21"/>
              </w:rPr>
              <w:t>涔天河镇/水口镇</w:t>
            </w:r>
          </w:p>
        </w:tc>
        <w:tc>
          <w:tcPr>
            <w:tcW w:w="1763" w:type="dxa"/>
            <w:vAlign w:val="center"/>
          </w:tcPr>
          <w:p w14:paraId="3353CF9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kern w:val="0"/>
                <w:szCs w:val="21"/>
              </w:rPr>
            </w:pPr>
            <w:r>
              <w:rPr>
                <w:rFonts w:ascii="Times New Roman" w:hAnsi="Times New Roman" w:eastAsia="仿宋" w:cs="Times New Roman"/>
                <w:b/>
                <w:bCs/>
                <w:szCs w:val="21"/>
              </w:rPr>
              <w:t>涔天河镇：</w:t>
            </w:r>
            <w:r>
              <w:rPr>
                <w:rFonts w:ascii="Times New Roman" w:hAnsi="Times New Roman" w:eastAsia="仿宋" w:cs="Times New Roman"/>
                <w:kern w:val="0"/>
                <w:szCs w:val="21"/>
              </w:rPr>
              <w:t>重点生态功能区；</w:t>
            </w:r>
          </w:p>
          <w:p w14:paraId="11E259C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kern w:val="0"/>
                <w:szCs w:val="21"/>
              </w:rPr>
            </w:pPr>
            <w:r>
              <w:rPr>
                <w:rFonts w:ascii="Times New Roman" w:hAnsi="Times New Roman" w:eastAsia="仿宋" w:cs="Times New Roman"/>
                <w:b/>
                <w:bCs/>
                <w:szCs w:val="21"/>
              </w:rPr>
              <w:t>水口镇：</w:t>
            </w:r>
            <w:r>
              <w:rPr>
                <w:rFonts w:ascii="Times New Roman" w:hAnsi="Times New Roman" w:eastAsia="仿宋" w:cs="Times New Roman"/>
                <w:kern w:val="0"/>
                <w:szCs w:val="21"/>
              </w:rPr>
              <w:t>重点生态功能区/历史文化资源富集区</w:t>
            </w:r>
          </w:p>
        </w:tc>
        <w:tc>
          <w:tcPr>
            <w:tcW w:w="3918" w:type="dxa"/>
            <w:gridSpan w:val="2"/>
            <w:vAlign w:val="center"/>
          </w:tcPr>
          <w:p w14:paraId="39EE917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b/>
                <w:bCs/>
                <w:szCs w:val="21"/>
              </w:rPr>
              <w:t>涔天河镇：</w:t>
            </w:r>
            <w:r>
              <w:rPr>
                <w:rFonts w:ascii="Times New Roman" w:hAnsi="Times New Roman" w:eastAsia="仿宋" w:cs="Times New Roman"/>
                <w:szCs w:val="21"/>
              </w:rPr>
              <w:t>生态文化旅游，农林产品深加工，农业产业基地，畜禽养殖，低污染、低排放、来料组装等劳动密集型小微企业。</w:t>
            </w:r>
          </w:p>
          <w:p w14:paraId="096F8BE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trike/>
                <w:szCs w:val="21"/>
              </w:rPr>
            </w:pPr>
            <w:r>
              <w:rPr>
                <w:rFonts w:ascii="Times New Roman" w:hAnsi="Times New Roman" w:eastAsia="仿宋" w:cs="Times New Roman"/>
                <w:b/>
                <w:bCs/>
                <w:szCs w:val="21"/>
              </w:rPr>
              <w:t>水口镇：</w:t>
            </w:r>
            <w:r>
              <w:rPr>
                <w:rFonts w:ascii="Times New Roman" w:hAnsi="Times New Roman" w:eastAsia="仿宋" w:cs="Times New Roman"/>
                <w:szCs w:val="21"/>
              </w:rPr>
              <w:t>生态文化旅游，农林产品深加工，农业产业基地，低污染、低排放、来料组装等劳动密集型小微企业。</w:t>
            </w:r>
          </w:p>
        </w:tc>
        <w:tc>
          <w:tcPr>
            <w:tcW w:w="2141" w:type="dxa"/>
            <w:vAlign w:val="center"/>
          </w:tcPr>
          <w:p w14:paraId="7A05D23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b/>
                <w:szCs w:val="21"/>
              </w:rPr>
            </w:pPr>
            <w:r>
              <w:rPr>
                <w:rFonts w:ascii="Times New Roman" w:hAnsi="Times New Roman" w:eastAsia="仿宋" w:cs="Times New Roman"/>
                <w:b/>
                <w:szCs w:val="21"/>
              </w:rPr>
              <w:t>环境问题：</w:t>
            </w:r>
          </w:p>
          <w:p w14:paraId="58A1658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无</w:t>
            </w:r>
            <w:r>
              <w:rPr>
                <w:rFonts w:ascii="Times New Roman" w:hAnsi="Times New Roman" w:eastAsia="仿宋" w:cs="Times New Roman"/>
                <w:kern w:val="0"/>
                <w:szCs w:val="21"/>
              </w:rPr>
              <w:t>明显</w:t>
            </w:r>
            <w:r>
              <w:rPr>
                <w:rFonts w:ascii="Times New Roman" w:hAnsi="Times New Roman" w:eastAsia="仿宋" w:cs="Times New Roman"/>
                <w:szCs w:val="21"/>
              </w:rPr>
              <w:t>环境问题。</w:t>
            </w:r>
          </w:p>
          <w:p w14:paraId="6EEB226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b/>
                <w:szCs w:val="21"/>
              </w:rPr>
            </w:pPr>
            <w:r>
              <w:rPr>
                <w:rFonts w:ascii="Times New Roman" w:hAnsi="Times New Roman" w:eastAsia="仿宋" w:cs="Times New Roman"/>
                <w:b/>
                <w:szCs w:val="21"/>
              </w:rPr>
              <w:t>环保目标：</w:t>
            </w:r>
          </w:p>
          <w:p w14:paraId="731A880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kern w:val="0"/>
                <w:szCs w:val="21"/>
              </w:rPr>
            </w:pPr>
            <w:r>
              <w:rPr>
                <w:rFonts w:ascii="Times New Roman" w:hAnsi="Times New Roman" w:eastAsia="仿宋" w:cs="Times New Roman"/>
                <w:kern w:val="0"/>
                <w:szCs w:val="21"/>
              </w:rPr>
              <w:t>湖南江华涔天河国家湿地公园、湖南江华涔天河饮用水源保护区。</w:t>
            </w:r>
          </w:p>
        </w:tc>
      </w:tr>
      <w:tr w14:paraId="42A8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200" w:type="dxa"/>
            <w:vAlign w:val="center"/>
          </w:tcPr>
          <w:p w14:paraId="125B6BD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89" w:type="dxa"/>
            <w:gridSpan w:val="11"/>
            <w:vAlign w:val="center"/>
          </w:tcPr>
          <w:p w14:paraId="61CA3F7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b/>
                <w:bCs/>
                <w:szCs w:val="21"/>
              </w:rPr>
              <w:t>涔天河镇：</w:t>
            </w:r>
          </w:p>
          <w:p w14:paraId="21477E2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红线/一般生态空间（水源涵养重要区/湿地公园/三区三线生态红线/生物多样性保护功能重要区/水土流失敏感区/石漠化敏感区/水土保持功能重要区/森林公园/原生态红线）；水环境优先保护区/水环境一般管控区；大气环境优先保护区/大气环境受体敏感重点管控区；农用地优先保护区/其他重点管控区/一般管控区</w:t>
            </w:r>
          </w:p>
          <w:p w14:paraId="075B8E3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b/>
                <w:bCs/>
                <w:szCs w:val="21"/>
              </w:rPr>
              <w:t>水口镇：</w:t>
            </w:r>
          </w:p>
          <w:p w14:paraId="04F0D97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 w:cs="Times New Roman"/>
                <w:szCs w:val="21"/>
              </w:rPr>
            </w:pPr>
            <w:r>
              <w:rPr>
                <w:rFonts w:ascii="Times New Roman" w:hAnsi="Times New Roman" w:eastAsia="仿宋" w:cs="Times New Roman"/>
                <w:szCs w:val="21"/>
              </w:rPr>
              <w:t>红线/一般生态空间（水源涵养重要区/三区三线生态红线/风景名胜区/湿地公园/原生态红线/水土流失敏感区）；水环境优先保护区/水环境一般管控区；大气环境优先保护区/大气环境受体敏感重点管控区；农用地优先保护区/其他重点管控区/一般管控区</w:t>
            </w:r>
          </w:p>
        </w:tc>
      </w:tr>
      <w:tr w14:paraId="282D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0" w:type="dxa"/>
            <w:vAlign w:val="center"/>
          </w:tcPr>
          <w:p w14:paraId="63A14DB8">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62" w:type="dxa"/>
            <w:gridSpan w:val="9"/>
            <w:vAlign w:val="center"/>
          </w:tcPr>
          <w:p w14:paraId="1164EF96">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527" w:type="dxa"/>
            <w:gridSpan w:val="2"/>
            <w:vAlign w:val="center"/>
          </w:tcPr>
          <w:p w14:paraId="5C231AD9">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848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200" w:type="dxa"/>
            <w:vAlign w:val="center"/>
          </w:tcPr>
          <w:p w14:paraId="05AFC32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62" w:type="dxa"/>
            <w:gridSpan w:val="9"/>
            <w:vAlign w:val="center"/>
          </w:tcPr>
          <w:p w14:paraId="120D39FF">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（1.1）</w:t>
            </w:r>
            <w:r>
              <w:rPr>
                <w:rFonts w:ascii="Times New Roman" w:hAnsi="Times New Roman" w:eastAsia="仿宋" w:cs="Times New Roman"/>
                <w:b/>
                <w:bCs/>
                <w:szCs w:val="21"/>
              </w:rPr>
              <w:t>涔天河镇/水口镇：</w:t>
            </w:r>
            <w:r>
              <w:rPr>
                <w:rFonts w:ascii="Times New Roman" w:hAnsi="Times New Roman" w:eastAsia="仿宋" w:cs="Times New Roman"/>
                <w:szCs w:val="21"/>
              </w:rPr>
              <w:t>打造以涔天河水库为依托的风光带，合理规划码头、休闲服务区等基础设施建设。禁止在涔天河国家湿地公园内及周边区域200米范围内建规模化禽畜养殖场所。</w:t>
            </w:r>
          </w:p>
          <w:p w14:paraId="1B36831C">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kern w:val="0"/>
                <w:szCs w:val="21"/>
              </w:rPr>
            </w:pPr>
            <w:r>
              <w:rPr>
                <w:rFonts w:ascii="Times New Roman" w:hAnsi="Times New Roman" w:eastAsia="仿宋" w:cs="Times New Roman"/>
                <w:szCs w:val="21"/>
              </w:rPr>
              <w:t>（1.2）</w:t>
            </w:r>
            <w:r>
              <w:rPr>
                <w:rFonts w:ascii="Times New Roman" w:hAnsi="Times New Roman" w:eastAsia="仿宋" w:cs="Times New Roman"/>
                <w:kern w:val="0"/>
                <w:szCs w:val="21"/>
              </w:rPr>
              <w:t>畜禽养殖产业布局应符合</w:t>
            </w:r>
            <w:r>
              <w:rPr>
                <w:rFonts w:ascii="Times New Roman" w:hAnsi="Times New Roman" w:eastAsia="仿宋" w:cs="Times New Roman"/>
                <w:szCs w:val="21"/>
              </w:rPr>
              <w:t>《江华瑶族自治县畜禽规模养殖“三区”划定方案》。合理规划水产养殖布局和规模，禁止湖库投肥养鱼。</w:t>
            </w:r>
          </w:p>
          <w:p w14:paraId="3AF1C193">
            <w:pPr>
              <w:keepNext w:val="0"/>
              <w:keepLines w:val="0"/>
              <w:pageBreakBefore w:val="0"/>
              <w:widowControl w:val="0"/>
              <w:tabs>
                <w:tab w:val="left" w:pos="1021"/>
              </w:tabs>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Cs w:val="21"/>
              </w:rPr>
            </w:pPr>
            <w:r>
              <w:rPr>
                <w:rFonts w:ascii="Times New Roman" w:hAnsi="Times New Roman" w:eastAsia="仿宋" w:cs="Times New Roman"/>
                <w:szCs w:val="21"/>
              </w:rPr>
              <w:t>（1.3）封山育林期间，封山育林区域内禁止砍伐、移植树木，禁止烧炭、采脂、剥皮、挖根等毁林行为，禁止开垦、取土、采石及其他破坏林地行为。</w:t>
            </w:r>
          </w:p>
          <w:p w14:paraId="7CA8E84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（1.4）生态保护区按照生态保护红线的相关管理规则进行管控。</w:t>
            </w:r>
          </w:p>
        </w:tc>
        <w:tc>
          <w:tcPr>
            <w:tcW w:w="4527" w:type="dxa"/>
            <w:gridSpan w:val="2"/>
            <w:vMerge w:val="restart"/>
            <w:vAlign w:val="center"/>
          </w:tcPr>
          <w:p w14:paraId="4EAD3AD4">
            <w:pPr>
              <w:tabs>
                <w:tab w:val="left" w:pos="1021"/>
              </w:tabs>
              <w:rPr>
                <w:rFonts w:ascii="Times New Roman" w:hAnsi="Times New Roman" w:eastAsia="仿宋" w:cs="Times New Roman"/>
                <w:szCs w:val="21"/>
              </w:rPr>
            </w:pPr>
            <w:r>
              <w:rPr>
                <w:rFonts w:ascii="Times New Roman" w:hAnsi="Times New Roman" w:eastAsia="仿宋" w:cs="Times New Roman"/>
                <w:szCs w:val="21"/>
              </w:rPr>
              <w:t>（1.1）《湖南江华涔天河国家湿地公园保护管理办法（试行）》；</w:t>
            </w:r>
          </w:p>
          <w:p w14:paraId="5DD9AC0E">
            <w:pPr>
              <w:tabs>
                <w:tab w:val="left" w:pos="1021"/>
              </w:tabs>
              <w:rPr>
                <w:rFonts w:ascii="Times New Roman" w:hAnsi="Times New Roman" w:eastAsia="仿宋" w:cs="Times New Roman"/>
                <w:szCs w:val="21"/>
              </w:rPr>
            </w:pPr>
            <w:r>
              <w:rPr>
                <w:rFonts w:ascii="Times New Roman" w:hAnsi="Times New Roman" w:eastAsia="仿宋" w:cs="Times New Roman"/>
                <w:szCs w:val="21"/>
              </w:rPr>
              <w:t>（1.1）（1.3）《江华瑶族自治县生态环境保护条例》；</w:t>
            </w:r>
          </w:p>
          <w:p w14:paraId="24BCDED1">
            <w:pPr>
              <w:tabs>
                <w:tab w:val="left" w:pos="1021"/>
              </w:tabs>
              <w:rPr>
                <w:rFonts w:ascii="Times New Roman" w:hAnsi="Times New Roman" w:eastAsia="仿宋" w:cs="Times New Roman"/>
                <w:szCs w:val="21"/>
              </w:rPr>
            </w:pPr>
            <w:r>
              <w:rPr>
                <w:rFonts w:ascii="Times New Roman" w:hAnsi="Times New Roman" w:eastAsia="仿宋" w:cs="Times New Roman"/>
                <w:szCs w:val="21"/>
              </w:rPr>
              <w:t>（1.2）《江华瑶族自治县畜禽规模养殖“三区”划定方案》（江华县政府2019年12月）；</w:t>
            </w:r>
          </w:p>
          <w:p w14:paraId="689BA208">
            <w:pPr>
              <w:tabs>
                <w:tab w:val="left" w:pos="1021"/>
              </w:tabs>
              <w:rPr>
                <w:rFonts w:ascii="Times New Roman" w:hAnsi="Times New Roman" w:eastAsia="仿宋" w:cs="Times New Roman"/>
                <w:szCs w:val="21"/>
              </w:rPr>
            </w:pPr>
            <w:r>
              <w:rPr>
                <w:rFonts w:ascii="Times New Roman" w:hAnsi="Times New Roman" w:eastAsia="仿宋" w:cs="Times New Roman"/>
                <w:szCs w:val="21"/>
              </w:rPr>
              <w:t>（1.4）《江华瑶族自治县国土空间总体规划（2021-2035年）》；</w:t>
            </w:r>
          </w:p>
          <w:p w14:paraId="5A5B2113">
            <w:pPr>
              <w:tabs>
                <w:tab w:val="left" w:pos="1021"/>
              </w:tabs>
              <w:rPr>
                <w:rFonts w:ascii="Times New Roman" w:hAnsi="Times New Roman" w:eastAsia="仿宋" w:cs="Times New Roman"/>
                <w:szCs w:val="21"/>
              </w:rPr>
            </w:pPr>
            <w:r>
              <w:rPr>
                <w:rFonts w:ascii="Times New Roman" w:hAnsi="Times New Roman" w:eastAsia="仿宋" w:cs="Times New Roman"/>
                <w:szCs w:val="21"/>
              </w:rPr>
              <w:t>（2.1）《江华瑶族自治县2023 年生态环境保护工作要点》（江生环委办发〔2023〕4号）；</w:t>
            </w:r>
          </w:p>
          <w:p w14:paraId="68CDE0C5">
            <w:pPr>
              <w:tabs>
                <w:tab w:val="left" w:pos="1021"/>
              </w:tabs>
              <w:rPr>
                <w:rFonts w:ascii="Times New Roman" w:hAnsi="Times New Roman" w:eastAsia="仿宋" w:cs="Times New Roman"/>
                <w:szCs w:val="21"/>
              </w:rPr>
            </w:pPr>
            <w:r>
              <w:rPr>
                <w:rFonts w:ascii="Times New Roman" w:hAnsi="Times New Roman" w:eastAsia="仿宋" w:cs="Times New Roman"/>
                <w:szCs w:val="21"/>
              </w:rPr>
              <w:t>（2.2.1）（2.2.2）《江华瑶族自治县大气污染防治攻坚行动计划 （2023-2025年）》（江生环委办发〔2023〕2号）；</w:t>
            </w:r>
          </w:p>
          <w:p w14:paraId="48B2F8B6">
            <w:pPr>
              <w:tabs>
                <w:tab w:val="left" w:pos="1021"/>
              </w:tabs>
              <w:rPr>
                <w:rFonts w:ascii="Times New Roman" w:hAnsi="Times New Roman" w:eastAsia="仿宋" w:cs="Times New Roman"/>
                <w:szCs w:val="21"/>
              </w:rPr>
            </w:pPr>
            <w:r>
              <w:rPr>
                <w:rFonts w:ascii="Times New Roman" w:hAnsi="Times New Roman" w:eastAsia="仿宋" w:cs="Times New Roman"/>
                <w:szCs w:val="21"/>
              </w:rPr>
              <w:t>（2.3）（3.1）《江华瑶族自治县生态环境保护条例》；</w:t>
            </w:r>
          </w:p>
          <w:p w14:paraId="4AC0167F">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（3.2）《江华瑶族自治县重污染天气应急预案》（江政办发〔2024〕1号）；</w:t>
            </w:r>
          </w:p>
          <w:p w14:paraId="1387B7DC">
            <w:pPr>
              <w:tabs>
                <w:tab w:val="left" w:pos="1021"/>
              </w:tabs>
              <w:rPr>
                <w:rFonts w:ascii="Times New Roman" w:hAnsi="Times New Roman" w:eastAsia="仿宋" w:cs="Times New Roman"/>
                <w:szCs w:val="21"/>
              </w:rPr>
            </w:pPr>
            <w:r>
              <w:rPr>
                <w:rFonts w:ascii="Times New Roman" w:hAnsi="Times New Roman" w:eastAsia="仿宋" w:cs="Times New Roman"/>
                <w:szCs w:val="21"/>
              </w:rPr>
              <w:t>（4.1）《江华瑶族自治县国土空间总体规划（2021-2035年）》；</w:t>
            </w:r>
          </w:p>
          <w:p w14:paraId="0D3ADF0B">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278CB8A0">
            <w:pPr>
              <w:adjustRightInd w:val="0"/>
              <w:snapToGrid w:val="0"/>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1882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00" w:type="dxa"/>
            <w:vAlign w:val="center"/>
          </w:tcPr>
          <w:p w14:paraId="7EFCCB1B">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62" w:type="dxa"/>
            <w:gridSpan w:val="9"/>
            <w:vAlign w:val="center"/>
          </w:tcPr>
          <w:p w14:paraId="3BABC281">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w:t>
            </w:r>
            <w:r>
              <w:rPr>
                <w:rFonts w:ascii="Times New Roman" w:hAnsi="Times New Roman" w:eastAsia="仿宋" w:cs="Times New Roman"/>
                <w:b/>
                <w:bCs/>
                <w:kern w:val="0"/>
                <w:szCs w:val="21"/>
              </w:rPr>
              <w:t>废水</w:t>
            </w:r>
            <w:r>
              <w:rPr>
                <w:rFonts w:ascii="Times New Roman" w:hAnsi="Times New Roman" w:eastAsia="仿宋" w:cs="Times New Roman"/>
                <w:b/>
                <w:bCs/>
                <w:szCs w:val="21"/>
              </w:rPr>
              <w:t>：</w:t>
            </w:r>
            <w:r>
              <w:rPr>
                <w:rFonts w:ascii="Times New Roman" w:hAnsi="Times New Roman" w:eastAsia="仿宋" w:cs="Times New Roman"/>
                <w:kern w:val="0"/>
                <w:szCs w:val="21"/>
              </w:rPr>
              <w:t>加强城市污水收集管网建设和改造，推进乡镇污水处理设施正常运行。</w:t>
            </w:r>
          </w:p>
          <w:p w14:paraId="09CA4DA8">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（2.2）</w:t>
            </w:r>
            <w:r>
              <w:rPr>
                <w:rFonts w:ascii="Times New Roman" w:hAnsi="Times New Roman" w:eastAsia="仿宋" w:cs="Times New Roman"/>
                <w:b/>
                <w:bCs/>
                <w:kern w:val="0"/>
                <w:szCs w:val="21"/>
              </w:rPr>
              <w:t>废气：</w:t>
            </w:r>
          </w:p>
          <w:p w14:paraId="6AD8239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（2.2.1）按要求严格管控露天烧烤、烟气直排以及焚烧垃圾树叶。</w:t>
            </w:r>
          </w:p>
          <w:p w14:paraId="73BF273F">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（2.2.2）强化施工建筑扬尘及道路扬尘污染控制，水口镇各类沙石开采场应建设扬尘等污染防治设施。</w:t>
            </w:r>
          </w:p>
          <w:p w14:paraId="503A7B91">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（2.3）</w:t>
            </w:r>
            <w:r>
              <w:rPr>
                <w:rFonts w:ascii="Times New Roman" w:hAnsi="Times New Roman" w:eastAsia="仿宋" w:cs="Times New Roman"/>
                <w:b/>
                <w:bCs/>
                <w:kern w:val="0"/>
                <w:szCs w:val="21"/>
              </w:rPr>
              <w:t>固体废物</w:t>
            </w:r>
            <w:r>
              <w:rPr>
                <w:rFonts w:ascii="Times New Roman" w:hAnsi="Times New Roman" w:eastAsia="仿宋" w:cs="Times New Roman"/>
                <w:b/>
                <w:bCs/>
                <w:szCs w:val="21"/>
              </w:rPr>
              <w:t>：</w:t>
            </w:r>
            <w:r>
              <w:rPr>
                <w:rFonts w:ascii="Times New Roman" w:hAnsi="Times New Roman" w:eastAsia="仿宋" w:cs="Times New Roman"/>
                <w:szCs w:val="21"/>
              </w:rPr>
              <w:t>统筹建设城乡垃圾分类、收集、贮存、运输、利用、处置设施；逐步完善分类投放、分类收集、分类运输、分类处理的垃圾处理系统，提高垃圾减量化、资源化、无害化水平；城乡垃圾必须堆放在指定的回收点。禁止擅自倾倒、堆放、丢弃、遗撒、填埋垃圾污染环境的行为。</w:t>
            </w:r>
          </w:p>
        </w:tc>
        <w:tc>
          <w:tcPr>
            <w:tcW w:w="4527" w:type="dxa"/>
            <w:gridSpan w:val="2"/>
            <w:vMerge w:val="continue"/>
            <w:vAlign w:val="center"/>
          </w:tcPr>
          <w:p w14:paraId="2F7245EC">
            <w:pPr>
              <w:widowControl/>
              <w:jc w:val="left"/>
              <w:rPr>
                <w:rFonts w:ascii="Times New Roman" w:hAnsi="Times New Roman" w:eastAsia="仿宋" w:cs="Times New Roman"/>
                <w:szCs w:val="21"/>
              </w:rPr>
            </w:pPr>
          </w:p>
        </w:tc>
      </w:tr>
      <w:tr w14:paraId="45EC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00" w:type="dxa"/>
            <w:vAlign w:val="center"/>
          </w:tcPr>
          <w:p w14:paraId="263CB65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62" w:type="dxa"/>
            <w:gridSpan w:val="9"/>
            <w:vAlign w:val="center"/>
          </w:tcPr>
          <w:p w14:paraId="3EA9CF81">
            <w:pPr>
              <w:tabs>
                <w:tab w:val="left" w:pos="1021"/>
              </w:tabs>
              <w:ind w:firstLine="420" w:firstLineChars="200"/>
              <w:rPr>
                <w:rFonts w:ascii="Times New Roman" w:hAnsi="Times New Roman" w:eastAsia="仿宋" w:cs="Times New Roman"/>
                <w:szCs w:val="21"/>
                <w:lang w:val="zh-CN" w:bidi="ar"/>
              </w:rPr>
            </w:pPr>
            <w:r>
              <w:rPr>
                <w:rFonts w:ascii="Times New Roman" w:hAnsi="Times New Roman" w:eastAsia="仿宋" w:cs="Times New Roman"/>
                <w:kern w:val="0"/>
                <w:szCs w:val="21"/>
              </w:rPr>
              <w:t>（3.1）</w:t>
            </w:r>
            <w:r>
              <w:rPr>
                <w:rFonts w:ascii="Times New Roman" w:hAnsi="Times New Roman" w:eastAsia="仿宋" w:cs="Times New Roman"/>
                <w:b/>
                <w:bCs/>
                <w:kern w:val="0"/>
                <w:szCs w:val="21"/>
              </w:rPr>
              <w:t>涔天河镇：</w:t>
            </w:r>
            <w:r>
              <w:rPr>
                <w:rFonts w:ascii="Times New Roman" w:hAnsi="Times New Roman" w:eastAsia="仿宋" w:cs="Times New Roman"/>
                <w:szCs w:val="21"/>
                <w:lang w:val="zh-CN" w:bidi="ar"/>
              </w:rPr>
              <w:t>加强乡镇集中饮用水源地风险防控，确保水源地水质安全。</w:t>
            </w:r>
          </w:p>
          <w:p w14:paraId="2F09D626">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（3.2）强化本行政区域内的重污染天气应对工作，积极采取应对措施，减少重污染天气影响。</w:t>
            </w:r>
          </w:p>
        </w:tc>
        <w:tc>
          <w:tcPr>
            <w:tcW w:w="4527" w:type="dxa"/>
            <w:gridSpan w:val="2"/>
            <w:vMerge w:val="continue"/>
            <w:vAlign w:val="center"/>
          </w:tcPr>
          <w:p w14:paraId="0D926E73">
            <w:pPr>
              <w:widowControl/>
              <w:jc w:val="left"/>
              <w:rPr>
                <w:rFonts w:ascii="Times New Roman" w:hAnsi="Times New Roman" w:eastAsia="仿宋" w:cs="Times New Roman"/>
                <w:szCs w:val="21"/>
              </w:rPr>
            </w:pPr>
          </w:p>
        </w:tc>
      </w:tr>
      <w:tr w14:paraId="3C39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00" w:type="dxa"/>
            <w:vAlign w:val="center"/>
          </w:tcPr>
          <w:p w14:paraId="7188144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62" w:type="dxa"/>
            <w:gridSpan w:val="9"/>
            <w:vAlign w:val="center"/>
          </w:tcPr>
          <w:p w14:paraId="767857B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2E2FFBD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积极开发水能、风能、太阳能、生物质能等可再生能源，使可再生能源在电力一次能源结构中的占比不低于50%。</w:t>
            </w:r>
          </w:p>
          <w:p w14:paraId="46D068E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158BE91C">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649DEDB1">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448B527C">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4527" w:type="dxa"/>
            <w:gridSpan w:val="2"/>
            <w:vMerge w:val="continue"/>
            <w:vAlign w:val="center"/>
          </w:tcPr>
          <w:p w14:paraId="34E1E654">
            <w:pPr>
              <w:widowControl/>
              <w:jc w:val="left"/>
              <w:rPr>
                <w:rFonts w:ascii="Times New Roman" w:hAnsi="Times New Roman" w:eastAsia="仿宋" w:cs="Times New Roman"/>
                <w:szCs w:val="21"/>
              </w:rPr>
            </w:pPr>
          </w:p>
        </w:tc>
      </w:tr>
    </w:tbl>
    <w:p w14:paraId="28EC5FAB">
      <w:pPr>
        <w:rPr>
          <w:rFonts w:ascii="Times New Roman" w:hAnsi="Times New Roman" w:eastAsia="仿宋" w:cs="Times New Roman"/>
          <w:szCs w:val="21"/>
        </w:rPr>
      </w:pPr>
    </w:p>
    <w:p w14:paraId="5B1D5909">
      <w:pPr>
        <w:widowControl/>
        <w:jc w:val="left"/>
        <w:rPr>
          <w:rFonts w:ascii="Times New Roman" w:hAnsi="Times New Roman" w:eastAsia="仿宋" w:cs="Times New Roman"/>
          <w:szCs w:val="21"/>
        </w:rPr>
      </w:pPr>
    </w:p>
    <w:tbl>
      <w:tblPr>
        <w:tblStyle w:val="20"/>
        <w:tblW w:w="14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851"/>
        <w:gridCol w:w="425"/>
        <w:gridCol w:w="423"/>
        <w:gridCol w:w="711"/>
        <w:gridCol w:w="709"/>
        <w:gridCol w:w="945"/>
        <w:gridCol w:w="1071"/>
        <w:gridCol w:w="1740"/>
        <w:gridCol w:w="1487"/>
        <w:gridCol w:w="2426"/>
        <w:gridCol w:w="2101"/>
      </w:tblGrid>
      <w:tr w14:paraId="67AF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0" w:type="dxa"/>
            <w:vMerge w:val="restart"/>
            <w:vAlign w:val="center"/>
          </w:tcPr>
          <w:p w14:paraId="0A5AFD6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51" w:type="dxa"/>
            <w:vMerge w:val="restart"/>
            <w:vAlign w:val="center"/>
          </w:tcPr>
          <w:p w14:paraId="701E979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559" w:type="dxa"/>
            <w:gridSpan w:val="3"/>
            <w:vAlign w:val="center"/>
          </w:tcPr>
          <w:p w14:paraId="29508A0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1FB030E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5" w:type="dxa"/>
            <w:vMerge w:val="restart"/>
            <w:vAlign w:val="center"/>
          </w:tcPr>
          <w:p w14:paraId="3E5487B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71" w:type="dxa"/>
            <w:vMerge w:val="restart"/>
            <w:vAlign w:val="center"/>
          </w:tcPr>
          <w:p w14:paraId="2921D63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40" w:type="dxa"/>
            <w:vMerge w:val="restart"/>
            <w:vAlign w:val="center"/>
          </w:tcPr>
          <w:p w14:paraId="281546FF">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913" w:type="dxa"/>
            <w:gridSpan w:val="2"/>
            <w:vMerge w:val="restart"/>
            <w:vAlign w:val="center"/>
          </w:tcPr>
          <w:p w14:paraId="4AD05B5C">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01" w:type="dxa"/>
            <w:vMerge w:val="restart"/>
            <w:vAlign w:val="center"/>
          </w:tcPr>
          <w:p w14:paraId="07EDFA9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005D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200" w:type="dxa"/>
            <w:vMerge w:val="continue"/>
            <w:vAlign w:val="center"/>
          </w:tcPr>
          <w:p w14:paraId="73F6CE2F">
            <w:pPr>
              <w:widowControl/>
              <w:jc w:val="left"/>
              <w:rPr>
                <w:rFonts w:ascii="Times New Roman" w:hAnsi="Times New Roman" w:eastAsia="仿宋" w:cs="Times New Roman"/>
                <w:b/>
                <w:kern w:val="0"/>
                <w:szCs w:val="21"/>
              </w:rPr>
            </w:pPr>
          </w:p>
        </w:tc>
        <w:tc>
          <w:tcPr>
            <w:tcW w:w="851" w:type="dxa"/>
            <w:vMerge w:val="continue"/>
            <w:vAlign w:val="center"/>
          </w:tcPr>
          <w:p w14:paraId="01B34816">
            <w:pPr>
              <w:widowControl/>
              <w:jc w:val="left"/>
              <w:rPr>
                <w:rFonts w:ascii="Times New Roman" w:hAnsi="Times New Roman" w:eastAsia="仿宋" w:cs="Times New Roman"/>
                <w:b/>
                <w:kern w:val="0"/>
                <w:szCs w:val="21"/>
              </w:rPr>
            </w:pPr>
          </w:p>
        </w:tc>
        <w:tc>
          <w:tcPr>
            <w:tcW w:w="425" w:type="dxa"/>
            <w:vAlign w:val="center"/>
          </w:tcPr>
          <w:p w14:paraId="3C541D7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3" w:type="dxa"/>
            <w:vAlign w:val="center"/>
          </w:tcPr>
          <w:p w14:paraId="213AE74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11" w:type="dxa"/>
            <w:vAlign w:val="center"/>
          </w:tcPr>
          <w:p w14:paraId="04339A6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44C50F08">
            <w:pPr>
              <w:widowControl/>
              <w:jc w:val="left"/>
              <w:rPr>
                <w:rFonts w:ascii="Times New Roman" w:hAnsi="Times New Roman" w:eastAsia="仿宋" w:cs="Times New Roman"/>
                <w:b/>
                <w:kern w:val="0"/>
                <w:szCs w:val="21"/>
              </w:rPr>
            </w:pPr>
          </w:p>
        </w:tc>
        <w:tc>
          <w:tcPr>
            <w:tcW w:w="945" w:type="dxa"/>
            <w:vMerge w:val="continue"/>
            <w:vAlign w:val="center"/>
          </w:tcPr>
          <w:p w14:paraId="2365B56A">
            <w:pPr>
              <w:widowControl/>
              <w:jc w:val="left"/>
              <w:rPr>
                <w:rFonts w:ascii="Times New Roman" w:hAnsi="Times New Roman" w:eastAsia="仿宋" w:cs="Times New Roman"/>
                <w:b/>
                <w:kern w:val="0"/>
                <w:szCs w:val="21"/>
              </w:rPr>
            </w:pPr>
          </w:p>
        </w:tc>
        <w:tc>
          <w:tcPr>
            <w:tcW w:w="1071" w:type="dxa"/>
            <w:vMerge w:val="continue"/>
            <w:vAlign w:val="center"/>
          </w:tcPr>
          <w:p w14:paraId="735014AF">
            <w:pPr>
              <w:widowControl/>
              <w:jc w:val="left"/>
              <w:rPr>
                <w:rFonts w:ascii="Times New Roman" w:hAnsi="Times New Roman" w:eastAsia="仿宋" w:cs="Times New Roman"/>
                <w:b/>
                <w:kern w:val="0"/>
                <w:szCs w:val="21"/>
              </w:rPr>
            </w:pPr>
          </w:p>
        </w:tc>
        <w:tc>
          <w:tcPr>
            <w:tcW w:w="1740" w:type="dxa"/>
            <w:vMerge w:val="continue"/>
            <w:vAlign w:val="center"/>
          </w:tcPr>
          <w:p w14:paraId="2DBD2CBE">
            <w:pPr>
              <w:widowControl/>
              <w:jc w:val="left"/>
              <w:rPr>
                <w:rFonts w:ascii="Times New Roman" w:hAnsi="Times New Roman" w:eastAsia="仿宋" w:cs="Times New Roman"/>
                <w:b/>
                <w:kern w:val="0"/>
                <w:szCs w:val="21"/>
              </w:rPr>
            </w:pPr>
          </w:p>
        </w:tc>
        <w:tc>
          <w:tcPr>
            <w:tcW w:w="3913" w:type="dxa"/>
            <w:gridSpan w:val="2"/>
            <w:vMerge w:val="continue"/>
            <w:vAlign w:val="center"/>
          </w:tcPr>
          <w:p w14:paraId="66972541">
            <w:pPr>
              <w:widowControl/>
              <w:jc w:val="left"/>
              <w:rPr>
                <w:rFonts w:ascii="Times New Roman" w:hAnsi="Times New Roman" w:eastAsia="仿宋" w:cs="Times New Roman"/>
                <w:b/>
                <w:kern w:val="0"/>
                <w:szCs w:val="21"/>
              </w:rPr>
            </w:pPr>
          </w:p>
        </w:tc>
        <w:tc>
          <w:tcPr>
            <w:tcW w:w="2101" w:type="dxa"/>
            <w:vMerge w:val="continue"/>
            <w:vAlign w:val="center"/>
          </w:tcPr>
          <w:p w14:paraId="3E13EED7">
            <w:pPr>
              <w:widowControl/>
              <w:jc w:val="left"/>
              <w:rPr>
                <w:rFonts w:ascii="Times New Roman" w:hAnsi="Times New Roman" w:eastAsia="仿宋" w:cs="Times New Roman"/>
                <w:b/>
                <w:kern w:val="0"/>
                <w:szCs w:val="21"/>
              </w:rPr>
            </w:pPr>
          </w:p>
        </w:tc>
      </w:tr>
      <w:tr w14:paraId="10C1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00" w:type="dxa"/>
            <w:vAlign w:val="center"/>
          </w:tcPr>
          <w:p w14:paraId="20BDCF89">
            <w:pPr>
              <w:widowControl/>
              <w:jc w:val="center"/>
              <w:rPr>
                <w:rFonts w:ascii="Times New Roman" w:hAnsi="Times New Roman" w:eastAsia="仿宋" w:cs="Times New Roman"/>
                <w:kern w:val="0"/>
                <w:szCs w:val="21"/>
              </w:rPr>
            </w:pPr>
            <w:r>
              <w:rPr>
                <w:rFonts w:ascii="Times New Roman" w:hAnsi="Times New Roman" w:eastAsia="仿宋" w:cs="Times New Roman"/>
                <w:szCs w:val="21"/>
              </w:rPr>
              <w:t>ZH43112910004</w:t>
            </w:r>
          </w:p>
        </w:tc>
        <w:tc>
          <w:tcPr>
            <w:tcW w:w="851" w:type="dxa"/>
            <w:vAlign w:val="center"/>
          </w:tcPr>
          <w:p w14:paraId="1003E813">
            <w:pPr>
              <w:widowControl/>
              <w:jc w:val="center"/>
              <w:rPr>
                <w:rFonts w:ascii="Times New Roman" w:hAnsi="Times New Roman" w:eastAsia="仿宋" w:cs="Times New Roman"/>
                <w:kern w:val="0"/>
                <w:szCs w:val="21"/>
              </w:rPr>
            </w:pPr>
            <w:r>
              <w:rPr>
                <w:rFonts w:ascii="Times New Roman" w:hAnsi="Times New Roman" w:eastAsia="仿宋" w:cs="Times New Roman"/>
                <w:szCs w:val="21"/>
              </w:rPr>
              <w:t>湘江乡</w:t>
            </w:r>
          </w:p>
        </w:tc>
        <w:tc>
          <w:tcPr>
            <w:tcW w:w="425" w:type="dxa"/>
            <w:vAlign w:val="center"/>
          </w:tcPr>
          <w:p w14:paraId="70D2E27F">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3" w:type="dxa"/>
            <w:vAlign w:val="center"/>
          </w:tcPr>
          <w:p w14:paraId="27EA9B0C">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11" w:type="dxa"/>
            <w:vAlign w:val="center"/>
          </w:tcPr>
          <w:p w14:paraId="647D82F5">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709" w:type="dxa"/>
            <w:vAlign w:val="center"/>
          </w:tcPr>
          <w:p w14:paraId="6EC1246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优先保护单元</w:t>
            </w:r>
          </w:p>
        </w:tc>
        <w:tc>
          <w:tcPr>
            <w:tcW w:w="945" w:type="dxa"/>
            <w:vAlign w:val="center"/>
          </w:tcPr>
          <w:p w14:paraId="562A03A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224.45</w:t>
            </w:r>
          </w:p>
        </w:tc>
        <w:tc>
          <w:tcPr>
            <w:tcW w:w="1071" w:type="dxa"/>
            <w:vAlign w:val="center"/>
          </w:tcPr>
          <w:p w14:paraId="5BA054D5">
            <w:pPr>
              <w:widowControl/>
              <w:jc w:val="left"/>
              <w:rPr>
                <w:rFonts w:ascii="Times New Roman" w:hAnsi="Times New Roman" w:eastAsia="仿宋" w:cs="Times New Roman"/>
                <w:kern w:val="0"/>
                <w:szCs w:val="21"/>
              </w:rPr>
            </w:pPr>
            <w:r>
              <w:rPr>
                <w:rFonts w:ascii="Times New Roman" w:hAnsi="Times New Roman" w:eastAsia="仿宋" w:cs="Times New Roman"/>
                <w:szCs w:val="21"/>
              </w:rPr>
              <w:t>湘江乡</w:t>
            </w:r>
          </w:p>
        </w:tc>
        <w:tc>
          <w:tcPr>
            <w:tcW w:w="1740" w:type="dxa"/>
            <w:vAlign w:val="center"/>
          </w:tcPr>
          <w:p w14:paraId="6B30BAA6">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重点生态功能区</w:t>
            </w:r>
          </w:p>
        </w:tc>
        <w:tc>
          <w:tcPr>
            <w:tcW w:w="3913" w:type="dxa"/>
            <w:gridSpan w:val="2"/>
            <w:vAlign w:val="center"/>
          </w:tcPr>
          <w:p w14:paraId="7462BA8D">
            <w:pPr>
              <w:widowControl/>
              <w:rPr>
                <w:rFonts w:ascii="Times New Roman" w:hAnsi="Times New Roman" w:eastAsia="仿宋" w:cs="Times New Roman"/>
                <w:szCs w:val="21"/>
              </w:rPr>
            </w:pPr>
            <w:r>
              <w:rPr>
                <w:rFonts w:ascii="Times New Roman" w:hAnsi="Times New Roman" w:eastAsia="仿宋" w:cs="Times New Roman"/>
                <w:szCs w:val="21"/>
              </w:rPr>
              <w:t>生态文化旅游，农林产品深加工，水电开发，采矿业，低污染、低排放、来料组装等劳动密集型小微企业。</w:t>
            </w:r>
          </w:p>
        </w:tc>
        <w:tc>
          <w:tcPr>
            <w:tcW w:w="2101" w:type="dxa"/>
            <w:vAlign w:val="center"/>
          </w:tcPr>
          <w:p w14:paraId="2947A513">
            <w:pPr>
              <w:widowControl/>
              <w:rPr>
                <w:rFonts w:ascii="Times New Roman" w:hAnsi="Times New Roman" w:eastAsia="仿宋" w:cs="Times New Roman"/>
                <w:b/>
                <w:szCs w:val="21"/>
              </w:rPr>
            </w:pPr>
            <w:r>
              <w:rPr>
                <w:rFonts w:ascii="Times New Roman" w:hAnsi="Times New Roman" w:eastAsia="仿宋" w:cs="Times New Roman"/>
                <w:b/>
                <w:szCs w:val="21"/>
              </w:rPr>
              <w:t>环境问题：</w:t>
            </w:r>
          </w:p>
          <w:p w14:paraId="31FB367E">
            <w:pPr>
              <w:widowControl/>
              <w:rPr>
                <w:rFonts w:ascii="Times New Roman" w:hAnsi="Times New Roman" w:eastAsia="仿宋" w:cs="Times New Roman"/>
                <w:szCs w:val="21"/>
              </w:rPr>
            </w:pPr>
            <w:r>
              <w:rPr>
                <w:rFonts w:ascii="Times New Roman" w:hAnsi="Times New Roman" w:eastAsia="仿宋" w:cs="Times New Roman"/>
                <w:szCs w:val="21"/>
              </w:rPr>
              <w:t>无</w:t>
            </w:r>
            <w:r>
              <w:rPr>
                <w:rFonts w:ascii="Times New Roman" w:hAnsi="Times New Roman" w:eastAsia="仿宋" w:cs="Times New Roman"/>
                <w:kern w:val="0"/>
                <w:szCs w:val="21"/>
              </w:rPr>
              <w:t>明显</w:t>
            </w:r>
            <w:r>
              <w:rPr>
                <w:rFonts w:ascii="Times New Roman" w:hAnsi="Times New Roman" w:eastAsia="仿宋" w:cs="Times New Roman"/>
                <w:szCs w:val="21"/>
              </w:rPr>
              <w:t>环境问题。</w:t>
            </w:r>
          </w:p>
          <w:p w14:paraId="7CFD038B">
            <w:pPr>
              <w:widowControl/>
              <w:rPr>
                <w:rFonts w:ascii="Times New Roman" w:hAnsi="Times New Roman" w:eastAsia="仿宋" w:cs="Times New Roman"/>
                <w:szCs w:val="21"/>
              </w:rPr>
            </w:pPr>
            <w:r>
              <w:rPr>
                <w:rFonts w:ascii="Times New Roman" w:hAnsi="Times New Roman" w:eastAsia="仿宋" w:cs="Times New Roman"/>
                <w:b/>
                <w:szCs w:val="21"/>
              </w:rPr>
              <w:t>环保目标</w:t>
            </w:r>
            <w:r>
              <w:rPr>
                <w:rFonts w:ascii="Times New Roman" w:hAnsi="Times New Roman" w:eastAsia="仿宋" w:cs="Times New Roman"/>
                <w:szCs w:val="21"/>
              </w:rPr>
              <w:t>：</w:t>
            </w:r>
          </w:p>
          <w:p w14:paraId="00825DD5">
            <w:pPr>
              <w:widowControl/>
              <w:rPr>
                <w:rFonts w:ascii="Times New Roman" w:hAnsi="Times New Roman" w:eastAsia="仿宋" w:cs="Times New Roman"/>
                <w:szCs w:val="21"/>
              </w:rPr>
            </w:pPr>
            <w:r>
              <w:rPr>
                <w:rFonts w:ascii="Times New Roman" w:hAnsi="Times New Roman" w:eastAsia="仿宋" w:cs="Times New Roman"/>
                <w:szCs w:val="21"/>
              </w:rPr>
              <w:t>姑婆山风景名胜区。</w:t>
            </w:r>
          </w:p>
        </w:tc>
      </w:tr>
      <w:tr w14:paraId="3DA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200" w:type="dxa"/>
            <w:vAlign w:val="center"/>
          </w:tcPr>
          <w:p w14:paraId="23CF448A">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89" w:type="dxa"/>
            <w:gridSpan w:val="11"/>
            <w:vAlign w:val="center"/>
          </w:tcPr>
          <w:p w14:paraId="0AD6B442">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森林公园/风景名胜区/三区三线生态红线/原生态红线/水土流失敏感区/生物多样性保护功能重要区）；水环境一般管控区；大气环境优先保护区/大气环境受体敏感重点管控区；农用地优先保护区/一般管控区</w:t>
            </w:r>
          </w:p>
        </w:tc>
      </w:tr>
      <w:tr w14:paraId="18CB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0" w:type="dxa"/>
            <w:vAlign w:val="center"/>
          </w:tcPr>
          <w:p w14:paraId="35205D2D">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8362" w:type="dxa"/>
            <w:gridSpan w:val="9"/>
            <w:vAlign w:val="center"/>
          </w:tcPr>
          <w:p w14:paraId="332AB362">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4527" w:type="dxa"/>
            <w:gridSpan w:val="2"/>
            <w:vAlign w:val="center"/>
          </w:tcPr>
          <w:p w14:paraId="6D172E52">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1992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200" w:type="dxa"/>
            <w:vAlign w:val="center"/>
          </w:tcPr>
          <w:p w14:paraId="0F76BF4D">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8362" w:type="dxa"/>
            <w:gridSpan w:val="9"/>
            <w:vAlign w:val="center"/>
          </w:tcPr>
          <w:p w14:paraId="49728B8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（1.1）姑婆山风景名胜区开发建设应当符合《国家风景名胜区管理条例》。</w:t>
            </w:r>
          </w:p>
          <w:p w14:paraId="42DD1966">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（1.2）</w:t>
            </w:r>
            <w:r>
              <w:rPr>
                <w:rFonts w:ascii="Times New Roman" w:hAnsi="Times New Roman" w:eastAsia="仿宋" w:cs="Times New Roman"/>
                <w:kern w:val="0"/>
                <w:szCs w:val="21"/>
              </w:rPr>
              <w:t>畜禽养殖产业布局应符合</w:t>
            </w:r>
            <w:r>
              <w:rPr>
                <w:rFonts w:ascii="Times New Roman" w:hAnsi="Times New Roman" w:eastAsia="仿宋" w:cs="Times New Roman"/>
                <w:szCs w:val="21"/>
              </w:rPr>
              <w:t>《江华瑶族自治县畜禽规模养殖“三区”划定方案》。合理规划水产养殖布局和规模，禁止湖库投肥养鱼。</w:t>
            </w:r>
          </w:p>
          <w:p w14:paraId="30356EA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（1.3）封山育林期间，封山育林区域内禁止砍伐、移植树木，禁止烧炭、采脂、剥皮、挖根等毁林行为，禁止开垦、取土、采石及其他破坏林地行为。</w:t>
            </w:r>
          </w:p>
          <w:p w14:paraId="5876E71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（1.4）生态保护区按照生态保护红线的相关管理规则进行管控。</w:t>
            </w:r>
          </w:p>
        </w:tc>
        <w:tc>
          <w:tcPr>
            <w:tcW w:w="4527" w:type="dxa"/>
            <w:gridSpan w:val="2"/>
            <w:vMerge w:val="restart"/>
            <w:vAlign w:val="center"/>
          </w:tcPr>
          <w:p w14:paraId="79E5B707">
            <w:pPr>
              <w:tabs>
                <w:tab w:val="left" w:pos="1021"/>
              </w:tabs>
              <w:rPr>
                <w:rFonts w:ascii="Times New Roman" w:hAnsi="Times New Roman" w:eastAsia="仿宋" w:cs="Times New Roman"/>
                <w:szCs w:val="21"/>
              </w:rPr>
            </w:pPr>
            <w:r>
              <w:rPr>
                <w:rFonts w:ascii="Times New Roman" w:hAnsi="Times New Roman" w:eastAsia="仿宋" w:cs="Times New Roman"/>
                <w:szCs w:val="21"/>
              </w:rPr>
              <w:t>（1.1）《国家风景名胜区管理条例》；</w:t>
            </w:r>
          </w:p>
          <w:p w14:paraId="0F50D40F">
            <w:pPr>
              <w:tabs>
                <w:tab w:val="left" w:pos="1021"/>
              </w:tabs>
              <w:rPr>
                <w:rFonts w:ascii="Times New Roman" w:hAnsi="Times New Roman" w:eastAsia="仿宋" w:cs="Times New Roman"/>
                <w:szCs w:val="21"/>
              </w:rPr>
            </w:pPr>
            <w:r>
              <w:rPr>
                <w:rFonts w:ascii="Times New Roman" w:hAnsi="Times New Roman" w:eastAsia="仿宋" w:cs="Times New Roman"/>
                <w:szCs w:val="21"/>
              </w:rPr>
              <w:t>（1.2）《江华瑶族自治县畜禽规模养殖“三区”划定方案》（江华县政府2019年12月）；</w:t>
            </w:r>
          </w:p>
          <w:p w14:paraId="7DD90602">
            <w:pPr>
              <w:tabs>
                <w:tab w:val="left" w:pos="1021"/>
              </w:tabs>
              <w:rPr>
                <w:rFonts w:ascii="Times New Roman" w:hAnsi="Times New Roman" w:eastAsia="仿宋" w:cs="Times New Roman"/>
                <w:szCs w:val="21"/>
              </w:rPr>
            </w:pPr>
            <w:r>
              <w:rPr>
                <w:rFonts w:ascii="Times New Roman" w:hAnsi="Times New Roman" w:eastAsia="仿宋" w:cs="Times New Roman"/>
                <w:szCs w:val="21"/>
              </w:rPr>
              <w:t>（1.3）《江华瑶族自治县生态环境保护条例》；</w:t>
            </w:r>
          </w:p>
          <w:p w14:paraId="414FFCFE">
            <w:pPr>
              <w:tabs>
                <w:tab w:val="left" w:pos="1021"/>
              </w:tabs>
              <w:rPr>
                <w:rFonts w:ascii="Times New Roman" w:hAnsi="Times New Roman" w:eastAsia="仿宋" w:cs="Times New Roman"/>
                <w:szCs w:val="21"/>
              </w:rPr>
            </w:pPr>
            <w:r>
              <w:rPr>
                <w:rFonts w:ascii="Times New Roman" w:hAnsi="Times New Roman" w:eastAsia="仿宋" w:cs="Times New Roman"/>
                <w:szCs w:val="21"/>
              </w:rPr>
              <w:t>（1.4）《江华瑶族自治县国土空间总体规划（2021-2035年）》；</w:t>
            </w:r>
          </w:p>
          <w:p w14:paraId="13DE73E2">
            <w:pPr>
              <w:tabs>
                <w:tab w:val="left" w:pos="1021"/>
              </w:tabs>
              <w:rPr>
                <w:rFonts w:ascii="Times New Roman" w:hAnsi="Times New Roman" w:eastAsia="仿宋" w:cs="Times New Roman"/>
                <w:szCs w:val="21"/>
              </w:rPr>
            </w:pPr>
            <w:r>
              <w:rPr>
                <w:rFonts w:ascii="Times New Roman" w:hAnsi="Times New Roman" w:eastAsia="仿宋" w:cs="Times New Roman"/>
                <w:szCs w:val="21"/>
              </w:rPr>
              <w:t>（2.1）《江华瑶族自治县2023 年生态环境保护工作要点》（江生环委办发〔2023〕4号）；</w:t>
            </w:r>
          </w:p>
          <w:p w14:paraId="073C57A7">
            <w:pPr>
              <w:tabs>
                <w:tab w:val="left" w:pos="1021"/>
              </w:tabs>
              <w:rPr>
                <w:rFonts w:ascii="Times New Roman" w:hAnsi="Times New Roman" w:eastAsia="仿宋" w:cs="Times New Roman"/>
                <w:szCs w:val="21"/>
              </w:rPr>
            </w:pPr>
            <w:r>
              <w:rPr>
                <w:rFonts w:ascii="Times New Roman" w:hAnsi="Times New Roman" w:eastAsia="仿宋" w:cs="Times New Roman"/>
                <w:szCs w:val="21"/>
              </w:rPr>
              <w:t>（2.2.1）（2.2.2）《江华瑶族自治县大气污染防治攻坚行动计划 （2023-2025年）》（江生环委办发〔2023〕2号）；</w:t>
            </w:r>
          </w:p>
          <w:p w14:paraId="0F870045">
            <w:pPr>
              <w:tabs>
                <w:tab w:val="left" w:pos="1021"/>
              </w:tabs>
              <w:rPr>
                <w:rFonts w:ascii="Times New Roman" w:hAnsi="Times New Roman" w:eastAsia="仿宋" w:cs="Times New Roman"/>
                <w:szCs w:val="21"/>
              </w:rPr>
            </w:pPr>
            <w:r>
              <w:rPr>
                <w:rFonts w:ascii="Times New Roman" w:hAnsi="Times New Roman" w:eastAsia="仿宋" w:cs="Times New Roman"/>
                <w:szCs w:val="21"/>
              </w:rPr>
              <w:t>（2.3）《江华瑶族自治县生态环境保护条例》；</w:t>
            </w:r>
          </w:p>
          <w:p w14:paraId="0460ED15">
            <w:pPr>
              <w:tabs>
                <w:tab w:val="left" w:pos="1021"/>
              </w:tabs>
              <w:rPr>
                <w:rFonts w:ascii="Times New Roman" w:hAnsi="Times New Roman" w:eastAsia="仿宋" w:cs="Times New Roman"/>
                <w:szCs w:val="21"/>
              </w:rPr>
            </w:pPr>
            <w:r>
              <w:rPr>
                <w:rFonts w:ascii="Times New Roman" w:hAnsi="Times New Roman" w:eastAsia="仿宋" w:cs="Times New Roman"/>
                <w:szCs w:val="21"/>
              </w:rPr>
              <w:t>（3.1）《江华瑶族自治县重污染天气应急预案》（江政办发〔2024〕1号）；</w:t>
            </w:r>
          </w:p>
          <w:p w14:paraId="5E7451C9">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（3.2）《江华瑶族自治县生态环境保护条例》；</w:t>
            </w:r>
          </w:p>
          <w:p w14:paraId="3C82EEAB">
            <w:pPr>
              <w:tabs>
                <w:tab w:val="left" w:pos="1021"/>
              </w:tabs>
              <w:rPr>
                <w:rFonts w:ascii="Times New Roman" w:hAnsi="Times New Roman" w:eastAsia="仿宋" w:cs="Times New Roman"/>
                <w:szCs w:val="21"/>
              </w:rPr>
            </w:pPr>
            <w:r>
              <w:rPr>
                <w:rFonts w:ascii="Times New Roman" w:hAnsi="Times New Roman" w:eastAsia="仿宋" w:cs="Times New Roman"/>
                <w:szCs w:val="21"/>
              </w:rPr>
              <w:t>（4.1）《江华瑶族自治县国土空间总体规划（2021-2035年）》；</w:t>
            </w:r>
          </w:p>
          <w:p w14:paraId="48ED3E10">
            <w:pPr>
              <w:adjustRightInd w:val="0"/>
              <w:snapToGrid w:val="0"/>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7F7660F7">
            <w:pPr>
              <w:adjustRightInd w:val="0"/>
              <w:snapToGrid w:val="0"/>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2836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jc w:val="center"/>
        </w:trPr>
        <w:tc>
          <w:tcPr>
            <w:tcW w:w="1200" w:type="dxa"/>
            <w:vAlign w:val="center"/>
          </w:tcPr>
          <w:p w14:paraId="4C4133B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8362" w:type="dxa"/>
            <w:gridSpan w:val="9"/>
            <w:vAlign w:val="center"/>
          </w:tcPr>
          <w:p w14:paraId="355ECFF8">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（2.1）</w:t>
            </w:r>
            <w:r>
              <w:rPr>
                <w:rFonts w:ascii="Times New Roman" w:hAnsi="Times New Roman" w:eastAsia="仿宋" w:cs="Times New Roman"/>
                <w:b/>
                <w:bCs/>
                <w:kern w:val="0"/>
                <w:szCs w:val="21"/>
              </w:rPr>
              <w:t>废水</w:t>
            </w:r>
            <w:r>
              <w:rPr>
                <w:rFonts w:ascii="Times New Roman" w:hAnsi="Times New Roman" w:eastAsia="仿宋" w:cs="Times New Roman"/>
                <w:b/>
                <w:bCs/>
                <w:szCs w:val="21"/>
              </w:rPr>
              <w:t>：</w:t>
            </w:r>
            <w:r>
              <w:rPr>
                <w:rFonts w:ascii="Times New Roman" w:hAnsi="Times New Roman" w:eastAsia="仿宋" w:cs="Times New Roman"/>
                <w:kern w:val="0"/>
                <w:szCs w:val="21"/>
              </w:rPr>
              <w:t>加强城市污水收集管网建设和改造，推进乡镇污水处理设施正常运行。</w:t>
            </w:r>
          </w:p>
          <w:p w14:paraId="3EA81906">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（2.2）</w:t>
            </w:r>
            <w:r>
              <w:rPr>
                <w:rFonts w:ascii="Times New Roman" w:hAnsi="Times New Roman" w:eastAsia="仿宋" w:cs="Times New Roman"/>
                <w:b/>
                <w:bCs/>
                <w:kern w:val="0"/>
                <w:szCs w:val="21"/>
              </w:rPr>
              <w:t>废气：</w:t>
            </w:r>
          </w:p>
          <w:p w14:paraId="2C08D5BA">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（2.2.1）按要求严格管控露天烧烤、烟气直排以及焚烧垃圾树叶。</w:t>
            </w:r>
          </w:p>
          <w:p w14:paraId="71115C7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（2.2.2）强化施工建筑扬尘及道路扬尘污染控制。</w:t>
            </w:r>
          </w:p>
          <w:p w14:paraId="5E7BF88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（2.3）</w:t>
            </w:r>
            <w:r>
              <w:rPr>
                <w:rFonts w:ascii="Times New Roman" w:hAnsi="Times New Roman" w:eastAsia="仿宋" w:cs="Times New Roman"/>
                <w:b/>
                <w:bCs/>
                <w:kern w:val="0"/>
                <w:szCs w:val="21"/>
              </w:rPr>
              <w:t>固体废物</w:t>
            </w:r>
            <w:r>
              <w:rPr>
                <w:rFonts w:ascii="Times New Roman" w:hAnsi="Times New Roman" w:eastAsia="仿宋" w:cs="Times New Roman"/>
                <w:b/>
                <w:bCs/>
                <w:szCs w:val="21"/>
              </w:rPr>
              <w:t>：</w:t>
            </w:r>
            <w:r>
              <w:rPr>
                <w:rFonts w:ascii="Times New Roman" w:hAnsi="Times New Roman" w:eastAsia="仿宋" w:cs="Times New Roman"/>
                <w:szCs w:val="21"/>
              </w:rPr>
              <w:t>统筹建设城乡垃圾分类、收集、贮存、运输、利用、处置设施；逐步完善分类投放、分类收集、分类运输、分类处理的垃圾处理系统，提高垃圾减量化、资源化、无害化水平；城乡垃圾必须堆放在指定的回收点。禁止擅自倾倒、堆放、丢弃、遗撒、填埋垃圾污染环境的行为。</w:t>
            </w:r>
          </w:p>
        </w:tc>
        <w:tc>
          <w:tcPr>
            <w:tcW w:w="4527" w:type="dxa"/>
            <w:gridSpan w:val="2"/>
            <w:vMerge w:val="continue"/>
            <w:vAlign w:val="center"/>
          </w:tcPr>
          <w:p w14:paraId="56BCA4FD">
            <w:pPr>
              <w:widowControl/>
              <w:jc w:val="left"/>
              <w:rPr>
                <w:rFonts w:ascii="Times New Roman" w:hAnsi="Times New Roman" w:eastAsia="仿宋" w:cs="Times New Roman"/>
                <w:szCs w:val="21"/>
              </w:rPr>
            </w:pPr>
          </w:p>
        </w:tc>
      </w:tr>
      <w:tr w14:paraId="03B7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00" w:type="dxa"/>
            <w:vAlign w:val="center"/>
          </w:tcPr>
          <w:p w14:paraId="07684A51">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8362" w:type="dxa"/>
            <w:gridSpan w:val="9"/>
            <w:vAlign w:val="center"/>
          </w:tcPr>
          <w:p w14:paraId="20D8E8CF">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（3.1）强化本行政区域内的重污染天气应对工作，积极采取应对措施，减少重污染天气影响。</w:t>
            </w:r>
          </w:p>
          <w:p w14:paraId="78AAE0A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（3.2）</w:t>
            </w:r>
            <w:r>
              <w:rPr>
                <w:rFonts w:ascii="Times New Roman" w:hAnsi="Times New Roman" w:eastAsia="仿宋" w:cs="Times New Roman"/>
                <w:szCs w:val="21"/>
                <w:lang w:val="zh-CN" w:bidi="ar"/>
              </w:rPr>
              <w:t>加强乡镇集中饮用水源地风险防控，确保水源地水质安全。</w:t>
            </w:r>
          </w:p>
        </w:tc>
        <w:tc>
          <w:tcPr>
            <w:tcW w:w="4527" w:type="dxa"/>
            <w:gridSpan w:val="2"/>
            <w:vMerge w:val="continue"/>
            <w:vAlign w:val="center"/>
          </w:tcPr>
          <w:p w14:paraId="68897833">
            <w:pPr>
              <w:widowControl/>
              <w:jc w:val="left"/>
              <w:rPr>
                <w:rFonts w:ascii="Times New Roman" w:hAnsi="Times New Roman" w:eastAsia="仿宋" w:cs="Times New Roman"/>
                <w:szCs w:val="21"/>
              </w:rPr>
            </w:pPr>
          </w:p>
        </w:tc>
      </w:tr>
      <w:tr w14:paraId="786E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00" w:type="dxa"/>
            <w:vAlign w:val="center"/>
          </w:tcPr>
          <w:p w14:paraId="00160D76">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8362" w:type="dxa"/>
            <w:gridSpan w:val="9"/>
            <w:vAlign w:val="center"/>
          </w:tcPr>
          <w:p w14:paraId="6E7054A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7691793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积极开发水能、风能、太阳能、生物质能等可再生能源，使可再生能源在电力一次能源结构中的占比不低于50%。</w:t>
            </w:r>
          </w:p>
          <w:p w14:paraId="5804770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1E8DFD4">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79C12B8D">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0739112C">
            <w:pPr>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4527" w:type="dxa"/>
            <w:gridSpan w:val="2"/>
            <w:vMerge w:val="continue"/>
            <w:vAlign w:val="center"/>
          </w:tcPr>
          <w:p w14:paraId="2178A07B">
            <w:pPr>
              <w:widowControl/>
              <w:jc w:val="left"/>
              <w:rPr>
                <w:rFonts w:ascii="Times New Roman" w:hAnsi="Times New Roman" w:eastAsia="仿宋" w:cs="Times New Roman"/>
                <w:szCs w:val="21"/>
              </w:rPr>
            </w:pPr>
          </w:p>
        </w:tc>
      </w:tr>
    </w:tbl>
    <w:p w14:paraId="09A28E33">
      <w:pPr>
        <w:rPr>
          <w:rFonts w:ascii="Times New Roman" w:hAnsi="Times New Roman" w:eastAsia="仿宋" w:cs="Times New Roman"/>
          <w:szCs w:val="21"/>
        </w:rPr>
      </w:pPr>
    </w:p>
    <w:p w14:paraId="4E1528F8">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3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833"/>
        <w:gridCol w:w="416"/>
        <w:gridCol w:w="470"/>
        <w:gridCol w:w="1134"/>
        <w:gridCol w:w="1036"/>
        <w:gridCol w:w="1080"/>
        <w:gridCol w:w="819"/>
        <w:gridCol w:w="1318"/>
        <w:gridCol w:w="283"/>
        <w:gridCol w:w="3267"/>
        <w:gridCol w:w="2181"/>
      </w:tblGrid>
      <w:tr w14:paraId="33AA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11" w:type="dxa"/>
            <w:vMerge w:val="restart"/>
            <w:vAlign w:val="center"/>
          </w:tcPr>
          <w:p w14:paraId="047BFE2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833" w:type="dxa"/>
            <w:vMerge w:val="restart"/>
            <w:vAlign w:val="center"/>
          </w:tcPr>
          <w:p w14:paraId="57A21D2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2020" w:type="dxa"/>
            <w:gridSpan w:val="3"/>
            <w:vAlign w:val="center"/>
          </w:tcPr>
          <w:p w14:paraId="59A244B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1036" w:type="dxa"/>
            <w:vMerge w:val="restart"/>
            <w:vAlign w:val="center"/>
          </w:tcPr>
          <w:p w14:paraId="0109FBD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080" w:type="dxa"/>
            <w:vMerge w:val="restart"/>
            <w:vAlign w:val="center"/>
          </w:tcPr>
          <w:p w14:paraId="3DBC808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819" w:type="dxa"/>
            <w:vMerge w:val="restart"/>
            <w:vAlign w:val="center"/>
          </w:tcPr>
          <w:p w14:paraId="07FD2B0E">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318" w:type="dxa"/>
            <w:vMerge w:val="restart"/>
            <w:vAlign w:val="center"/>
          </w:tcPr>
          <w:p w14:paraId="1066C114">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550" w:type="dxa"/>
            <w:gridSpan w:val="2"/>
            <w:vMerge w:val="restart"/>
            <w:vAlign w:val="center"/>
          </w:tcPr>
          <w:p w14:paraId="1E6342D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181" w:type="dxa"/>
            <w:vMerge w:val="restart"/>
            <w:vAlign w:val="center"/>
          </w:tcPr>
          <w:p w14:paraId="02CF66F1">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r>
              <w:rPr>
                <w:rFonts w:hint="eastAsia" w:ascii="宋体" w:hAnsi="宋体" w:eastAsia="宋体" w:cs="宋体"/>
                <w:b/>
                <w:kern w:val="0"/>
                <w:szCs w:val="21"/>
                <w:vertAlign w:val="superscript"/>
              </w:rPr>
              <w:t>①</w:t>
            </w:r>
          </w:p>
        </w:tc>
      </w:tr>
      <w:tr w14:paraId="1717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111" w:type="dxa"/>
            <w:vMerge w:val="continue"/>
            <w:vAlign w:val="center"/>
          </w:tcPr>
          <w:p w14:paraId="63314D9A">
            <w:pPr>
              <w:widowControl/>
              <w:jc w:val="left"/>
              <w:rPr>
                <w:rFonts w:ascii="Times New Roman" w:hAnsi="Times New Roman" w:eastAsia="仿宋" w:cs="Times New Roman"/>
                <w:b/>
                <w:kern w:val="0"/>
                <w:szCs w:val="21"/>
              </w:rPr>
            </w:pPr>
          </w:p>
        </w:tc>
        <w:tc>
          <w:tcPr>
            <w:tcW w:w="833" w:type="dxa"/>
            <w:vMerge w:val="continue"/>
            <w:vAlign w:val="center"/>
          </w:tcPr>
          <w:p w14:paraId="554ED10E">
            <w:pPr>
              <w:widowControl/>
              <w:jc w:val="left"/>
              <w:rPr>
                <w:rFonts w:ascii="Times New Roman" w:hAnsi="Times New Roman" w:eastAsia="仿宋" w:cs="Times New Roman"/>
                <w:b/>
                <w:kern w:val="0"/>
                <w:szCs w:val="21"/>
              </w:rPr>
            </w:pPr>
          </w:p>
        </w:tc>
        <w:tc>
          <w:tcPr>
            <w:tcW w:w="416" w:type="dxa"/>
            <w:vAlign w:val="center"/>
          </w:tcPr>
          <w:p w14:paraId="4C071AD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70" w:type="dxa"/>
            <w:vAlign w:val="center"/>
          </w:tcPr>
          <w:p w14:paraId="746596A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1134" w:type="dxa"/>
            <w:vAlign w:val="center"/>
          </w:tcPr>
          <w:p w14:paraId="7EF99D14">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1036" w:type="dxa"/>
            <w:vMerge w:val="continue"/>
            <w:vAlign w:val="center"/>
          </w:tcPr>
          <w:p w14:paraId="15FCF531">
            <w:pPr>
              <w:widowControl/>
              <w:jc w:val="left"/>
              <w:rPr>
                <w:rFonts w:ascii="Times New Roman" w:hAnsi="Times New Roman" w:eastAsia="仿宋" w:cs="Times New Roman"/>
                <w:b/>
                <w:kern w:val="0"/>
                <w:szCs w:val="21"/>
              </w:rPr>
            </w:pPr>
          </w:p>
        </w:tc>
        <w:tc>
          <w:tcPr>
            <w:tcW w:w="1080" w:type="dxa"/>
            <w:vMerge w:val="continue"/>
            <w:vAlign w:val="center"/>
          </w:tcPr>
          <w:p w14:paraId="7AEA7706">
            <w:pPr>
              <w:widowControl/>
              <w:jc w:val="left"/>
              <w:rPr>
                <w:rFonts w:ascii="Times New Roman" w:hAnsi="Times New Roman" w:eastAsia="仿宋" w:cs="Times New Roman"/>
                <w:b/>
                <w:kern w:val="0"/>
                <w:szCs w:val="21"/>
              </w:rPr>
            </w:pPr>
          </w:p>
        </w:tc>
        <w:tc>
          <w:tcPr>
            <w:tcW w:w="819" w:type="dxa"/>
            <w:vMerge w:val="continue"/>
            <w:vAlign w:val="center"/>
          </w:tcPr>
          <w:p w14:paraId="756CB610">
            <w:pPr>
              <w:widowControl/>
              <w:jc w:val="left"/>
              <w:rPr>
                <w:rFonts w:ascii="Times New Roman" w:hAnsi="Times New Roman" w:eastAsia="仿宋" w:cs="Times New Roman"/>
                <w:b/>
                <w:kern w:val="0"/>
                <w:szCs w:val="21"/>
              </w:rPr>
            </w:pPr>
          </w:p>
        </w:tc>
        <w:tc>
          <w:tcPr>
            <w:tcW w:w="1318" w:type="dxa"/>
            <w:vMerge w:val="continue"/>
            <w:vAlign w:val="center"/>
          </w:tcPr>
          <w:p w14:paraId="37E5ADB3">
            <w:pPr>
              <w:widowControl/>
              <w:jc w:val="left"/>
              <w:rPr>
                <w:rFonts w:ascii="Times New Roman" w:hAnsi="Times New Roman" w:eastAsia="仿宋" w:cs="Times New Roman"/>
                <w:b/>
                <w:kern w:val="0"/>
                <w:szCs w:val="21"/>
              </w:rPr>
            </w:pPr>
          </w:p>
        </w:tc>
        <w:tc>
          <w:tcPr>
            <w:tcW w:w="3550" w:type="dxa"/>
            <w:gridSpan w:val="2"/>
            <w:vMerge w:val="continue"/>
            <w:vAlign w:val="center"/>
          </w:tcPr>
          <w:p w14:paraId="4028FCD2">
            <w:pPr>
              <w:widowControl/>
              <w:jc w:val="left"/>
              <w:rPr>
                <w:rFonts w:ascii="Times New Roman" w:hAnsi="Times New Roman" w:eastAsia="仿宋" w:cs="Times New Roman"/>
                <w:b/>
                <w:kern w:val="0"/>
                <w:szCs w:val="21"/>
              </w:rPr>
            </w:pPr>
          </w:p>
        </w:tc>
        <w:tc>
          <w:tcPr>
            <w:tcW w:w="2181" w:type="dxa"/>
            <w:vMerge w:val="continue"/>
            <w:vAlign w:val="center"/>
          </w:tcPr>
          <w:p w14:paraId="3EB1ADFF">
            <w:pPr>
              <w:widowControl/>
              <w:jc w:val="left"/>
              <w:rPr>
                <w:rFonts w:ascii="Times New Roman" w:hAnsi="Times New Roman" w:eastAsia="仿宋" w:cs="Times New Roman"/>
                <w:b/>
                <w:kern w:val="0"/>
                <w:szCs w:val="21"/>
              </w:rPr>
            </w:pPr>
          </w:p>
        </w:tc>
      </w:tr>
      <w:tr w14:paraId="3330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1111" w:type="dxa"/>
            <w:vAlign w:val="center"/>
          </w:tcPr>
          <w:p w14:paraId="521CE965">
            <w:pPr>
              <w:widowControl/>
              <w:jc w:val="center"/>
              <w:rPr>
                <w:rFonts w:ascii="Times New Roman" w:hAnsi="Times New Roman" w:eastAsia="仿宋" w:cs="Times New Roman"/>
                <w:kern w:val="0"/>
                <w:szCs w:val="21"/>
              </w:rPr>
            </w:pPr>
            <w:bookmarkStart w:id="92" w:name="_Hlk58581187"/>
            <w:r>
              <w:rPr>
                <w:rFonts w:ascii="Times New Roman" w:hAnsi="Times New Roman" w:eastAsia="仿宋" w:cs="Times New Roman"/>
                <w:kern w:val="0"/>
                <w:szCs w:val="21"/>
              </w:rPr>
              <w:t>ZH43112920001</w:t>
            </w:r>
            <w:bookmarkEnd w:id="92"/>
          </w:p>
        </w:tc>
        <w:tc>
          <w:tcPr>
            <w:tcW w:w="833" w:type="dxa"/>
            <w:vAlign w:val="center"/>
          </w:tcPr>
          <w:p w14:paraId="36BB145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沱江镇</w:t>
            </w:r>
          </w:p>
        </w:tc>
        <w:tc>
          <w:tcPr>
            <w:tcW w:w="416" w:type="dxa"/>
            <w:vAlign w:val="center"/>
          </w:tcPr>
          <w:p w14:paraId="4E3BB2EB">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70" w:type="dxa"/>
            <w:vAlign w:val="center"/>
          </w:tcPr>
          <w:p w14:paraId="14C13345">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1134" w:type="dxa"/>
            <w:vAlign w:val="center"/>
          </w:tcPr>
          <w:p w14:paraId="12186F75">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1036" w:type="dxa"/>
            <w:vAlign w:val="center"/>
          </w:tcPr>
          <w:p w14:paraId="75414A37">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重点管控单元</w:t>
            </w:r>
          </w:p>
        </w:tc>
        <w:tc>
          <w:tcPr>
            <w:tcW w:w="1080" w:type="dxa"/>
            <w:vAlign w:val="center"/>
          </w:tcPr>
          <w:p w14:paraId="774D96B0">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136.84</w:t>
            </w:r>
          </w:p>
        </w:tc>
        <w:tc>
          <w:tcPr>
            <w:tcW w:w="819" w:type="dxa"/>
            <w:vAlign w:val="center"/>
          </w:tcPr>
          <w:p w14:paraId="519307DC">
            <w:pPr>
              <w:widowControl/>
              <w:jc w:val="center"/>
              <w:rPr>
                <w:rFonts w:ascii="Times New Roman" w:hAnsi="Times New Roman" w:eastAsia="仿宋" w:cs="Times New Roman"/>
                <w:kern w:val="0"/>
                <w:szCs w:val="21"/>
              </w:rPr>
            </w:pPr>
            <w:r>
              <w:rPr>
                <w:rFonts w:ascii="Times New Roman" w:hAnsi="Times New Roman" w:eastAsia="仿宋" w:cs="Times New Roman"/>
                <w:szCs w:val="21"/>
              </w:rPr>
              <w:t>沱江</w:t>
            </w:r>
            <w:r>
              <w:rPr>
                <w:rFonts w:ascii="Times New Roman" w:hAnsi="Times New Roman" w:eastAsia="仿宋" w:cs="Times New Roman"/>
                <w:kern w:val="0"/>
                <w:szCs w:val="21"/>
              </w:rPr>
              <w:t>镇</w:t>
            </w:r>
          </w:p>
        </w:tc>
        <w:tc>
          <w:tcPr>
            <w:tcW w:w="1318" w:type="dxa"/>
            <w:vAlign w:val="center"/>
          </w:tcPr>
          <w:p w14:paraId="51605AA0">
            <w:pPr>
              <w:widowControl/>
              <w:jc w:val="center"/>
              <w:rPr>
                <w:rFonts w:ascii="Times New Roman" w:hAnsi="Times New Roman" w:eastAsia="仿宋" w:cs="Times New Roman"/>
                <w:kern w:val="0"/>
                <w:szCs w:val="21"/>
              </w:rPr>
            </w:pPr>
          </w:p>
          <w:p w14:paraId="2A2AD289">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城市化地区/历史文化资源富集区</w:t>
            </w:r>
          </w:p>
        </w:tc>
        <w:tc>
          <w:tcPr>
            <w:tcW w:w="3550" w:type="dxa"/>
            <w:gridSpan w:val="2"/>
            <w:vAlign w:val="center"/>
          </w:tcPr>
          <w:p w14:paraId="784AFB72">
            <w:pPr>
              <w:widowControl/>
              <w:rPr>
                <w:rFonts w:ascii="Times New Roman" w:hAnsi="Times New Roman" w:eastAsia="仿宋" w:cs="Times New Roman"/>
                <w:kern w:val="0"/>
                <w:szCs w:val="21"/>
              </w:rPr>
            </w:pPr>
            <w:r>
              <w:rPr>
                <w:rFonts w:ascii="Times New Roman" w:hAnsi="Times New Roman" w:eastAsia="仿宋" w:cs="Times New Roman"/>
                <w:kern w:val="0"/>
                <w:szCs w:val="21"/>
              </w:rPr>
              <w:t>城镇工贸发展区，以江华高新技术产业开发区发展布局为依托，现代物流、生态旅游等产业。农业以种植业、养殖业为主。</w:t>
            </w:r>
          </w:p>
        </w:tc>
        <w:tc>
          <w:tcPr>
            <w:tcW w:w="2181" w:type="dxa"/>
            <w:vAlign w:val="center"/>
          </w:tcPr>
          <w:p w14:paraId="5A9CD731">
            <w:pPr>
              <w:widowControl/>
              <w:rPr>
                <w:rFonts w:ascii="Times New Roman" w:hAnsi="Times New Roman" w:eastAsia="仿宋" w:cs="Times New Roman"/>
                <w:b/>
                <w:szCs w:val="21"/>
              </w:rPr>
            </w:pPr>
            <w:r>
              <w:rPr>
                <w:rFonts w:ascii="Times New Roman" w:hAnsi="Times New Roman" w:eastAsia="仿宋" w:cs="Times New Roman"/>
                <w:b/>
                <w:szCs w:val="21"/>
              </w:rPr>
              <w:t>环境问题：</w:t>
            </w:r>
          </w:p>
          <w:p w14:paraId="61B59445">
            <w:pPr>
              <w:widowControl/>
              <w:rPr>
                <w:rFonts w:ascii="Times New Roman" w:hAnsi="Times New Roman" w:eastAsia="仿宋" w:cs="Times New Roman"/>
                <w:szCs w:val="21"/>
              </w:rPr>
            </w:pPr>
            <w:r>
              <w:rPr>
                <w:rFonts w:ascii="Times New Roman" w:hAnsi="Times New Roman" w:eastAsia="仿宋" w:cs="Times New Roman"/>
                <w:szCs w:val="21"/>
              </w:rPr>
              <w:t>无</w:t>
            </w:r>
            <w:r>
              <w:rPr>
                <w:rFonts w:ascii="Times New Roman" w:hAnsi="Times New Roman" w:eastAsia="仿宋" w:cs="Times New Roman"/>
                <w:kern w:val="0"/>
                <w:szCs w:val="21"/>
              </w:rPr>
              <w:t>明显</w:t>
            </w:r>
            <w:r>
              <w:rPr>
                <w:rFonts w:ascii="Times New Roman" w:hAnsi="Times New Roman" w:eastAsia="仿宋" w:cs="Times New Roman"/>
                <w:szCs w:val="21"/>
              </w:rPr>
              <w:t>环境问题。</w:t>
            </w:r>
          </w:p>
          <w:p w14:paraId="5E233BD1">
            <w:pPr>
              <w:widowControl/>
              <w:rPr>
                <w:rFonts w:ascii="Times New Roman" w:hAnsi="Times New Roman" w:eastAsia="仿宋" w:cs="Times New Roman"/>
                <w:b/>
                <w:szCs w:val="21"/>
              </w:rPr>
            </w:pPr>
            <w:r>
              <w:rPr>
                <w:rFonts w:ascii="Times New Roman" w:hAnsi="Times New Roman" w:eastAsia="仿宋" w:cs="Times New Roman"/>
                <w:b/>
                <w:szCs w:val="21"/>
              </w:rPr>
              <w:t>环保目标：</w:t>
            </w:r>
          </w:p>
          <w:p w14:paraId="4B3EC8E2">
            <w:pPr>
              <w:widowControl/>
              <w:jc w:val="left"/>
              <w:rPr>
                <w:rFonts w:ascii="Times New Roman" w:hAnsi="Times New Roman" w:eastAsia="仿宋" w:cs="Times New Roman"/>
                <w:strike/>
                <w:kern w:val="0"/>
                <w:szCs w:val="21"/>
              </w:rPr>
            </w:pPr>
            <w:r>
              <w:rPr>
                <w:rFonts w:ascii="Times New Roman" w:hAnsi="Times New Roman" w:eastAsia="仿宋" w:cs="Times New Roman"/>
                <w:kern w:val="0"/>
                <w:szCs w:val="21"/>
              </w:rPr>
              <w:t>湖南江华涔天河国家湿地公园。</w:t>
            </w:r>
          </w:p>
        </w:tc>
      </w:tr>
      <w:tr w14:paraId="3164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111" w:type="dxa"/>
            <w:vAlign w:val="center"/>
          </w:tcPr>
          <w:p w14:paraId="3E93ADEE">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37" w:type="dxa"/>
            <w:gridSpan w:val="11"/>
            <w:vAlign w:val="center"/>
          </w:tcPr>
          <w:p w14:paraId="065C8F3D">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生物多样性保护功能重要区/水土保持功能重要区/水土流失敏感区/湿地公园/原生态红线/石漠化敏感区）；水环境优先保护区/水环境工业污染重点管控区/水环境其他重点管控区/水环境城镇生活污染重点管控区/水环境一般管控区；大气环境优先保护区/大气环境高排放重点管控区/大气环境受体敏感重点管控区；农用地优先保护区/农用地重点管控区/建设用地重点管控区/其他重点管控区/一般管控区</w:t>
            </w:r>
          </w:p>
        </w:tc>
      </w:tr>
      <w:tr w14:paraId="33A6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11" w:type="dxa"/>
            <w:vAlign w:val="center"/>
          </w:tcPr>
          <w:p w14:paraId="2CF93DD8">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389" w:type="dxa"/>
            <w:gridSpan w:val="9"/>
            <w:vAlign w:val="center"/>
          </w:tcPr>
          <w:p w14:paraId="6FF95B34">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448" w:type="dxa"/>
            <w:gridSpan w:val="2"/>
            <w:vAlign w:val="center"/>
          </w:tcPr>
          <w:p w14:paraId="44663D75">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58BB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111" w:type="dxa"/>
            <w:vAlign w:val="center"/>
          </w:tcPr>
          <w:p w14:paraId="7FD5AB5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389" w:type="dxa"/>
            <w:gridSpan w:val="9"/>
            <w:vAlign w:val="center"/>
          </w:tcPr>
          <w:p w14:paraId="419BADE5">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（1.1）畜禽养殖产业布局应符合</w:t>
            </w:r>
            <w:r>
              <w:rPr>
                <w:rFonts w:ascii="Times New Roman" w:hAnsi="Times New Roman" w:eastAsia="仿宋" w:cs="Times New Roman"/>
                <w:szCs w:val="21"/>
              </w:rPr>
              <w:t>《江华瑶族自治县畜禽规模养殖“三区”划定方案》。合理规划水产养殖布局和规模，禁止湖库投肥养鱼。</w:t>
            </w:r>
          </w:p>
          <w:p w14:paraId="4A4984BD">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（1.2）生态保护区按照生态保护红线的相关管理规则进行管控。</w:t>
            </w:r>
          </w:p>
        </w:tc>
        <w:tc>
          <w:tcPr>
            <w:tcW w:w="5448" w:type="dxa"/>
            <w:gridSpan w:val="2"/>
            <w:vMerge w:val="restart"/>
            <w:vAlign w:val="center"/>
          </w:tcPr>
          <w:p w14:paraId="02C28496">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（1.1）</w:t>
            </w:r>
            <w:r>
              <w:rPr>
                <w:rFonts w:ascii="Times New Roman" w:hAnsi="Times New Roman" w:eastAsia="仿宋" w:cs="Times New Roman"/>
                <w:szCs w:val="21"/>
              </w:rPr>
              <w:t>《江华瑶族自治县畜禽规模养殖“三区”划定方案》（江华县政府2019年12月）；</w:t>
            </w:r>
          </w:p>
          <w:p w14:paraId="3D49FB04">
            <w:pPr>
              <w:tabs>
                <w:tab w:val="left" w:pos="1021"/>
              </w:tabs>
              <w:rPr>
                <w:rFonts w:ascii="Times New Roman" w:hAnsi="Times New Roman" w:eastAsia="仿宋" w:cs="Times New Roman"/>
                <w:szCs w:val="21"/>
              </w:rPr>
            </w:pPr>
            <w:r>
              <w:rPr>
                <w:rFonts w:ascii="Times New Roman" w:hAnsi="Times New Roman" w:eastAsia="仿宋" w:cs="Times New Roman"/>
                <w:szCs w:val="21"/>
              </w:rPr>
              <w:t>（1.2）《江华瑶族自治县国土空间总体规划（2021-2035年）》；</w:t>
            </w:r>
          </w:p>
          <w:p w14:paraId="2642D278">
            <w:pPr>
              <w:tabs>
                <w:tab w:val="left" w:pos="1021"/>
              </w:tabs>
              <w:rPr>
                <w:rFonts w:ascii="Times New Roman" w:hAnsi="Times New Roman" w:eastAsia="仿宋" w:cs="Times New Roman"/>
                <w:szCs w:val="21"/>
              </w:rPr>
            </w:pPr>
            <w:r>
              <w:rPr>
                <w:rFonts w:ascii="Times New Roman" w:hAnsi="Times New Roman" w:eastAsia="仿宋" w:cs="Times New Roman"/>
                <w:szCs w:val="21"/>
              </w:rPr>
              <w:t>（2.1）《江华瑶族自治县2023 年生态环境保护工作要点》（江生环委办发〔2023〕4号）；</w:t>
            </w:r>
          </w:p>
          <w:p w14:paraId="2F822FE8">
            <w:pPr>
              <w:tabs>
                <w:tab w:val="left" w:pos="1021"/>
              </w:tabs>
              <w:rPr>
                <w:rFonts w:ascii="Times New Roman" w:hAnsi="Times New Roman" w:eastAsia="仿宋" w:cs="Times New Roman"/>
                <w:szCs w:val="21"/>
              </w:rPr>
            </w:pPr>
            <w:r>
              <w:rPr>
                <w:rFonts w:ascii="Times New Roman" w:hAnsi="Times New Roman" w:eastAsia="仿宋" w:cs="Times New Roman"/>
                <w:szCs w:val="21"/>
              </w:rPr>
              <w:t>（2.2.1）（2.2.2）（2.2.3）《江华瑶族自治县大气污染防治攻坚行动计划 （2023-2025年）》（江生环委办发〔2023〕2号）；</w:t>
            </w:r>
          </w:p>
          <w:p w14:paraId="5EFDBE77">
            <w:pPr>
              <w:tabs>
                <w:tab w:val="left" w:pos="1021"/>
              </w:tabs>
              <w:rPr>
                <w:rFonts w:ascii="Times New Roman" w:hAnsi="Times New Roman" w:eastAsia="仿宋" w:cs="Times New Roman"/>
                <w:szCs w:val="21"/>
              </w:rPr>
            </w:pPr>
            <w:r>
              <w:rPr>
                <w:rFonts w:ascii="Times New Roman" w:hAnsi="Times New Roman" w:eastAsia="仿宋" w:cs="Times New Roman"/>
                <w:szCs w:val="21"/>
              </w:rPr>
              <w:t>（2.3）《江华瑶族自治县生态环境保护条例》；</w:t>
            </w:r>
          </w:p>
          <w:p w14:paraId="4E31895F">
            <w:pPr>
              <w:tabs>
                <w:tab w:val="left" w:pos="1021"/>
              </w:tabs>
              <w:rPr>
                <w:rFonts w:ascii="Times New Roman" w:hAnsi="Times New Roman" w:eastAsia="仿宋" w:cs="Times New Roman"/>
                <w:szCs w:val="21"/>
              </w:rPr>
            </w:pPr>
            <w:r>
              <w:rPr>
                <w:rFonts w:ascii="Times New Roman" w:hAnsi="Times New Roman" w:eastAsia="仿宋" w:cs="Times New Roman"/>
                <w:szCs w:val="21"/>
              </w:rPr>
              <w:t>（3.1）（4.1）《江华瑶族自治县重污染天气应急预案》（江政办发〔2024〕1号）；</w:t>
            </w:r>
          </w:p>
          <w:p w14:paraId="4CCBA609">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（3.2）《江华瑶族自治县生态环境保护条例》；</w:t>
            </w:r>
          </w:p>
          <w:p w14:paraId="16E2F415">
            <w:pPr>
              <w:adjustRightInd w:val="0"/>
              <w:snapToGrid w:val="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5CB54EDF">
            <w:pPr>
              <w:tabs>
                <w:tab w:val="left" w:pos="1021"/>
              </w:tabs>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02A0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111" w:type="dxa"/>
            <w:vAlign w:val="center"/>
          </w:tcPr>
          <w:p w14:paraId="38059B44">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389" w:type="dxa"/>
            <w:gridSpan w:val="9"/>
            <w:vAlign w:val="center"/>
          </w:tcPr>
          <w:p w14:paraId="5725587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（2.1）废水：</w:t>
            </w:r>
            <w:r>
              <w:rPr>
                <w:rFonts w:ascii="Times New Roman" w:hAnsi="Times New Roman" w:eastAsia="仿宋" w:cs="Times New Roman"/>
                <w:kern w:val="0"/>
                <w:szCs w:val="21"/>
              </w:rPr>
              <w:t>加强城市污水收集管网建设和改造，推进乡镇污水处理设施正常运行，规范工业园区污水收集处理环境管理。</w:t>
            </w:r>
            <w:r>
              <w:rPr>
                <w:rFonts w:ascii="Times New Roman" w:hAnsi="Times New Roman" w:eastAsia="仿宋" w:cs="Times New Roman"/>
                <w:szCs w:val="21"/>
              </w:rPr>
              <w:t>强化县城生活污水处理厂以及工业园区依托污水处理厂日常运维和监管工作，确保水质长期、稳定达标排放。通过对湖库集雨范围内工业污染、生活污染和农业面源污染治理，减少入湖库污染物，确保水质稳定达到水功能区环境质量标准。</w:t>
            </w:r>
          </w:p>
          <w:p w14:paraId="5E28A7B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（2.2）废气</w:t>
            </w:r>
          </w:p>
          <w:p w14:paraId="62C5CB5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（2.2.1）按要求严格管控露天烧烤、烟气直排以及焚烧垃圾树叶。</w:t>
            </w:r>
          </w:p>
          <w:p w14:paraId="2DF4CD87">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（2.2.2）加强餐饮业油烟污染治理，全面推行燃煤炉灶改用清洁能源，餐饮服务经营场所应安装高效油烟净化装置。</w:t>
            </w:r>
          </w:p>
          <w:p w14:paraId="77CE7B0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（2.2.3）城市规划区禁止建设建筑砖瓦企业，城市规划区外予以保留或建设的砖瓦厂全面配套除尘设施，各类砂石开采场、搅拌站应建设扬尘等污染防治设施。</w:t>
            </w:r>
          </w:p>
          <w:p w14:paraId="515B924E">
            <w:pPr>
              <w:tabs>
                <w:tab w:val="left" w:pos="1021"/>
              </w:tabs>
              <w:ind w:firstLine="420" w:firstLineChars="200"/>
              <w:rPr>
                <w:rFonts w:ascii="Times New Roman" w:hAnsi="Times New Roman" w:eastAsia="仿宋" w:cs="Times New Roman"/>
                <w:szCs w:val="21"/>
              </w:rPr>
            </w:pPr>
            <w:bookmarkStart w:id="93" w:name="_Hlk58581211"/>
            <w:r>
              <w:rPr>
                <w:rFonts w:ascii="Times New Roman" w:hAnsi="Times New Roman" w:eastAsia="仿宋" w:cs="Times New Roman"/>
                <w:szCs w:val="21"/>
              </w:rPr>
              <w:t>（2.3）固体废物</w:t>
            </w:r>
            <w:r>
              <w:rPr>
                <w:rFonts w:ascii="Times New Roman" w:hAnsi="Times New Roman" w:eastAsia="仿宋" w:cs="Times New Roman"/>
                <w:kern w:val="0"/>
                <w:szCs w:val="21"/>
              </w:rPr>
              <w:t>：逐步推行垃圾分类工作，做好生活垃圾的收集、转运和处置工作。</w:t>
            </w:r>
            <w:bookmarkEnd w:id="93"/>
          </w:p>
        </w:tc>
        <w:tc>
          <w:tcPr>
            <w:tcW w:w="5448" w:type="dxa"/>
            <w:gridSpan w:val="2"/>
            <w:vMerge w:val="continue"/>
            <w:vAlign w:val="center"/>
          </w:tcPr>
          <w:p w14:paraId="267B5F74">
            <w:pPr>
              <w:widowControl/>
              <w:jc w:val="left"/>
              <w:rPr>
                <w:rFonts w:ascii="Times New Roman" w:hAnsi="Times New Roman" w:eastAsia="仿宋" w:cs="Times New Roman"/>
                <w:szCs w:val="21"/>
              </w:rPr>
            </w:pPr>
          </w:p>
        </w:tc>
      </w:tr>
      <w:tr w14:paraId="7E11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11" w:type="dxa"/>
            <w:vAlign w:val="center"/>
          </w:tcPr>
          <w:p w14:paraId="01D0D1F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389" w:type="dxa"/>
            <w:gridSpan w:val="9"/>
            <w:vAlign w:val="center"/>
          </w:tcPr>
          <w:p w14:paraId="3A681DBB">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（3.1）</w:t>
            </w:r>
            <w:r>
              <w:rPr>
                <w:rFonts w:ascii="Times New Roman" w:hAnsi="Times New Roman" w:eastAsia="仿宋" w:cs="Times New Roman"/>
                <w:kern w:val="0"/>
                <w:szCs w:val="21"/>
              </w:rPr>
              <w:t>强化本行政区域内的重污染天气应对工作，积极采取应对措施，减少重污染天气影响。</w:t>
            </w:r>
          </w:p>
          <w:p w14:paraId="744F8DE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lang w:val="zh-CN" w:bidi="ar"/>
              </w:rPr>
              <w:t>（3.2）加强乡镇集中饮用水源地风险防控，确保水源地水质安全。</w:t>
            </w:r>
          </w:p>
        </w:tc>
        <w:tc>
          <w:tcPr>
            <w:tcW w:w="5448" w:type="dxa"/>
            <w:gridSpan w:val="2"/>
            <w:vMerge w:val="continue"/>
            <w:vAlign w:val="center"/>
          </w:tcPr>
          <w:p w14:paraId="7472058F">
            <w:pPr>
              <w:widowControl/>
              <w:jc w:val="left"/>
              <w:rPr>
                <w:rFonts w:ascii="Times New Roman" w:hAnsi="Times New Roman" w:eastAsia="仿宋" w:cs="Times New Roman"/>
                <w:szCs w:val="21"/>
              </w:rPr>
            </w:pPr>
          </w:p>
        </w:tc>
      </w:tr>
      <w:tr w14:paraId="48DB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111" w:type="dxa"/>
            <w:vAlign w:val="center"/>
          </w:tcPr>
          <w:p w14:paraId="187B8CB0">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389" w:type="dxa"/>
            <w:gridSpan w:val="9"/>
            <w:vAlign w:val="center"/>
          </w:tcPr>
          <w:p w14:paraId="56E04C51">
            <w:pPr>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368AEA0E">
            <w:pPr>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加快推进煤改气、煤改电，煤改清洁能源等工程实施。淘汰县城规划区10蒸吨及以下燃煤小锅炉，规划区内禁止新建10蒸吨及以下燃煤小锅炉。根据县城建成区发展实际，优化调整高污染燃料禁燃区范围。</w:t>
            </w:r>
          </w:p>
          <w:p w14:paraId="5157E85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12E6F6EC">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3204D17E">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5CA77149">
            <w:pPr>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5448" w:type="dxa"/>
            <w:gridSpan w:val="2"/>
            <w:vMerge w:val="continue"/>
            <w:vAlign w:val="center"/>
          </w:tcPr>
          <w:p w14:paraId="5BDABB1F">
            <w:pPr>
              <w:widowControl/>
              <w:jc w:val="left"/>
              <w:rPr>
                <w:rFonts w:ascii="Times New Roman" w:hAnsi="Times New Roman" w:eastAsia="仿宋" w:cs="Times New Roman"/>
                <w:szCs w:val="21"/>
              </w:rPr>
            </w:pPr>
          </w:p>
        </w:tc>
      </w:tr>
    </w:tbl>
    <w:p w14:paraId="08F66855">
      <w:pPr>
        <w:rPr>
          <w:rFonts w:ascii="Times New Roman" w:hAnsi="Times New Roman" w:eastAsia="仿宋" w:cs="Times New Roman"/>
          <w:szCs w:val="21"/>
        </w:rPr>
      </w:pPr>
    </w:p>
    <w:p w14:paraId="1F10CEBD">
      <w:pPr>
        <w:rPr>
          <w:rFonts w:ascii="Times New Roman" w:hAnsi="Times New Roman" w:eastAsia="仿宋" w:cs="Times New Roman"/>
          <w:szCs w:val="21"/>
        </w:rPr>
        <w:sectPr>
          <w:pgSz w:w="16838" w:h="11906" w:orient="landscape"/>
          <w:pgMar w:top="1800" w:right="1440" w:bottom="1800" w:left="1440" w:header="851" w:footer="992" w:gutter="0"/>
          <w:cols w:space="720" w:num="1"/>
          <w:docGrid w:type="lines" w:linePitch="312" w:charSpace="0"/>
        </w:sectPr>
      </w:pPr>
    </w:p>
    <w:tbl>
      <w:tblPr>
        <w:tblStyle w:val="20"/>
        <w:tblW w:w="14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699"/>
        <w:gridCol w:w="428"/>
        <w:gridCol w:w="538"/>
        <w:gridCol w:w="711"/>
        <w:gridCol w:w="709"/>
        <w:gridCol w:w="945"/>
        <w:gridCol w:w="1071"/>
        <w:gridCol w:w="1740"/>
        <w:gridCol w:w="851"/>
        <w:gridCol w:w="3437"/>
        <w:gridCol w:w="1726"/>
      </w:tblGrid>
      <w:tr w14:paraId="4EA2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34" w:type="dxa"/>
            <w:vMerge w:val="restart"/>
            <w:vAlign w:val="center"/>
          </w:tcPr>
          <w:p w14:paraId="50483CB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699" w:type="dxa"/>
            <w:vMerge w:val="restart"/>
            <w:vAlign w:val="center"/>
          </w:tcPr>
          <w:p w14:paraId="529CF49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677" w:type="dxa"/>
            <w:gridSpan w:val="3"/>
            <w:vAlign w:val="center"/>
          </w:tcPr>
          <w:p w14:paraId="4105E37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709" w:type="dxa"/>
            <w:vMerge w:val="restart"/>
            <w:vAlign w:val="center"/>
          </w:tcPr>
          <w:p w14:paraId="018D3F47">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945" w:type="dxa"/>
            <w:vMerge w:val="restart"/>
            <w:vAlign w:val="center"/>
          </w:tcPr>
          <w:p w14:paraId="3A7273C2">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071" w:type="dxa"/>
            <w:vMerge w:val="restart"/>
            <w:vAlign w:val="center"/>
          </w:tcPr>
          <w:p w14:paraId="53D4272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740" w:type="dxa"/>
            <w:vMerge w:val="restart"/>
            <w:vAlign w:val="center"/>
          </w:tcPr>
          <w:p w14:paraId="02A11A67">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4288" w:type="dxa"/>
            <w:gridSpan w:val="2"/>
            <w:vMerge w:val="restart"/>
            <w:vAlign w:val="center"/>
          </w:tcPr>
          <w:p w14:paraId="76BFC2EB">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1726" w:type="dxa"/>
            <w:vMerge w:val="restart"/>
            <w:vAlign w:val="center"/>
          </w:tcPr>
          <w:p w14:paraId="577A8759">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w:t>
            </w:r>
          </w:p>
        </w:tc>
      </w:tr>
      <w:tr w14:paraId="06CF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234" w:type="dxa"/>
            <w:vMerge w:val="continue"/>
            <w:vAlign w:val="center"/>
          </w:tcPr>
          <w:p w14:paraId="401A67C7">
            <w:pPr>
              <w:widowControl/>
              <w:jc w:val="left"/>
              <w:rPr>
                <w:rFonts w:ascii="Times New Roman" w:hAnsi="Times New Roman" w:eastAsia="仿宋" w:cs="Times New Roman"/>
                <w:b/>
                <w:kern w:val="0"/>
                <w:szCs w:val="21"/>
              </w:rPr>
            </w:pPr>
          </w:p>
        </w:tc>
        <w:tc>
          <w:tcPr>
            <w:tcW w:w="699" w:type="dxa"/>
            <w:vMerge w:val="continue"/>
            <w:vAlign w:val="center"/>
          </w:tcPr>
          <w:p w14:paraId="542C70B1">
            <w:pPr>
              <w:widowControl/>
              <w:jc w:val="left"/>
              <w:rPr>
                <w:rFonts w:ascii="Times New Roman" w:hAnsi="Times New Roman" w:eastAsia="仿宋" w:cs="Times New Roman"/>
                <w:b/>
                <w:kern w:val="0"/>
                <w:szCs w:val="21"/>
              </w:rPr>
            </w:pPr>
          </w:p>
        </w:tc>
        <w:tc>
          <w:tcPr>
            <w:tcW w:w="428" w:type="dxa"/>
            <w:vAlign w:val="center"/>
          </w:tcPr>
          <w:p w14:paraId="22E6CED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538" w:type="dxa"/>
            <w:vAlign w:val="center"/>
          </w:tcPr>
          <w:p w14:paraId="6E10AFFF">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711" w:type="dxa"/>
            <w:vAlign w:val="center"/>
          </w:tcPr>
          <w:p w14:paraId="4925817D">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709" w:type="dxa"/>
            <w:vMerge w:val="continue"/>
            <w:vAlign w:val="center"/>
          </w:tcPr>
          <w:p w14:paraId="77107D8F">
            <w:pPr>
              <w:widowControl/>
              <w:jc w:val="left"/>
              <w:rPr>
                <w:rFonts w:ascii="Times New Roman" w:hAnsi="Times New Roman" w:eastAsia="仿宋" w:cs="Times New Roman"/>
                <w:b/>
                <w:kern w:val="0"/>
                <w:szCs w:val="21"/>
              </w:rPr>
            </w:pPr>
          </w:p>
        </w:tc>
        <w:tc>
          <w:tcPr>
            <w:tcW w:w="945" w:type="dxa"/>
            <w:vMerge w:val="continue"/>
            <w:vAlign w:val="center"/>
          </w:tcPr>
          <w:p w14:paraId="3B04EF54">
            <w:pPr>
              <w:widowControl/>
              <w:jc w:val="left"/>
              <w:rPr>
                <w:rFonts w:ascii="Times New Roman" w:hAnsi="Times New Roman" w:eastAsia="仿宋" w:cs="Times New Roman"/>
                <w:b/>
                <w:kern w:val="0"/>
                <w:szCs w:val="21"/>
              </w:rPr>
            </w:pPr>
          </w:p>
        </w:tc>
        <w:tc>
          <w:tcPr>
            <w:tcW w:w="1071" w:type="dxa"/>
            <w:vMerge w:val="continue"/>
            <w:vAlign w:val="center"/>
          </w:tcPr>
          <w:p w14:paraId="3FB57F74">
            <w:pPr>
              <w:widowControl/>
              <w:jc w:val="left"/>
              <w:rPr>
                <w:rFonts w:ascii="Times New Roman" w:hAnsi="Times New Roman" w:eastAsia="仿宋" w:cs="Times New Roman"/>
                <w:b/>
                <w:kern w:val="0"/>
                <w:szCs w:val="21"/>
              </w:rPr>
            </w:pPr>
          </w:p>
        </w:tc>
        <w:tc>
          <w:tcPr>
            <w:tcW w:w="1740" w:type="dxa"/>
            <w:vMerge w:val="continue"/>
            <w:vAlign w:val="center"/>
          </w:tcPr>
          <w:p w14:paraId="0E52CB87">
            <w:pPr>
              <w:widowControl/>
              <w:jc w:val="left"/>
              <w:rPr>
                <w:rFonts w:ascii="Times New Roman" w:hAnsi="Times New Roman" w:eastAsia="仿宋" w:cs="Times New Roman"/>
                <w:b/>
                <w:kern w:val="0"/>
                <w:szCs w:val="21"/>
              </w:rPr>
            </w:pPr>
          </w:p>
        </w:tc>
        <w:tc>
          <w:tcPr>
            <w:tcW w:w="4288" w:type="dxa"/>
            <w:gridSpan w:val="2"/>
            <w:vMerge w:val="continue"/>
            <w:vAlign w:val="center"/>
          </w:tcPr>
          <w:p w14:paraId="742A7CF7">
            <w:pPr>
              <w:widowControl/>
              <w:jc w:val="left"/>
              <w:rPr>
                <w:rFonts w:ascii="Times New Roman" w:hAnsi="Times New Roman" w:eastAsia="仿宋" w:cs="Times New Roman"/>
                <w:b/>
                <w:kern w:val="0"/>
                <w:szCs w:val="21"/>
              </w:rPr>
            </w:pPr>
          </w:p>
        </w:tc>
        <w:tc>
          <w:tcPr>
            <w:tcW w:w="1726" w:type="dxa"/>
            <w:vMerge w:val="continue"/>
            <w:vAlign w:val="center"/>
          </w:tcPr>
          <w:p w14:paraId="08D71990">
            <w:pPr>
              <w:widowControl/>
              <w:jc w:val="left"/>
              <w:rPr>
                <w:rFonts w:ascii="Times New Roman" w:hAnsi="Times New Roman" w:eastAsia="仿宋" w:cs="Times New Roman"/>
                <w:b/>
                <w:kern w:val="0"/>
                <w:szCs w:val="21"/>
              </w:rPr>
            </w:pPr>
          </w:p>
        </w:tc>
      </w:tr>
      <w:tr w14:paraId="4419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34" w:type="dxa"/>
            <w:vAlign w:val="center"/>
          </w:tcPr>
          <w:p w14:paraId="0F72D7E7">
            <w:pPr>
              <w:widowControl/>
              <w:jc w:val="center"/>
              <w:rPr>
                <w:rFonts w:ascii="Times New Roman" w:hAnsi="Times New Roman" w:eastAsia="仿宋" w:cs="Times New Roman"/>
                <w:kern w:val="0"/>
                <w:szCs w:val="21"/>
              </w:rPr>
            </w:pPr>
            <w:bookmarkStart w:id="94" w:name="_Hlk58581316"/>
            <w:r>
              <w:rPr>
                <w:rFonts w:ascii="Times New Roman" w:hAnsi="Times New Roman" w:eastAsia="仿宋" w:cs="Times New Roman"/>
                <w:kern w:val="0"/>
                <w:szCs w:val="21"/>
              </w:rPr>
              <w:t>ZH43112930001</w:t>
            </w:r>
            <w:bookmarkEnd w:id="94"/>
          </w:p>
        </w:tc>
        <w:tc>
          <w:tcPr>
            <w:tcW w:w="699" w:type="dxa"/>
            <w:vAlign w:val="center"/>
          </w:tcPr>
          <w:p w14:paraId="7FA83B4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沱江镇/界牌乡</w:t>
            </w:r>
          </w:p>
        </w:tc>
        <w:tc>
          <w:tcPr>
            <w:tcW w:w="428" w:type="dxa"/>
            <w:vAlign w:val="center"/>
          </w:tcPr>
          <w:p w14:paraId="72250D2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538" w:type="dxa"/>
            <w:vAlign w:val="center"/>
          </w:tcPr>
          <w:p w14:paraId="53A3DA4B">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711" w:type="dxa"/>
            <w:vAlign w:val="center"/>
          </w:tcPr>
          <w:p w14:paraId="1DECECC5">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709" w:type="dxa"/>
            <w:vAlign w:val="center"/>
          </w:tcPr>
          <w:p w14:paraId="3DC32CE8">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945" w:type="dxa"/>
            <w:vAlign w:val="center"/>
          </w:tcPr>
          <w:p w14:paraId="7E51827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222.38</w:t>
            </w:r>
          </w:p>
        </w:tc>
        <w:tc>
          <w:tcPr>
            <w:tcW w:w="1071" w:type="dxa"/>
            <w:vAlign w:val="center"/>
          </w:tcPr>
          <w:p w14:paraId="2C6E53C4">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沱江镇/界牌乡</w:t>
            </w:r>
          </w:p>
        </w:tc>
        <w:tc>
          <w:tcPr>
            <w:tcW w:w="1740" w:type="dxa"/>
            <w:vAlign w:val="center"/>
          </w:tcPr>
          <w:p w14:paraId="685FAA70">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沱江镇：</w:t>
            </w:r>
            <w:r>
              <w:rPr>
                <w:rFonts w:ascii="Times New Roman" w:hAnsi="Times New Roman" w:eastAsia="仿宋" w:cs="Times New Roman"/>
                <w:kern w:val="0"/>
                <w:szCs w:val="21"/>
              </w:rPr>
              <w:t>城市化地区/历史文化资源富集区、高污染燃料禁燃区；</w:t>
            </w:r>
          </w:p>
          <w:p w14:paraId="4C8DDBE6">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界牌乡</w:t>
            </w:r>
            <w:r>
              <w:rPr>
                <w:rFonts w:ascii="Times New Roman" w:hAnsi="Times New Roman" w:eastAsia="仿宋" w:cs="Times New Roman"/>
                <w:szCs w:val="21"/>
              </w:rPr>
              <w:t>：</w:t>
            </w:r>
            <w:r>
              <w:rPr>
                <w:rFonts w:ascii="Times New Roman" w:hAnsi="Times New Roman" w:eastAsia="仿宋" w:cs="Times New Roman"/>
                <w:kern w:val="0"/>
                <w:szCs w:val="21"/>
              </w:rPr>
              <w:t>农产品主产区</w:t>
            </w:r>
          </w:p>
        </w:tc>
        <w:tc>
          <w:tcPr>
            <w:tcW w:w="4288" w:type="dxa"/>
            <w:gridSpan w:val="2"/>
            <w:vAlign w:val="center"/>
          </w:tcPr>
          <w:p w14:paraId="4591BA19">
            <w:pPr>
              <w:widowControl/>
              <w:rPr>
                <w:rFonts w:ascii="Times New Roman" w:hAnsi="Times New Roman" w:eastAsia="仿宋" w:cs="Times New Roman"/>
                <w:szCs w:val="21"/>
              </w:rPr>
            </w:pPr>
            <w:r>
              <w:rPr>
                <w:rFonts w:ascii="Times New Roman" w:hAnsi="Times New Roman" w:eastAsia="仿宋" w:cs="Times New Roman"/>
                <w:b/>
                <w:bCs/>
                <w:szCs w:val="21"/>
              </w:rPr>
              <w:t>沱江镇：</w:t>
            </w:r>
            <w:r>
              <w:rPr>
                <w:rFonts w:ascii="Times New Roman" w:hAnsi="Times New Roman" w:eastAsia="仿宋" w:cs="Times New Roman"/>
                <w:szCs w:val="21"/>
              </w:rPr>
              <w:t>种植业、养殖业、农林产品深加工、低污染、低排放、来料组装等劳动密集型小微企业。</w:t>
            </w:r>
          </w:p>
          <w:p w14:paraId="3E20F8ED">
            <w:pPr>
              <w:widowControl/>
              <w:rPr>
                <w:rFonts w:ascii="Times New Roman" w:hAnsi="Times New Roman" w:eastAsia="仿宋" w:cs="Times New Roman"/>
                <w:szCs w:val="21"/>
              </w:rPr>
            </w:pPr>
            <w:r>
              <w:rPr>
                <w:rFonts w:ascii="Times New Roman" w:hAnsi="Times New Roman" w:eastAsia="仿宋" w:cs="Times New Roman"/>
                <w:b/>
                <w:bCs/>
                <w:szCs w:val="21"/>
              </w:rPr>
              <w:t>界牌乡</w:t>
            </w:r>
            <w:r>
              <w:rPr>
                <w:rFonts w:ascii="Times New Roman" w:hAnsi="Times New Roman" w:eastAsia="仿宋" w:cs="Times New Roman"/>
                <w:szCs w:val="21"/>
              </w:rPr>
              <w:t>：农业、旅游业、养殖业、建材业、农林产品深加工、风电开发等；低污染的来料组装等劳动密集型小微企业。</w:t>
            </w:r>
          </w:p>
        </w:tc>
        <w:tc>
          <w:tcPr>
            <w:tcW w:w="1726" w:type="dxa"/>
            <w:vAlign w:val="center"/>
          </w:tcPr>
          <w:p w14:paraId="75543E24">
            <w:pPr>
              <w:widowControl/>
              <w:rPr>
                <w:rFonts w:ascii="Times New Roman" w:hAnsi="Times New Roman" w:eastAsia="仿宋" w:cs="Times New Roman"/>
                <w:b/>
                <w:szCs w:val="21"/>
              </w:rPr>
            </w:pPr>
            <w:r>
              <w:rPr>
                <w:rFonts w:ascii="Times New Roman" w:hAnsi="Times New Roman" w:eastAsia="仿宋" w:cs="Times New Roman"/>
                <w:b/>
                <w:szCs w:val="21"/>
              </w:rPr>
              <w:t>环境问题：</w:t>
            </w:r>
          </w:p>
          <w:p w14:paraId="28FF767B">
            <w:pPr>
              <w:widowControl/>
              <w:rPr>
                <w:rFonts w:ascii="Times New Roman" w:hAnsi="Times New Roman" w:eastAsia="仿宋" w:cs="Times New Roman"/>
                <w:szCs w:val="21"/>
              </w:rPr>
            </w:pPr>
            <w:r>
              <w:rPr>
                <w:rFonts w:ascii="Times New Roman" w:hAnsi="Times New Roman" w:eastAsia="仿宋" w:cs="Times New Roman"/>
                <w:szCs w:val="21"/>
              </w:rPr>
              <w:t>无</w:t>
            </w:r>
            <w:r>
              <w:rPr>
                <w:rFonts w:ascii="Times New Roman" w:hAnsi="Times New Roman" w:eastAsia="仿宋" w:cs="Times New Roman"/>
                <w:kern w:val="0"/>
                <w:szCs w:val="21"/>
              </w:rPr>
              <w:t>明显</w:t>
            </w:r>
            <w:r>
              <w:rPr>
                <w:rFonts w:ascii="Times New Roman" w:hAnsi="Times New Roman" w:eastAsia="仿宋" w:cs="Times New Roman"/>
                <w:szCs w:val="21"/>
              </w:rPr>
              <w:t>环境问题。</w:t>
            </w:r>
          </w:p>
          <w:p w14:paraId="7174C3C8">
            <w:pPr>
              <w:widowControl/>
              <w:rPr>
                <w:rFonts w:ascii="Times New Roman" w:hAnsi="Times New Roman" w:eastAsia="仿宋" w:cs="Times New Roman"/>
                <w:b/>
                <w:szCs w:val="21"/>
              </w:rPr>
            </w:pPr>
            <w:r>
              <w:rPr>
                <w:rFonts w:ascii="Times New Roman" w:hAnsi="Times New Roman" w:eastAsia="仿宋" w:cs="Times New Roman"/>
                <w:b/>
                <w:szCs w:val="21"/>
              </w:rPr>
              <w:t>环保目标：</w:t>
            </w:r>
          </w:p>
          <w:p w14:paraId="31015D7B">
            <w:pPr>
              <w:widowControl/>
              <w:rPr>
                <w:rFonts w:ascii="Times New Roman" w:hAnsi="Times New Roman" w:eastAsia="仿宋" w:cs="Times New Roman"/>
                <w:kern w:val="0"/>
                <w:szCs w:val="21"/>
              </w:rPr>
            </w:pPr>
            <w:r>
              <w:rPr>
                <w:rFonts w:ascii="Times New Roman" w:hAnsi="Times New Roman" w:eastAsia="仿宋" w:cs="Times New Roman"/>
                <w:kern w:val="0"/>
                <w:szCs w:val="21"/>
              </w:rPr>
              <w:t>湖南江华涔天河国家湿地公园。</w:t>
            </w:r>
          </w:p>
        </w:tc>
      </w:tr>
      <w:tr w14:paraId="469E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1234" w:type="dxa"/>
            <w:vAlign w:val="center"/>
          </w:tcPr>
          <w:p w14:paraId="5C1AEF5C">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855" w:type="dxa"/>
            <w:gridSpan w:val="11"/>
            <w:vAlign w:val="center"/>
          </w:tcPr>
          <w:p w14:paraId="6AFFCBCF">
            <w:pPr>
              <w:widowControl/>
              <w:rPr>
                <w:rFonts w:ascii="Times New Roman" w:hAnsi="Times New Roman" w:eastAsia="仿宋" w:cs="Times New Roman"/>
                <w:b/>
                <w:bCs/>
                <w:szCs w:val="21"/>
              </w:rPr>
            </w:pPr>
            <w:r>
              <w:rPr>
                <w:rFonts w:ascii="Times New Roman" w:hAnsi="Times New Roman" w:eastAsia="仿宋" w:cs="Times New Roman"/>
                <w:b/>
                <w:bCs/>
                <w:szCs w:val="21"/>
              </w:rPr>
              <w:t>沱江镇：</w:t>
            </w:r>
          </w:p>
          <w:p w14:paraId="3030FD49">
            <w:pPr>
              <w:widowControl/>
              <w:rPr>
                <w:rFonts w:ascii="Times New Roman" w:hAnsi="Times New Roman" w:eastAsia="仿宋" w:cs="Times New Roman"/>
                <w:szCs w:val="21"/>
              </w:rPr>
            </w:pPr>
            <w:r>
              <w:rPr>
                <w:rFonts w:ascii="Times New Roman" w:hAnsi="Times New Roman" w:eastAsia="仿宋" w:cs="Times New Roman"/>
                <w:kern w:val="0"/>
                <w:szCs w:val="21"/>
              </w:rPr>
              <w:t>红线/一般生态空间（水源涵养重要区/生物多样性保护功能重要区/水土保持功能重要区/水土流失敏感区/湿地公园/原生态红线/石漠化敏感区）；水环境优先保护区/水环境工业污染重点管控区/水环境其他重点管控区/水环境城镇生活污染重点管控区/水环境一般管控区；大气环境优先保护区/大气环境高排放重点管控区/大气环境受体敏感重点管控区；农用地优先保护区/农用地重点管控区/建设用地重点管控区/其他重点管控区/一般管控区</w:t>
            </w:r>
          </w:p>
          <w:p w14:paraId="3C27B41B">
            <w:pPr>
              <w:widowControl/>
              <w:rPr>
                <w:rFonts w:ascii="Times New Roman" w:hAnsi="Times New Roman" w:eastAsia="仿宋" w:cs="Times New Roman"/>
                <w:kern w:val="0"/>
                <w:szCs w:val="21"/>
              </w:rPr>
            </w:pPr>
            <w:r>
              <w:rPr>
                <w:rFonts w:ascii="Times New Roman" w:hAnsi="Times New Roman" w:eastAsia="仿宋" w:cs="Times New Roman"/>
                <w:b/>
                <w:bCs/>
                <w:szCs w:val="21"/>
              </w:rPr>
              <w:t>界牌乡：</w:t>
            </w:r>
          </w:p>
          <w:p w14:paraId="6F1C254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红线/一般生态空间（水源涵养重要区/生物多样性保护功能重要区/水土流失敏感区/水土保持功能重要区）；水环境一般管控区；大气环境优先保护区；农用地优先保护区/一般管控区</w:t>
            </w:r>
          </w:p>
        </w:tc>
      </w:tr>
      <w:tr w14:paraId="6C66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34" w:type="dxa"/>
            <w:vAlign w:val="center"/>
          </w:tcPr>
          <w:p w14:paraId="1722CC5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7692" w:type="dxa"/>
            <w:gridSpan w:val="9"/>
            <w:vAlign w:val="center"/>
          </w:tcPr>
          <w:p w14:paraId="08BF6B3A">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163" w:type="dxa"/>
            <w:gridSpan w:val="2"/>
            <w:vAlign w:val="center"/>
          </w:tcPr>
          <w:p w14:paraId="18796D47">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7317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234" w:type="dxa"/>
            <w:vAlign w:val="center"/>
          </w:tcPr>
          <w:p w14:paraId="54C028CC">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7692" w:type="dxa"/>
            <w:gridSpan w:val="9"/>
            <w:vAlign w:val="center"/>
          </w:tcPr>
          <w:p w14:paraId="698B0970">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（1.1）畜禽养殖产业布局应符合《江华瑶族自治县畜禽规模养殖“三区”划定方案》。</w:t>
            </w:r>
            <w:bookmarkStart w:id="95" w:name="_Hlk58581267"/>
            <w:r>
              <w:rPr>
                <w:rFonts w:ascii="Times New Roman" w:hAnsi="Times New Roman" w:eastAsia="仿宋" w:cs="Times New Roman"/>
                <w:kern w:val="0"/>
                <w:szCs w:val="21"/>
              </w:rPr>
              <w:t>合理规划水产养殖布局和规模，禁止湖库投肥养鱼。</w:t>
            </w:r>
            <w:bookmarkEnd w:id="95"/>
          </w:p>
          <w:p w14:paraId="661115E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（1.2）生态保护区按照生态保护红线的相关管理规则进行管控。</w:t>
            </w:r>
          </w:p>
        </w:tc>
        <w:tc>
          <w:tcPr>
            <w:tcW w:w="5163" w:type="dxa"/>
            <w:gridSpan w:val="2"/>
            <w:vMerge w:val="restart"/>
            <w:vAlign w:val="center"/>
          </w:tcPr>
          <w:p w14:paraId="2D675695">
            <w:pPr>
              <w:tabs>
                <w:tab w:val="left" w:pos="1021"/>
              </w:tabs>
              <w:jc w:val="left"/>
              <w:rPr>
                <w:rFonts w:ascii="Times New Roman" w:hAnsi="Times New Roman" w:eastAsia="仿宋" w:cs="Times New Roman"/>
                <w:szCs w:val="21"/>
              </w:rPr>
            </w:pPr>
            <w:r>
              <w:rPr>
                <w:rFonts w:ascii="Times New Roman" w:hAnsi="Times New Roman" w:eastAsia="仿宋" w:cs="Times New Roman"/>
                <w:kern w:val="0"/>
                <w:szCs w:val="21"/>
              </w:rPr>
              <w:t>（1.1）</w:t>
            </w:r>
            <w:r>
              <w:rPr>
                <w:rFonts w:ascii="Times New Roman" w:hAnsi="Times New Roman" w:eastAsia="仿宋" w:cs="Times New Roman"/>
                <w:szCs w:val="21"/>
              </w:rPr>
              <w:t>《江华瑶族自治县畜禽规模养殖“三区”划定方案》（江华县政府2019年12月）；</w:t>
            </w:r>
          </w:p>
          <w:p w14:paraId="032E641F">
            <w:pPr>
              <w:tabs>
                <w:tab w:val="left" w:pos="1021"/>
              </w:tabs>
              <w:rPr>
                <w:rFonts w:ascii="Times New Roman" w:hAnsi="Times New Roman" w:eastAsia="仿宋" w:cs="Times New Roman"/>
                <w:szCs w:val="21"/>
              </w:rPr>
            </w:pPr>
            <w:r>
              <w:rPr>
                <w:rFonts w:ascii="Times New Roman" w:hAnsi="Times New Roman" w:eastAsia="仿宋" w:cs="Times New Roman"/>
                <w:szCs w:val="21"/>
              </w:rPr>
              <w:t>（1.2）《江华瑶族自治县国土空间总体规划（2021-2035年）》；</w:t>
            </w:r>
          </w:p>
          <w:p w14:paraId="3EDF996C">
            <w:pPr>
              <w:tabs>
                <w:tab w:val="left" w:pos="1021"/>
              </w:tabs>
              <w:rPr>
                <w:rFonts w:ascii="Times New Roman" w:hAnsi="Times New Roman" w:eastAsia="仿宋" w:cs="Times New Roman"/>
                <w:szCs w:val="21"/>
              </w:rPr>
            </w:pPr>
            <w:r>
              <w:rPr>
                <w:rFonts w:ascii="Times New Roman" w:hAnsi="Times New Roman" w:eastAsia="仿宋" w:cs="Times New Roman"/>
                <w:szCs w:val="21"/>
              </w:rPr>
              <w:t>（2.1）（2.3）（4.1）《江华瑶族自治县2023 年生态环境保护工作要点》（江生环委办发〔2023〕4号） ；</w:t>
            </w:r>
          </w:p>
          <w:p w14:paraId="2CAE5073">
            <w:pPr>
              <w:tabs>
                <w:tab w:val="left" w:pos="1021"/>
              </w:tabs>
              <w:rPr>
                <w:rFonts w:ascii="Times New Roman" w:hAnsi="Times New Roman" w:eastAsia="仿宋" w:cs="Times New Roman"/>
                <w:szCs w:val="21"/>
              </w:rPr>
            </w:pPr>
            <w:r>
              <w:rPr>
                <w:rFonts w:ascii="Times New Roman" w:hAnsi="Times New Roman" w:eastAsia="仿宋" w:cs="Times New Roman"/>
                <w:szCs w:val="21"/>
              </w:rPr>
              <w:t>（2.2）《江华瑶族自治县大气污染防治攻坚行动计划 （2023-2025年）》（江生环委办发〔2023〕2号）；</w:t>
            </w:r>
          </w:p>
          <w:p w14:paraId="78115381">
            <w:pPr>
              <w:tabs>
                <w:tab w:val="left" w:pos="1021"/>
              </w:tabs>
              <w:rPr>
                <w:rFonts w:ascii="Times New Roman" w:hAnsi="Times New Roman" w:eastAsia="仿宋" w:cs="Times New Roman"/>
                <w:szCs w:val="21"/>
              </w:rPr>
            </w:pPr>
            <w:r>
              <w:rPr>
                <w:rFonts w:ascii="Times New Roman" w:hAnsi="Times New Roman" w:eastAsia="仿宋" w:cs="Times New Roman"/>
                <w:szCs w:val="21"/>
              </w:rPr>
              <w:t>（3.1）《江华瑶族自治县重污染天气应急预案》（江政办发〔2024〕1号）；</w:t>
            </w:r>
          </w:p>
          <w:p w14:paraId="45BC5981">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（3.2）《江华瑶族自治县国土空间总体规划（2021-2035年）》；</w:t>
            </w:r>
          </w:p>
          <w:p w14:paraId="0C86B772">
            <w:pPr>
              <w:tabs>
                <w:tab w:val="left" w:pos="1021"/>
              </w:tabs>
              <w:rPr>
                <w:rFonts w:ascii="Times New Roman" w:hAnsi="Times New Roman" w:eastAsia="仿宋" w:cs="Times New Roman"/>
                <w:szCs w:val="21"/>
              </w:rPr>
            </w:pPr>
            <w:r>
              <w:rPr>
                <w:rFonts w:ascii="Times New Roman" w:hAnsi="Times New Roman" w:eastAsia="仿宋" w:cs="Times New Roman"/>
                <w:szCs w:val="21"/>
              </w:rPr>
              <w:t>（3.3）《江华瑶族自治县生态环境保护条例》；</w:t>
            </w:r>
          </w:p>
          <w:p w14:paraId="3BBD1F08">
            <w:pPr>
              <w:tabs>
                <w:tab w:val="left" w:pos="1021"/>
              </w:tabs>
              <w:rPr>
                <w:rFonts w:ascii="Times New Roman" w:hAnsi="Times New Roman" w:eastAsia="仿宋" w:cs="Times New Roman"/>
                <w:kern w:val="0"/>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5C128AFF">
            <w:pPr>
              <w:tabs>
                <w:tab w:val="left" w:pos="1021"/>
              </w:tabs>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573E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1234" w:type="dxa"/>
            <w:vAlign w:val="center"/>
          </w:tcPr>
          <w:p w14:paraId="1B597AB3">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7692" w:type="dxa"/>
            <w:gridSpan w:val="9"/>
            <w:vAlign w:val="center"/>
          </w:tcPr>
          <w:p w14:paraId="49BCEDA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（2.1）</w:t>
            </w:r>
            <w:r>
              <w:rPr>
                <w:rFonts w:ascii="Times New Roman" w:hAnsi="Times New Roman" w:eastAsia="仿宋" w:cs="Times New Roman"/>
                <w:b/>
                <w:bCs/>
                <w:szCs w:val="21"/>
              </w:rPr>
              <w:t>废水：</w:t>
            </w:r>
            <w:r>
              <w:rPr>
                <w:rFonts w:ascii="Times New Roman" w:hAnsi="Times New Roman" w:eastAsia="仿宋" w:cs="Times New Roman"/>
                <w:szCs w:val="21"/>
              </w:rPr>
              <w:t>完善乡镇集镇污水处理设施及管网建设。</w:t>
            </w:r>
          </w:p>
          <w:p w14:paraId="295A254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（2.2）</w:t>
            </w:r>
            <w:r>
              <w:rPr>
                <w:rFonts w:ascii="Times New Roman" w:hAnsi="Times New Roman" w:eastAsia="仿宋" w:cs="Times New Roman"/>
                <w:b/>
                <w:bCs/>
                <w:szCs w:val="21"/>
              </w:rPr>
              <w:t>废气：</w:t>
            </w:r>
            <w:r>
              <w:rPr>
                <w:rFonts w:ascii="Times New Roman" w:hAnsi="Times New Roman" w:eastAsia="仿宋" w:cs="Times New Roman"/>
                <w:szCs w:val="21"/>
              </w:rPr>
              <w:t>按要求严格管控露天烧烤、烟气直排以及焚烧垃圾树叶。</w:t>
            </w:r>
            <w:bookmarkStart w:id="96" w:name="_Hlk58581346"/>
          </w:p>
          <w:p w14:paraId="2F561214">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（2.3）</w:t>
            </w:r>
            <w:r>
              <w:rPr>
                <w:rFonts w:ascii="Times New Roman" w:hAnsi="Times New Roman" w:eastAsia="仿宋" w:cs="Times New Roman"/>
                <w:b/>
                <w:bCs/>
                <w:szCs w:val="21"/>
              </w:rPr>
              <w:t>界牌乡：</w:t>
            </w:r>
            <w:r>
              <w:rPr>
                <w:rFonts w:ascii="Times New Roman" w:hAnsi="Times New Roman" w:eastAsia="仿宋" w:cs="Times New Roman"/>
                <w:szCs w:val="21"/>
              </w:rPr>
              <w:t>风力发电项目做好生态保护和水土保持工作，对土石方开挖、堆存及回填要实施围挡、护坡等措施，裸露地及时恢复植被，防止水土流失。</w:t>
            </w:r>
            <w:bookmarkEnd w:id="96"/>
          </w:p>
        </w:tc>
        <w:tc>
          <w:tcPr>
            <w:tcW w:w="5163" w:type="dxa"/>
            <w:gridSpan w:val="2"/>
            <w:vMerge w:val="continue"/>
            <w:vAlign w:val="center"/>
          </w:tcPr>
          <w:p w14:paraId="30A47828">
            <w:pPr>
              <w:widowControl/>
              <w:jc w:val="left"/>
              <w:rPr>
                <w:rFonts w:ascii="Times New Roman" w:hAnsi="Times New Roman" w:eastAsia="仿宋" w:cs="Times New Roman"/>
                <w:szCs w:val="21"/>
              </w:rPr>
            </w:pPr>
          </w:p>
        </w:tc>
      </w:tr>
      <w:tr w14:paraId="1764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34" w:type="dxa"/>
            <w:vAlign w:val="center"/>
          </w:tcPr>
          <w:p w14:paraId="00ABF497">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7692" w:type="dxa"/>
            <w:gridSpan w:val="9"/>
            <w:vAlign w:val="center"/>
          </w:tcPr>
          <w:p w14:paraId="4F8CFC23">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lang w:val="zh-CN" w:bidi="ar"/>
              </w:rPr>
              <w:t>（3.1）</w:t>
            </w:r>
            <w:r>
              <w:rPr>
                <w:rFonts w:ascii="Times New Roman" w:hAnsi="Times New Roman" w:eastAsia="仿宋" w:cs="Times New Roman"/>
                <w:kern w:val="0"/>
                <w:szCs w:val="21"/>
              </w:rPr>
              <w:t>强化本行政区域内的重污染天气应对工作，积极采取应对措施，减少重污染天气影响。</w:t>
            </w:r>
          </w:p>
          <w:p w14:paraId="2771B6C5">
            <w:pPr>
              <w:tabs>
                <w:tab w:val="left" w:pos="1021"/>
              </w:tabs>
              <w:ind w:firstLine="420" w:firstLineChars="200"/>
              <w:rPr>
                <w:rFonts w:ascii="Times New Roman" w:hAnsi="Times New Roman" w:eastAsia="仿宋" w:cs="Times New Roman"/>
                <w:szCs w:val="21"/>
                <w:lang w:val="zh-CN" w:bidi="ar"/>
              </w:rPr>
            </w:pPr>
            <w:r>
              <w:rPr>
                <w:rFonts w:ascii="Times New Roman" w:hAnsi="Times New Roman" w:eastAsia="仿宋" w:cs="Times New Roman"/>
                <w:szCs w:val="21"/>
                <w:lang w:val="zh-CN" w:bidi="ar"/>
              </w:rPr>
              <w:t>（3.2）重点加强废弃矿山整治，推进新进和战略性矿山生态修复，推动绿色矿山建设，促进矿山地质环境好转，带动资源高效合理利用，提升资源开发利用水平，实现矿产资源开发利用与矿山地质环境保护协调发展。</w:t>
            </w:r>
          </w:p>
          <w:p w14:paraId="1A9D124C">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lang w:val="zh-CN" w:bidi="ar"/>
              </w:rPr>
              <w:t>（3.3）加强乡镇集中饮用水源地风险防控，确保水源地水质安全。</w:t>
            </w:r>
          </w:p>
        </w:tc>
        <w:tc>
          <w:tcPr>
            <w:tcW w:w="5163" w:type="dxa"/>
            <w:gridSpan w:val="2"/>
            <w:vMerge w:val="continue"/>
            <w:vAlign w:val="center"/>
          </w:tcPr>
          <w:p w14:paraId="335699E7">
            <w:pPr>
              <w:widowControl/>
              <w:jc w:val="left"/>
              <w:rPr>
                <w:rFonts w:ascii="Times New Roman" w:hAnsi="Times New Roman" w:eastAsia="仿宋" w:cs="Times New Roman"/>
                <w:szCs w:val="21"/>
              </w:rPr>
            </w:pPr>
          </w:p>
        </w:tc>
      </w:tr>
      <w:tr w14:paraId="0F84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34" w:type="dxa"/>
            <w:vAlign w:val="center"/>
          </w:tcPr>
          <w:p w14:paraId="4B732715">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7692" w:type="dxa"/>
            <w:gridSpan w:val="9"/>
            <w:vAlign w:val="center"/>
          </w:tcPr>
          <w:p w14:paraId="1F34234A">
            <w:pPr>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AEDE6C0">
            <w:pPr>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加快推进煤改气、煤改电，煤改清洁能源等工程实施。淘汰县城规划区10蒸吨及以下燃煤小锅炉，规划区内禁止新建10蒸吨及以下燃煤小锅炉。</w:t>
            </w:r>
          </w:p>
          <w:p w14:paraId="584BB40B">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6BB26665">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7E6640BB">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62C540DC">
            <w:pPr>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5163" w:type="dxa"/>
            <w:gridSpan w:val="2"/>
            <w:vMerge w:val="continue"/>
            <w:vAlign w:val="center"/>
          </w:tcPr>
          <w:p w14:paraId="1A7A341E">
            <w:pPr>
              <w:widowControl/>
              <w:jc w:val="left"/>
              <w:rPr>
                <w:rFonts w:ascii="Times New Roman" w:hAnsi="Times New Roman" w:eastAsia="仿宋" w:cs="Times New Roman"/>
                <w:szCs w:val="21"/>
              </w:rPr>
            </w:pPr>
          </w:p>
        </w:tc>
      </w:tr>
    </w:tbl>
    <w:p w14:paraId="32EDF4A6">
      <w:pPr>
        <w:jc w:val="left"/>
        <w:rPr>
          <w:rFonts w:ascii="Times New Roman" w:hAnsi="Times New Roman" w:eastAsia="仿宋" w:cs="Times New Roman"/>
          <w:szCs w:val="21"/>
        </w:rPr>
      </w:pPr>
    </w:p>
    <w:p w14:paraId="46A6A01C">
      <w:pPr>
        <w:widowControl/>
        <w:jc w:val="left"/>
        <w:rPr>
          <w:rFonts w:ascii="Times New Roman" w:hAnsi="Times New Roman" w:eastAsia="仿宋" w:cs="Times New Roman"/>
          <w:szCs w:val="21"/>
        </w:rPr>
      </w:pPr>
      <w:r>
        <w:rPr>
          <w:rFonts w:ascii="Times New Roman" w:hAnsi="Times New Roman" w:eastAsia="仿宋" w:cs="Times New Roman"/>
          <w:szCs w:val="21"/>
        </w:rPr>
        <w:br w:type="page"/>
      </w:r>
    </w:p>
    <w:p w14:paraId="2411D076">
      <w:pPr>
        <w:jc w:val="left"/>
        <w:rPr>
          <w:rFonts w:ascii="Times New Roman" w:hAnsi="Times New Roman" w:eastAsia="仿宋" w:cs="Times New Roman"/>
          <w:szCs w:val="21"/>
        </w:rPr>
      </w:pPr>
    </w:p>
    <w:tbl>
      <w:tblPr>
        <w:tblStyle w:val="20"/>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133"/>
        <w:gridCol w:w="427"/>
        <w:gridCol w:w="424"/>
        <w:gridCol w:w="647"/>
        <w:gridCol w:w="668"/>
        <w:gridCol w:w="1056"/>
        <w:gridCol w:w="1189"/>
        <w:gridCol w:w="1411"/>
        <w:gridCol w:w="276"/>
        <w:gridCol w:w="3118"/>
        <w:gridCol w:w="2268"/>
      </w:tblGrid>
      <w:tr w14:paraId="6F48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restart"/>
            <w:vAlign w:val="center"/>
          </w:tcPr>
          <w:p w14:paraId="0870C735">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环境管控单元编码</w:t>
            </w:r>
          </w:p>
        </w:tc>
        <w:tc>
          <w:tcPr>
            <w:tcW w:w="1133" w:type="dxa"/>
            <w:vMerge w:val="restart"/>
            <w:vAlign w:val="center"/>
          </w:tcPr>
          <w:p w14:paraId="445EF19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单元名称</w:t>
            </w:r>
          </w:p>
        </w:tc>
        <w:tc>
          <w:tcPr>
            <w:tcW w:w="1498" w:type="dxa"/>
            <w:gridSpan w:val="3"/>
            <w:vAlign w:val="center"/>
          </w:tcPr>
          <w:p w14:paraId="6A9C2570">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行政区划</w:t>
            </w:r>
          </w:p>
        </w:tc>
        <w:tc>
          <w:tcPr>
            <w:tcW w:w="668" w:type="dxa"/>
            <w:vMerge w:val="restart"/>
            <w:vAlign w:val="center"/>
          </w:tcPr>
          <w:p w14:paraId="1A740DC2">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单元分类</w:t>
            </w:r>
          </w:p>
        </w:tc>
        <w:tc>
          <w:tcPr>
            <w:tcW w:w="1056" w:type="dxa"/>
            <w:vMerge w:val="restart"/>
            <w:vAlign w:val="center"/>
          </w:tcPr>
          <w:p w14:paraId="2E760DA6">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单元面积（km</w:t>
            </w:r>
            <w:r>
              <w:rPr>
                <w:rFonts w:ascii="Times New Roman" w:hAnsi="Times New Roman" w:eastAsia="仿宋" w:cs="Times New Roman"/>
                <w:b/>
                <w:kern w:val="0"/>
                <w:szCs w:val="21"/>
                <w:vertAlign w:val="superscript"/>
              </w:rPr>
              <w:t>2</w:t>
            </w:r>
            <w:r>
              <w:rPr>
                <w:rFonts w:ascii="Times New Roman" w:hAnsi="Times New Roman" w:eastAsia="仿宋" w:cs="Times New Roman"/>
                <w:b/>
                <w:kern w:val="0"/>
                <w:szCs w:val="21"/>
              </w:rPr>
              <w:t>）</w:t>
            </w:r>
          </w:p>
        </w:tc>
        <w:tc>
          <w:tcPr>
            <w:tcW w:w="1189" w:type="dxa"/>
            <w:vMerge w:val="restart"/>
            <w:vAlign w:val="center"/>
          </w:tcPr>
          <w:p w14:paraId="3ED293F5">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涉及乡镇（街道）</w:t>
            </w:r>
          </w:p>
        </w:tc>
        <w:tc>
          <w:tcPr>
            <w:tcW w:w="1687" w:type="dxa"/>
            <w:gridSpan w:val="2"/>
            <w:vMerge w:val="restart"/>
            <w:vAlign w:val="center"/>
          </w:tcPr>
          <w:p w14:paraId="6C25DA8D">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主体功能定位</w:t>
            </w:r>
          </w:p>
        </w:tc>
        <w:tc>
          <w:tcPr>
            <w:tcW w:w="3118" w:type="dxa"/>
            <w:vMerge w:val="restart"/>
            <w:vAlign w:val="center"/>
          </w:tcPr>
          <w:p w14:paraId="305C6690">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经济产业布局</w:t>
            </w:r>
          </w:p>
        </w:tc>
        <w:tc>
          <w:tcPr>
            <w:tcW w:w="2268" w:type="dxa"/>
            <w:vMerge w:val="restart"/>
            <w:vAlign w:val="center"/>
          </w:tcPr>
          <w:p w14:paraId="6C11C28A">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主要环境问题和环保目标</w:t>
            </w:r>
          </w:p>
        </w:tc>
      </w:tr>
      <w:tr w14:paraId="1B82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8" w:type="dxa"/>
            <w:vMerge w:val="continue"/>
            <w:vAlign w:val="center"/>
          </w:tcPr>
          <w:p w14:paraId="4415971A">
            <w:pPr>
              <w:widowControl/>
              <w:jc w:val="left"/>
              <w:rPr>
                <w:rFonts w:ascii="Times New Roman" w:hAnsi="Times New Roman" w:eastAsia="仿宋" w:cs="Times New Roman"/>
                <w:b/>
                <w:kern w:val="0"/>
                <w:szCs w:val="21"/>
              </w:rPr>
            </w:pPr>
          </w:p>
        </w:tc>
        <w:tc>
          <w:tcPr>
            <w:tcW w:w="1133" w:type="dxa"/>
            <w:vMerge w:val="continue"/>
            <w:vAlign w:val="center"/>
          </w:tcPr>
          <w:p w14:paraId="03508D31">
            <w:pPr>
              <w:widowControl/>
              <w:jc w:val="left"/>
              <w:rPr>
                <w:rFonts w:ascii="Times New Roman" w:hAnsi="Times New Roman" w:eastAsia="仿宋" w:cs="Times New Roman"/>
                <w:b/>
                <w:kern w:val="0"/>
                <w:szCs w:val="21"/>
              </w:rPr>
            </w:pPr>
          </w:p>
        </w:tc>
        <w:tc>
          <w:tcPr>
            <w:tcW w:w="427" w:type="dxa"/>
            <w:vAlign w:val="center"/>
          </w:tcPr>
          <w:p w14:paraId="46C0C66B">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省</w:t>
            </w:r>
          </w:p>
        </w:tc>
        <w:tc>
          <w:tcPr>
            <w:tcW w:w="424" w:type="dxa"/>
            <w:vAlign w:val="center"/>
          </w:tcPr>
          <w:p w14:paraId="31DA5B28">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市</w:t>
            </w:r>
          </w:p>
        </w:tc>
        <w:tc>
          <w:tcPr>
            <w:tcW w:w="647" w:type="dxa"/>
            <w:vAlign w:val="center"/>
          </w:tcPr>
          <w:p w14:paraId="008E35B3">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县</w:t>
            </w:r>
          </w:p>
        </w:tc>
        <w:tc>
          <w:tcPr>
            <w:tcW w:w="668" w:type="dxa"/>
            <w:vMerge w:val="continue"/>
            <w:vAlign w:val="center"/>
          </w:tcPr>
          <w:p w14:paraId="508D99DF">
            <w:pPr>
              <w:widowControl/>
              <w:jc w:val="left"/>
              <w:rPr>
                <w:rFonts w:ascii="Times New Roman" w:hAnsi="Times New Roman" w:eastAsia="仿宋" w:cs="Times New Roman"/>
                <w:b/>
                <w:kern w:val="0"/>
                <w:szCs w:val="21"/>
              </w:rPr>
            </w:pPr>
          </w:p>
        </w:tc>
        <w:tc>
          <w:tcPr>
            <w:tcW w:w="1056" w:type="dxa"/>
            <w:vMerge w:val="continue"/>
            <w:vAlign w:val="center"/>
          </w:tcPr>
          <w:p w14:paraId="5FF8B961">
            <w:pPr>
              <w:widowControl/>
              <w:jc w:val="left"/>
              <w:rPr>
                <w:rFonts w:ascii="Times New Roman" w:hAnsi="Times New Roman" w:eastAsia="仿宋" w:cs="Times New Roman"/>
                <w:b/>
                <w:kern w:val="0"/>
                <w:szCs w:val="21"/>
              </w:rPr>
            </w:pPr>
          </w:p>
        </w:tc>
        <w:tc>
          <w:tcPr>
            <w:tcW w:w="1189" w:type="dxa"/>
            <w:vMerge w:val="continue"/>
            <w:vAlign w:val="center"/>
          </w:tcPr>
          <w:p w14:paraId="1E8DF6AC">
            <w:pPr>
              <w:widowControl/>
              <w:jc w:val="left"/>
              <w:rPr>
                <w:rFonts w:ascii="Times New Roman" w:hAnsi="Times New Roman" w:eastAsia="仿宋" w:cs="Times New Roman"/>
                <w:b/>
                <w:kern w:val="0"/>
                <w:szCs w:val="21"/>
              </w:rPr>
            </w:pPr>
          </w:p>
        </w:tc>
        <w:tc>
          <w:tcPr>
            <w:tcW w:w="1687" w:type="dxa"/>
            <w:gridSpan w:val="2"/>
            <w:vMerge w:val="continue"/>
            <w:vAlign w:val="center"/>
          </w:tcPr>
          <w:p w14:paraId="051823B0">
            <w:pPr>
              <w:widowControl/>
              <w:jc w:val="left"/>
              <w:rPr>
                <w:rFonts w:ascii="Times New Roman" w:hAnsi="Times New Roman" w:eastAsia="仿宋" w:cs="Times New Roman"/>
                <w:b/>
                <w:kern w:val="0"/>
                <w:szCs w:val="21"/>
              </w:rPr>
            </w:pPr>
          </w:p>
        </w:tc>
        <w:tc>
          <w:tcPr>
            <w:tcW w:w="3118" w:type="dxa"/>
            <w:vMerge w:val="continue"/>
            <w:vAlign w:val="center"/>
          </w:tcPr>
          <w:p w14:paraId="17318CD6">
            <w:pPr>
              <w:widowControl/>
              <w:jc w:val="left"/>
              <w:rPr>
                <w:rFonts w:ascii="Times New Roman" w:hAnsi="Times New Roman" w:eastAsia="仿宋" w:cs="Times New Roman"/>
                <w:b/>
                <w:kern w:val="0"/>
                <w:szCs w:val="21"/>
              </w:rPr>
            </w:pPr>
          </w:p>
        </w:tc>
        <w:tc>
          <w:tcPr>
            <w:tcW w:w="2268" w:type="dxa"/>
            <w:vMerge w:val="continue"/>
            <w:vAlign w:val="center"/>
          </w:tcPr>
          <w:p w14:paraId="126C2103">
            <w:pPr>
              <w:widowControl/>
              <w:jc w:val="left"/>
              <w:rPr>
                <w:rFonts w:ascii="Times New Roman" w:hAnsi="Times New Roman" w:eastAsia="仿宋" w:cs="Times New Roman"/>
                <w:b/>
                <w:kern w:val="0"/>
                <w:szCs w:val="21"/>
              </w:rPr>
            </w:pPr>
          </w:p>
        </w:tc>
      </w:tr>
      <w:tr w14:paraId="337C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8" w:type="dxa"/>
            <w:vAlign w:val="center"/>
          </w:tcPr>
          <w:p w14:paraId="42ACAEDC">
            <w:pPr>
              <w:widowControl/>
              <w:jc w:val="center"/>
              <w:rPr>
                <w:rFonts w:ascii="Times New Roman" w:hAnsi="Times New Roman" w:eastAsia="仿宋" w:cs="Times New Roman"/>
                <w:szCs w:val="21"/>
              </w:rPr>
            </w:pPr>
            <w:bookmarkStart w:id="97" w:name="_Hlk58581439"/>
            <w:r>
              <w:rPr>
                <w:rFonts w:ascii="Times New Roman" w:hAnsi="Times New Roman" w:eastAsia="仿宋" w:cs="Times New Roman"/>
                <w:szCs w:val="21"/>
              </w:rPr>
              <w:t>ZH43112930002</w:t>
            </w:r>
            <w:bookmarkEnd w:id="97"/>
          </w:p>
        </w:tc>
        <w:tc>
          <w:tcPr>
            <w:tcW w:w="1133" w:type="dxa"/>
            <w:vAlign w:val="center"/>
          </w:tcPr>
          <w:p w14:paraId="0227C3FD">
            <w:pPr>
              <w:widowControl/>
              <w:rPr>
                <w:rFonts w:ascii="Times New Roman" w:hAnsi="Times New Roman" w:eastAsia="仿宋" w:cs="Times New Roman"/>
                <w:szCs w:val="21"/>
              </w:rPr>
            </w:pPr>
            <w:r>
              <w:rPr>
                <w:rFonts w:ascii="Times New Roman" w:hAnsi="Times New Roman" w:eastAsia="仿宋" w:cs="Times New Roman"/>
                <w:szCs w:val="21"/>
              </w:rPr>
              <w:t>白芒营镇/大路铺镇/大石桥乡/河路口镇/涛圩镇/桥市乡</w:t>
            </w:r>
          </w:p>
        </w:tc>
        <w:tc>
          <w:tcPr>
            <w:tcW w:w="427" w:type="dxa"/>
            <w:vAlign w:val="center"/>
          </w:tcPr>
          <w:p w14:paraId="78791FB2">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湖南省</w:t>
            </w:r>
          </w:p>
        </w:tc>
        <w:tc>
          <w:tcPr>
            <w:tcW w:w="424" w:type="dxa"/>
            <w:vAlign w:val="center"/>
          </w:tcPr>
          <w:p w14:paraId="759A69C5">
            <w:pPr>
              <w:widowControl/>
              <w:jc w:val="center"/>
              <w:rPr>
                <w:rFonts w:ascii="Times New Roman" w:hAnsi="Times New Roman" w:eastAsia="仿宋" w:cs="Times New Roman"/>
                <w:kern w:val="0"/>
                <w:szCs w:val="21"/>
              </w:rPr>
            </w:pPr>
            <w:r>
              <w:rPr>
                <w:rFonts w:ascii="Times New Roman" w:hAnsi="Times New Roman" w:eastAsia="仿宋" w:cs="Times New Roman"/>
                <w:szCs w:val="21"/>
              </w:rPr>
              <w:t>永州市</w:t>
            </w:r>
          </w:p>
        </w:tc>
        <w:tc>
          <w:tcPr>
            <w:tcW w:w="647" w:type="dxa"/>
            <w:vAlign w:val="center"/>
          </w:tcPr>
          <w:p w14:paraId="47A21831">
            <w:pPr>
              <w:widowControl/>
              <w:jc w:val="center"/>
              <w:rPr>
                <w:rFonts w:ascii="Times New Roman" w:hAnsi="Times New Roman" w:eastAsia="仿宋" w:cs="Times New Roman"/>
                <w:kern w:val="0"/>
                <w:szCs w:val="21"/>
              </w:rPr>
            </w:pPr>
            <w:r>
              <w:rPr>
                <w:rFonts w:ascii="Times New Roman" w:hAnsi="Times New Roman" w:eastAsia="仿宋" w:cs="Times New Roman"/>
                <w:szCs w:val="21"/>
              </w:rPr>
              <w:t>江华瑶族自治县</w:t>
            </w:r>
          </w:p>
        </w:tc>
        <w:tc>
          <w:tcPr>
            <w:tcW w:w="668" w:type="dxa"/>
            <w:vAlign w:val="center"/>
          </w:tcPr>
          <w:p w14:paraId="033EBAAC">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一般管控单元</w:t>
            </w:r>
          </w:p>
        </w:tc>
        <w:tc>
          <w:tcPr>
            <w:tcW w:w="1056" w:type="dxa"/>
            <w:vAlign w:val="center"/>
          </w:tcPr>
          <w:p w14:paraId="0A567865">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816.13</w:t>
            </w:r>
          </w:p>
        </w:tc>
        <w:tc>
          <w:tcPr>
            <w:tcW w:w="1189" w:type="dxa"/>
            <w:vAlign w:val="center"/>
          </w:tcPr>
          <w:p w14:paraId="4DEC79DF">
            <w:pPr>
              <w:widowControl/>
              <w:jc w:val="center"/>
              <w:rPr>
                <w:rFonts w:ascii="Times New Roman" w:hAnsi="Times New Roman" w:eastAsia="仿宋" w:cs="Times New Roman"/>
                <w:szCs w:val="21"/>
              </w:rPr>
            </w:pPr>
            <w:r>
              <w:rPr>
                <w:rFonts w:ascii="Times New Roman" w:hAnsi="Times New Roman" w:eastAsia="仿宋" w:cs="Times New Roman"/>
                <w:szCs w:val="21"/>
              </w:rPr>
              <w:t>白芒营镇/大路铺镇/大石桥乡/河路口镇/涛圩镇/桥市乡</w:t>
            </w:r>
          </w:p>
        </w:tc>
        <w:tc>
          <w:tcPr>
            <w:tcW w:w="1687" w:type="dxa"/>
            <w:gridSpan w:val="2"/>
            <w:vAlign w:val="center"/>
          </w:tcPr>
          <w:p w14:paraId="376A9C9B">
            <w:pPr>
              <w:widowControl/>
              <w:jc w:val="center"/>
              <w:rPr>
                <w:rFonts w:ascii="Times New Roman" w:hAnsi="Times New Roman" w:eastAsia="仿宋" w:cs="Times New Roman"/>
                <w:kern w:val="0"/>
                <w:szCs w:val="21"/>
              </w:rPr>
            </w:pPr>
            <w:r>
              <w:rPr>
                <w:rFonts w:ascii="Times New Roman" w:hAnsi="Times New Roman" w:eastAsia="仿宋" w:cs="Times New Roman"/>
                <w:b/>
                <w:bCs/>
                <w:szCs w:val="21"/>
              </w:rPr>
              <w:t>白芒营镇/</w:t>
            </w:r>
            <w:r>
              <w:rPr>
                <w:rFonts w:ascii="Times New Roman" w:hAnsi="Times New Roman" w:eastAsia="仿宋" w:cs="Times New Roman"/>
                <w:b/>
                <w:szCs w:val="21"/>
              </w:rPr>
              <w:t>大路铺镇/</w:t>
            </w:r>
            <w:r>
              <w:rPr>
                <w:rFonts w:ascii="Times New Roman" w:hAnsi="Times New Roman" w:eastAsia="仿宋" w:cs="Times New Roman"/>
                <w:b/>
                <w:bCs/>
                <w:szCs w:val="21"/>
              </w:rPr>
              <w:t>大石桥乡/</w:t>
            </w:r>
            <w:r>
              <w:rPr>
                <w:rFonts w:ascii="Times New Roman" w:hAnsi="Times New Roman" w:eastAsia="仿宋" w:cs="Times New Roman"/>
                <w:b/>
                <w:bCs/>
                <w:kern w:val="0"/>
                <w:szCs w:val="21"/>
              </w:rPr>
              <w:t>涛圩镇</w:t>
            </w:r>
            <w:r>
              <w:rPr>
                <w:rFonts w:ascii="Times New Roman" w:hAnsi="Times New Roman" w:eastAsia="仿宋" w:cs="Times New Roman"/>
                <w:b/>
                <w:bCs/>
                <w:szCs w:val="21"/>
              </w:rPr>
              <w:t>：</w:t>
            </w:r>
            <w:r>
              <w:rPr>
                <w:rFonts w:ascii="Times New Roman" w:hAnsi="Times New Roman" w:eastAsia="仿宋" w:cs="Times New Roman"/>
                <w:kern w:val="0"/>
                <w:szCs w:val="21"/>
              </w:rPr>
              <w:t>农产品主产区；</w:t>
            </w:r>
          </w:p>
          <w:p w14:paraId="785E98EC">
            <w:pPr>
              <w:widowControl/>
              <w:jc w:val="center"/>
              <w:rPr>
                <w:rFonts w:ascii="Times New Roman" w:hAnsi="Times New Roman" w:eastAsia="仿宋" w:cs="Times New Roman"/>
                <w:kern w:val="0"/>
                <w:szCs w:val="21"/>
              </w:rPr>
            </w:pPr>
            <w:r>
              <w:rPr>
                <w:rFonts w:ascii="Times New Roman" w:hAnsi="Times New Roman" w:eastAsia="仿宋" w:cs="Times New Roman"/>
                <w:b/>
                <w:kern w:val="0"/>
                <w:szCs w:val="21"/>
              </w:rPr>
              <w:t>河路口镇：</w:t>
            </w:r>
            <w:r>
              <w:rPr>
                <w:rFonts w:ascii="Times New Roman" w:hAnsi="Times New Roman" w:eastAsia="仿宋" w:cs="Times New Roman"/>
                <w:kern w:val="0"/>
                <w:szCs w:val="21"/>
              </w:rPr>
              <w:t>农产品主产区/能源资源富集区；</w:t>
            </w:r>
          </w:p>
          <w:p w14:paraId="42166955">
            <w:pPr>
              <w:widowControl/>
              <w:jc w:val="center"/>
              <w:rPr>
                <w:rFonts w:ascii="Times New Roman" w:hAnsi="Times New Roman" w:eastAsia="仿宋" w:cs="Times New Roman"/>
                <w:kern w:val="0"/>
                <w:szCs w:val="21"/>
              </w:rPr>
            </w:pPr>
            <w:r>
              <w:rPr>
                <w:rFonts w:ascii="Times New Roman" w:hAnsi="Times New Roman" w:eastAsia="仿宋" w:cs="Times New Roman"/>
                <w:b/>
                <w:bCs/>
                <w:kern w:val="0"/>
                <w:szCs w:val="21"/>
              </w:rPr>
              <w:t>桥市乡：</w:t>
            </w:r>
            <w:r>
              <w:rPr>
                <w:rFonts w:ascii="Times New Roman" w:hAnsi="Times New Roman" w:eastAsia="仿宋" w:cs="Times New Roman"/>
                <w:kern w:val="0"/>
                <w:szCs w:val="21"/>
              </w:rPr>
              <w:t>重点生态功能区/能源资源富集区</w:t>
            </w:r>
          </w:p>
        </w:tc>
        <w:tc>
          <w:tcPr>
            <w:tcW w:w="3118" w:type="dxa"/>
            <w:vAlign w:val="center"/>
          </w:tcPr>
          <w:p w14:paraId="30A17EC1">
            <w:pPr>
              <w:widowControl/>
              <w:rPr>
                <w:rFonts w:ascii="Times New Roman" w:hAnsi="Times New Roman" w:eastAsia="仿宋" w:cs="Times New Roman"/>
                <w:kern w:val="0"/>
                <w:szCs w:val="21"/>
              </w:rPr>
            </w:pPr>
            <w:r>
              <w:rPr>
                <w:rFonts w:ascii="Times New Roman" w:hAnsi="Times New Roman" w:eastAsia="仿宋" w:cs="Times New Roman"/>
                <w:b/>
                <w:bCs/>
                <w:szCs w:val="21"/>
              </w:rPr>
              <w:t>白芒营镇、</w:t>
            </w:r>
            <w:r>
              <w:rPr>
                <w:rFonts w:ascii="Times New Roman" w:hAnsi="Times New Roman" w:eastAsia="仿宋" w:cs="Times New Roman"/>
                <w:b/>
                <w:szCs w:val="21"/>
              </w:rPr>
              <w:t>大路铺镇、</w:t>
            </w:r>
            <w:r>
              <w:rPr>
                <w:rFonts w:ascii="Times New Roman" w:hAnsi="Times New Roman" w:eastAsia="仿宋" w:cs="Times New Roman"/>
                <w:b/>
                <w:bCs/>
                <w:kern w:val="0"/>
                <w:szCs w:val="21"/>
              </w:rPr>
              <w:t>涛圩镇</w:t>
            </w:r>
            <w:r>
              <w:rPr>
                <w:rFonts w:ascii="Times New Roman" w:hAnsi="Times New Roman" w:eastAsia="仿宋" w:cs="Times New Roman"/>
                <w:b/>
                <w:bCs/>
                <w:szCs w:val="21"/>
              </w:rPr>
              <w:t>、</w:t>
            </w:r>
            <w:r>
              <w:rPr>
                <w:rFonts w:ascii="Times New Roman" w:hAnsi="Times New Roman" w:eastAsia="仿宋" w:cs="Times New Roman"/>
                <w:b/>
                <w:bCs/>
                <w:kern w:val="0"/>
                <w:szCs w:val="21"/>
              </w:rPr>
              <w:t>桥市乡</w:t>
            </w:r>
            <w:r>
              <w:rPr>
                <w:rFonts w:ascii="Times New Roman" w:hAnsi="Times New Roman" w:eastAsia="仿宋" w:cs="Times New Roman"/>
                <w:kern w:val="0"/>
                <w:szCs w:val="21"/>
              </w:rPr>
              <w:t>、</w:t>
            </w:r>
            <w:r>
              <w:rPr>
                <w:rFonts w:ascii="Times New Roman" w:hAnsi="Times New Roman" w:eastAsia="仿宋" w:cs="Times New Roman"/>
                <w:b/>
                <w:bCs/>
                <w:szCs w:val="21"/>
              </w:rPr>
              <w:t>大石桥乡</w:t>
            </w:r>
            <w:r>
              <w:rPr>
                <w:rFonts w:ascii="Times New Roman" w:hAnsi="Times New Roman" w:eastAsia="仿宋" w:cs="Times New Roman"/>
                <w:kern w:val="0"/>
                <w:szCs w:val="21"/>
              </w:rPr>
              <w:t>：</w:t>
            </w:r>
            <w:r>
              <w:rPr>
                <w:rFonts w:ascii="Times New Roman" w:hAnsi="Times New Roman" w:eastAsia="仿宋" w:cs="Times New Roman"/>
                <w:szCs w:val="21"/>
              </w:rPr>
              <w:t>农业、旅游业、养殖业、建材业、农林产品深加工、风电开发等；低污染的来料组装等劳动密集型小微企业。</w:t>
            </w:r>
          </w:p>
          <w:p w14:paraId="6FA68575">
            <w:pPr>
              <w:widowControl/>
              <w:jc w:val="left"/>
              <w:rPr>
                <w:rFonts w:ascii="Times New Roman" w:hAnsi="Times New Roman" w:eastAsia="仿宋" w:cs="Times New Roman"/>
                <w:kern w:val="0"/>
                <w:szCs w:val="21"/>
              </w:rPr>
            </w:pPr>
            <w:r>
              <w:rPr>
                <w:rFonts w:ascii="Times New Roman" w:hAnsi="Times New Roman" w:eastAsia="仿宋" w:cs="Times New Roman"/>
                <w:b/>
                <w:kern w:val="0"/>
                <w:szCs w:val="21"/>
              </w:rPr>
              <w:t>河路口镇：</w:t>
            </w:r>
            <w:r>
              <w:rPr>
                <w:rFonts w:ascii="Times New Roman" w:hAnsi="Times New Roman" w:eastAsia="仿宋" w:cs="Times New Roman"/>
                <w:kern w:val="0"/>
                <w:szCs w:val="21"/>
              </w:rPr>
              <w:t>农业、养殖业、旅游业、商贸、采矿业、风电开发等，</w:t>
            </w:r>
            <w:r>
              <w:rPr>
                <w:rFonts w:ascii="Times New Roman" w:hAnsi="Times New Roman" w:eastAsia="仿宋" w:cs="Times New Roman"/>
                <w:szCs w:val="21"/>
              </w:rPr>
              <w:t>农林产品深加工，低污染、低排放、来料组装等劳动密集型小微企业</w:t>
            </w:r>
            <w:r>
              <w:rPr>
                <w:rFonts w:ascii="Times New Roman" w:hAnsi="Times New Roman" w:eastAsia="仿宋" w:cs="Times New Roman"/>
                <w:kern w:val="0"/>
                <w:szCs w:val="21"/>
              </w:rPr>
              <w:t>。</w:t>
            </w:r>
          </w:p>
        </w:tc>
        <w:tc>
          <w:tcPr>
            <w:tcW w:w="2268" w:type="dxa"/>
            <w:vAlign w:val="center"/>
          </w:tcPr>
          <w:p w14:paraId="0B2C4276">
            <w:pPr>
              <w:widowControl/>
              <w:rPr>
                <w:rFonts w:ascii="Times New Roman" w:hAnsi="Times New Roman" w:eastAsia="仿宋" w:cs="Times New Roman"/>
                <w:b/>
                <w:szCs w:val="21"/>
              </w:rPr>
            </w:pPr>
            <w:r>
              <w:rPr>
                <w:rFonts w:ascii="Times New Roman" w:hAnsi="Times New Roman" w:eastAsia="仿宋" w:cs="Times New Roman"/>
                <w:b/>
                <w:szCs w:val="21"/>
              </w:rPr>
              <w:t>环境问题：</w:t>
            </w:r>
          </w:p>
          <w:p w14:paraId="556B7BDD">
            <w:pPr>
              <w:widowControl/>
              <w:rPr>
                <w:rFonts w:ascii="Times New Roman" w:hAnsi="Times New Roman" w:eastAsia="仿宋" w:cs="Times New Roman"/>
                <w:szCs w:val="21"/>
              </w:rPr>
            </w:pPr>
            <w:r>
              <w:rPr>
                <w:rFonts w:ascii="Times New Roman" w:hAnsi="Times New Roman" w:eastAsia="仿宋" w:cs="Times New Roman"/>
                <w:b/>
                <w:bCs/>
                <w:szCs w:val="21"/>
              </w:rPr>
              <w:t>河路口镇：</w:t>
            </w:r>
            <w:r>
              <w:rPr>
                <w:rFonts w:ascii="Times New Roman" w:hAnsi="Times New Roman" w:eastAsia="仿宋" w:cs="Times New Roman"/>
                <w:kern w:val="0"/>
                <w:szCs w:val="21"/>
              </w:rPr>
              <w:t>历史遗留采矿区。</w:t>
            </w:r>
          </w:p>
          <w:p w14:paraId="0410B8D0">
            <w:pPr>
              <w:widowControl/>
              <w:rPr>
                <w:rFonts w:ascii="Times New Roman" w:hAnsi="Times New Roman" w:eastAsia="仿宋" w:cs="Times New Roman"/>
                <w:b/>
                <w:szCs w:val="21"/>
              </w:rPr>
            </w:pPr>
            <w:r>
              <w:rPr>
                <w:rFonts w:ascii="Times New Roman" w:hAnsi="Times New Roman" w:eastAsia="仿宋" w:cs="Times New Roman"/>
                <w:b/>
                <w:szCs w:val="21"/>
              </w:rPr>
              <w:t>环保目标：</w:t>
            </w:r>
          </w:p>
          <w:p w14:paraId="418F8747">
            <w:pPr>
              <w:widowControl/>
              <w:rPr>
                <w:rFonts w:ascii="Times New Roman" w:hAnsi="Times New Roman" w:eastAsia="仿宋" w:cs="Times New Roman"/>
                <w:kern w:val="0"/>
                <w:szCs w:val="21"/>
              </w:rPr>
            </w:pPr>
            <w:r>
              <w:rPr>
                <w:rFonts w:ascii="Times New Roman" w:hAnsi="Times New Roman" w:eastAsia="仿宋" w:cs="Times New Roman"/>
                <w:kern w:val="0"/>
                <w:szCs w:val="21"/>
              </w:rPr>
              <w:t>姑婆山风景名胜区。</w:t>
            </w:r>
          </w:p>
        </w:tc>
      </w:tr>
      <w:tr w14:paraId="199C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Align w:val="center"/>
          </w:tcPr>
          <w:p w14:paraId="29B06DA1">
            <w:pPr>
              <w:widowControl/>
              <w:jc w:val="center"/>
              <w:rPr>
                <w:rFonts w:ascii="Times New Roman" w:hAnsi="Times New Roman" w:eastAsia="仿宋" w:cs="Times New Roman"/>
                <w:b/>
                <w:kern w:val="0"/>
                <w:szCs w:val="21"/>
              </w:rPr>
            </w:pPr>
            <w:r>
              <w:rPr>
                <w:rFonts w:ascii="Times New Roman" w:hAnsi="Times New Roman" w:eastAsia="仿宋" w:cs="Times New Roman"/>
                <w:b/>
                <w:kern w:val="0"/>
                <w:szCs w:val="21"/>
              </w:rPr>
              <w:t>主要属性</w:t>
            </w:r>
          </w:p>
        </w:tc>
        <w:tc>
          <w:tcPr>
            <w:tcW w:w="12617" w:type="dxa"/>
            <w:gridSpan w:val="11"/>
            <w:vAlign w:val="center"/>
          </w:tcPr>
          <w:p w14:paraId="5EE42107">
            <w:pPr>
              <w:widowControl/>
              <w:rPr>
                <w:rFonts w:ascii="Times New Roman" w:hAnsi="Times New Roman" w:eastAsia="仿宋" w:cs="Times New Roman"/>
                <w:szCs w:val="21"/>
              </w:rPr>
            </w:pPr>
            <w:r>
              <w:rPr>
                <w:rFonts w:ascii="Times New Roman" w:hAnsi="Times New Roman" w:eastAsia="仿宋" w:cs="Times New Roman"/>
                <w:b/>
                <w:bCs/>
                <w:szCs w:val="21"/>
              </w:rPr>
              <w:t>白芒营镇：</w:t>
            </w:r>
          </w:p>
          <w:p w14:paraId="5F059E99">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生物多样性保护功能重要区/水土流失敏感区/三区三线生态红线/石漠化敏感区/水土保持功能重要区）；水环境一般管控区；大气环境受体敏感重点管控区；农用地优先保护区/其他重点管控区/一般管控区</w:t>
            </w:r>
          </w:p>
          <w:p w14:paraId="4A97CD1A">
            <w:pPr>
              <w:widowControl/>
              <w:rPr>
                <w:rFonts w:ascii="Times New Roman" w:hAnsi="Times New Roman" w:eastAsia="仿宋" w:cs="Times New Roman"/>
                <w:szCs w:val="21"/>
              </w:rPr>
            </w:pPr>
            <w:r>
              <w:rPr>
                <w:rFonts w:ascii="Times New Roman" w:hAnsi="Times New Roman" w:eastAsia="仿宋" w:cs="Times New Roman"/>
                <w:b/>
                <w:szCs w:val="21"/>
              </w:rPr>
              <w:t>大路铺镇</w:t>
            </w:r>
            <w:r>
              <w:rPr>
                <w:rFonts w:ascii="Times New Roman" w:hAnsi="Times New Roman" w:eastAsia="仿宋" w:cs="Times New Roman"/>
                <w:b/>
                <w:bCs/>
                <w:kern w:val="0"/>
                <w:szCs w:val="21"/>
              </w:rPr>
              <w:t>：</w:t>
            </w:r>
          </w:p>
          <w:p w14:paraId="60524A0F">
            <w:pPr>
              <w:widowControl/>
              <w:rPr>
                <w:rFonts w:ascii="Times New Roman" w:hAnsi="Times New Roman" w:eastAsia="仿宋" w:cs="Times New Roman"/>
                <w:szCs w:val="21"/>
              </w:rPr>
            </w:pPr>
            <w:r>
              <w:rPr>
                <w:rFonts w:ascii="Times New Roman" w:hAnsi="Times New Roman" w:eastAsia="仿宋" w:cs="Times New Roman"/>
                <w:szCs w:val="21"/>
              </w:rPr>
              <w:t>一般生态空间（水源涵养重要区/生物多样性保护功能重要区/水土保持功能重要区/水土流失敏感区/石漠化敏感区/原生态红线）；水环境一般管控区；大气环境受体敏感重点管控区；农用地优先保护区/其他重点管控区/一般管控区</w:t>
            </w:r>
          </w:p>
          <w:p w14:paraId="2F055E03">
            <w:pPr>
              <w:widowControl/>
              <w:rPr>
                <w:rFonts w:ascii="Times New Roman" w:hAnsi="Times New Roman" w:eastAsia="仿宋" w:cs="Times New Roman"/>
                <w:szCs w:val="21"/>
              </w:rPr>
            </w:pPr>
            <w:r>
              <w:rPr>
                <w:rFonts w:ascii="Times New Roman" w:hAnsi="Times New Roman" w:eastAsia="仿宋" w:cs="Times New Roman"/>
                <w:b/>
                <w:bCs/>
                <w:szCs w:val="21"/>
              </w:rPr>
              <w:t>大石桥乡：</w:t>
            </w:r>
          </w:p>
          <w:p w14:paraId="4A8A782A">
            <w:pPr>
              <w:widowControl/>
              <w:rPr>
                <w:rFonts w:ascii="Times New Roman" w:hAnsi="Times New Roman" w:eastAsia="仿宋" w:cs="Times New Roman"/>
                <w:szCs w:val="21"/>
              </w:rPr>
            </w:pPr>
            <w:r>
              <w:rPr>
                <w:rFonts w:ascii="Times New Roman" w:hAnsi="Times New Roman" w:eastAsia="仿宋" w:cs="Times New Roman"/>
                <w:szCs w:val="21"/>
              </w:rPr>
              <w:t>红线/一般生态空间（水源涵养重要区/生物多样性保护功能重要区/三区三线生态红线/水土流失敏感区/石漠化敏感区）；水环境一般管控区；农用地优先保护区/一般管控区</w:t>
            </w:r>
          </w:p>
          <w:p w14:paraId="7847F2DB">
            <w:pPr>
              <w:widowControl/>
              <w:rPr>
                <w:rFonts w:ascii="Times New Roman" w:hAnsi="Times New Roman" w:eastAsia="仿宋" w:cs="Times New Roman"/>
                <w:szCs w:val="21"/>
              </w:rPr>
            </w:pPr>
            <w:r>
              <w:rPr>
                <w:rFonts w:ascii="Times New Roman" w:hAnsi="Times New Roman" w:eastAsia="仿宋" w:cs="Times New Roman"/>
                <w:b/>
                <w:bCs/>
                <w:szCs w:val="21"/>
              </w:rPr>
              <w:t>河路口镇：</w:t>
            </w:r>
          </w:p>
          <w:p w14:paraId="5EE37495">
            <w:pPr>
              <w:widowControl/>
              <w:rPr>
                <w:rFonts w:ascii="Times New Roman" w:hAnsi="Times New Roman" w:eastAsia="仿宋" w:cs="Times New Roman"/>
                <w:szCs w:val="21"/>
              </w:rPr>
            </w:pPr>
            <w:r>
              <w:rPr>
                <w:rFonts w:ascii="Times New Roman" w:hAnsi="Times New Roman" w:eastAsia="仿宋" w:cs="Times New Roman"/>
                <w:szCs w:val="21"/>
              </w:rPr>
              <w:t>红线/一般生态空间（三区三线生态红线/水源涵养重要区/水土保持功能重要区/风景名胜区/生物多样性保护功能重要区/水土流失敏感区）；水环境工业污染重点管控区/水环境其他重点管控区/水环境一般管控区；大气环境优先保护区/大气环境高排放重点管控区/大气环境受体敏感重点管控区；农用地优先保护区/建设用地重点管控区/其他重点管控区/一般管控区</w:t>
            </w:r>
          </w:p>
          <w:p w14:paraId="11EC45BF">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涛圩镇：</w:t>
            </w:r>
          </w:p>
          <w:p w14:paraId="5F3FB0E1">
            <w:pPr>
              <w:widowControl/>
              <w:rPr>
                <w:rFonts w:ascii="Times New Roman" w:hAnsi="Times New Roman" w:eastAsia="仿宋" w:cs="Times New Roman"/>
                <w:kern w:val="0"/>
                <w:szCs w:val="21"/>
              </w:rPr>
            </w:pPr>
            <w:r>
              <w:rPr>
                <w:rFonts w:ascii="Times New Roman" w:hAnsi="Times New Roman" w:eastAsia="仿宋" w:cs="Times New Roman"/>
                <w:kern w:val="0"/>
                <w:szCs w:val="21"/>
              </w:rPr>
              <w:t>红线/一般生态空间（水源涵养重要区/三区三线生态红线/风景名胜区/生物多样性保护功能重要区/水土保持功能重要区/水土流失敏感区/原生态红线/石漠化敏感区）；水环境一般管控区；大气环境优先保护区/大气环境受体敏感重点管控区；农用地优先保护区/农用地重点管控区/建设用地重点管控区/其他重点管控区/一般管控区</w:t>
            </w:r>
          </w:p>
          <w:p w14:paraId="5F45E5A7">
            <w:pPr>
              <w:widowControl/>
              <w:rPr>
                <w:rFonts w:ascii="Times New Roman" w:hAnsi="Times New Roman" w:eastAsia="仿宋" w:cs="Times New Roman"/>
                <w:kern w:val="0"/>
                <w:szCs w:val="21"/>
              </w:rPr>
            </w:pPr>
            <w:r>
              <w:rPr>
                <w:rFonts w:ascii="Times New Roman" w:hAnsi="Times New Roman" w:eastAsia="仿宋" w:cs="Times New Roman"/>
                <w:b/>
                <w:bCs/>
                <w:kern w:val="0"/>
                <w:szCs w:val="21"/>
              </w:rPr>
              <w:t>桥市乡：</w:t>
            </w:r>
          </w:p>
          <w:p w14:paraId="7FA92EB7">
            <w:pPr>
              <w:widowControl/>
              <w:rPr>
                <w:rFonts w:ascii="Times New Roman" w:hAnsi="Times New Roman" w:eastAsia="仿宋" w:cs="Times New Roman"/>
                <w:szCs w:val="21"/>
              </w:rPr>
            </w:pPr>
            <w:r>
              <w:rPr>
                <w:rFonts w:ascii="Times New Roman" w:hAnsi="Times New Roman" w:eastAsia="仿宋" w:cs="Times New Roman"/>
                <w:szCs w:val="21"/>
              </w:rPr>
              <w:t>一般生态空间（水源涵养重要区/水土流失敏感区/生物多样性保护功能重要区/水土保持功能重要区）；水环境其他重点管控区/水环境一般管控区；大气环境优先保护区；农用地优先保护区/其他重点管控区/一般管控区</w:t>
            </w:r>
          </w:p>
        </w:tc>
      </w:tr>
      <w:tr w14:paraId="7778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Align w:val="center"/>
          </w:tcPr>
          <w:p w14:paraId="78BCE1DA">
            <w:pPr>
              <w:widowControl/>
              <w:jc w:val="center"/>
              <w:rPr>
                <w:rFonts w:ascii="Times New Roman" w:hAnsi="Times New Roman" w:eastAsia="仿宋" w:cs="Times New Roman"/>
                <w:b/>
                <w:szCs w:val="21"/>
              </w:rPr>
            </w:pPr>
            <w:r>
              <w:rPr>
                <w:rFonts w:ascii="Times New Roman" w:hAnsi="Times New Roman" w:eastAsia="仿宋" w:cs="Times New Roman"/>
                <w:b/>
                <w:szCs w:val="21"/>
              </w:rPr>
              <w:t>管控维度</w:t>
            </w:r>
          </w:p>
        </w:tc>
        <w:tc>
          <w:tcPr>
            <w:tcW w:w="6955" w:type="dxa"/>
            <w:gridSpan w:val="8"/>
            <w:vAlign w:val="center"/>
          </w:tcPr>
          <w:p w14:paraId="40D4476A">
            <w:pPr>
              <w:jc w:val="center"/>
              <w:rPr>
                <w:rFonts w:ascii="Times New Roman" w:hAnsi="Times New Roman" w:eastAsia="仿宋" w:cs="Times New Roman"/>
                <w:b/>
                <w:szCs w:val="21"/>
              </w:rPr>
            </w:pPr>
            <w:r>
              <w:rPr>
                <w:rFonts w:ascii="Times New Roman" w:hAnsi="Times New Roman" w:eastAsia="仿宋" w:cs="Times New Roman"/>
                <w:b/>
                <w:kern w:val="0"/>
                <w:szCs w:val="21"/>
              </w:rPr>
              <w:t>管控要求</w:t>
            </w:r>
          </w:p>
        </w:tc>
        <w:tc>
          <w:tcPr>
            <w:tcW w:w="5662" w:type="dxa"/>
            <w:gridSpan w:val="3"/>
            <w:vAlign w:val="center"/>
          </w:tcPr>
          <w:p w14:paraId="705EEE15">
            <w:pPr>
              <w:jc w:val="center"/>
              <w:rPr>
                <w:rFonts w:ascii="Times New Roman" w:hAnsi="Times New Roman" w:eastAsia="仿宋" w:cs="Times New Roman"/>
                <w:b/>
                <w:szCs w:val="21"/>
              </w:rPr>
            </w:pPr>
            <w:r>
              <w:rPr>
                <w:rFonts w:ascii="Times New Roman" w:hAnsi="Times New Roman" w:eastAsia="仿宋" w:cs="Times New Roman"/>
                <w:b/>
                <w:szCs w:val="21"/>
              </w:rPr>
              <w:t>编制依据</w:t>
            </w:r>
          </w:p>
        </w:tc>
      </w:tr>
      <w:tr w14:paraId="380C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1128" w:type="dxa"/>
            <w:vAlign w:val="center"/>
          </w:tcPr>
          <w:p w14:paraId="1832770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空间布局约束</w:t>
            </w:r>
          </w:p>
        </w:tc>
        <w:tc>
          <w:tcPr>
            <w:tcW w:w="6955" w:type="dxa"/>
            <w:gridSpan w:val="8"/>
            <w:vAlign w:val="center"/>
          </w:tcPr>
          <w:p w14:paraId="7ABA160E">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（1.1）畜禽养殖产业布局应符合《江华瑶族自治县畜禽规模养殖“三区”划定方案》。</w:t>
            </w:r>
          </w:p>
          <w:p w14:paraId="7E53319C">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（1.2）</w:t>
            </w:r>
            <w:r>
              <w:rPr>
                <w:rFonts w:ascii="Times New Roman" w:hAnsi="Times New Roman" w:eastAsia="仿宋" w:cs="Times New Roman"/>
                <w:b/>
                <w:kern w:val="0"/>
                <w:szCs w:val="21"/>
              </w:rPr>
              <w:t>河路口镇：</w:t>
            </w:r>
            <w:r>
              <w:rPr>
                <w:rFonts w:ascii="Times New Roman" w:hAnsi="Times New Roman" w:eastAsia="仿宋" w:cs="Times New Roman"/>
                <w:szCs w:val="21"/>
              </w:rPr>
              <w:t>姑婆山风景名胜区开发建设应当符合《姑婆山风景名胜区总体规划》。</w:t>
            </w:r>
          </w:p>
          <w:p w14:paraId="3F0E945C">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（1.3）生态保护区按照生态保护红线的相关管理规则进行管控。</w:t>
            </w:r>
          </w:p>
        </w:tc>
        <w:tc>
          <w:tcPr>
            <w:tcW w:w="5662" w:type="dxa"/>
            <w:gridSpan w:val="3"/>
            <w:vMerge w:val="restart"/>
            <w:vAlign w:val="center"/>
          </w:tcPr>
          <w:p w14:paraId="23F8D2E3">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（1.1）</w:t>
            </w:r>
            <w:r>
              <w:rPr>
                <w:rFonts w:ascii="Times New Roman" w:hAnsi="Times New Roman" w:eastAsia="仿宋" w:cs="Times New Roman"/>
                <w:szCs w:val="21"/>
              </w:rPr>
              <w:t>《江华瑶族自治县畜禽规模养殖“三区”划定方案》（江华县政府2019年12月）；</w:t>
            </w:r>
          </w:p>
          <w:p w14:paraId="63A27CA7">
            <w:pPr>
              <w:tabs>
                <w:tab w:val="left" w:pos="1021"/>
              </w:tabs>
              <w:rPr>
                <w:rFonts w:ascii="Times New Roman" w:hAnsi="Times New Roman" w:eastAsia="仿宋" w:cs="Times New Roman"/>
                <w:szCs w:val="21"/>
              </w:rPr>
            </w:pPr>
            <w:r>
              <w:rPr>
                <w:rFonts w:ascii="Times New Roman" w:hAnsi="Times New Roman" w:eastAsia="仿宋" w:cs="Times New Roman"/>
                <w:kern w:val="0"/>
                <w:szCs w:val="21"/>
              </w:rPr>
              <w:t>（1.2）</w:t>
            </w:r>
            <w:bookmarkStart w:id="98" w:name="_Hlk58572210"/>
            <w:r>
              <w:rPr>
                <w:rFonts w:ascii="Times New Roman" w:hAnsi="Times New Roman" w:eastAsia="仿宋" w:cs="Times New Roman"/>
                <w:kern w:val="0"/>
                <w:szCs w:val="21"/>
              </w:rPr>
              <w:t>《</w:t>
            </w:r>
            <w:r>
              <w:rPr>
                <w:rFonts w:ascii="Times New Roman" w:hAnsi="Times New Roman" w:eastAsia="仿宋" w:cs="Times New Roman"/>
                <w:szCs w:val="21"/>
              </w:rPr>
              <w:t>姑婆山风景名胜区</w:t>
            </w:r>
            <w:bookmarkEnd w:id="98"/>
            <w:r>
              <w:rPr>
                <w:rFonts w:ascii="Times New Roman" w:hAnsi="Times New Roman" w:eastAsia="仿宋" w:cs="Times New Roman"/>
                <w:szCs w:val="21"/>
              </w:rPr>
              <w:t>总体规划》；</w:t>
            </w:r>
          </w:p>
          <w:p w14:paraId="47FCA1F7">
            <w:pPr>
              <w:tabs>
                <w:tab w:val="left" w:pos="1021"/>
              </w:tabs>
              <w:rPr>
                <w:rFonts w:ascii="Times New Roman" w:hAnsi="Times New Roman" w:eastAsia="仿宋" w:cs="Times New Roman"/>
                <w:szCs w:val="21"/>
              </w:rPr>
            </w:pPr>
            <w:r>
              <w:rPr>
                <w:rFonts w:ascii="Times New Roman" w:hAnsi="Times New Roman" w:eastAsia="仿宋" w:cs="Times New Roman"/>
                <w:szCs w:val="21"/>
              </w:rPr>
              <w:t>（1.3）《江华瑶族自治县国土空间总体规划（2021-2035年）》；</w:t>
            </w:r>
          </w:p>
          <w:p w14:paraId="22AA3452">
            <w:pPr>
              <w:tabs>
                <w:tab w:val="left" w:pos="1021"/>
              </w:tabs>
              <w:rPr>
                <w:rFonts w:ascii="Times New Roman" w:hAnsi="Times New Roman" w:eastAsia="仿宋" w:cs="Times New Roman"/>
                <w:szCs w:val="21"/>
              </w:rPr>
            </w:pPr>
            <w:r>
              <w:rPr>
                <w:rFonts w:ascii="Times New Roman" w:hAnsi="Times New Roman" w:eastAsia="仿宋" w:cs="Times New Roman"/>
                <w:szCs w:val="21"/>
              </w:rPr>
              <w:t>（2.1）（2.2）《江华瑶族自治县2023 年生态环境保护工作要点》（江生环委办发〔2023〕4号）；</w:t>
            </w:r>
          </w:p>
          <w:p w14:paraId="3740B50D">
            <w:pPr>
              <w:tabs>
                <w:tab w:val="left" w:pos="1021"/>
              </w:tabs>
              <w:rPr>
                <w:rFonts w:ascii="Times New Roman" w:hAnsi="Times New Roman" w:eastAsia="仿宋" w:cs="Times New Roman"/>
                <w:szCs w:val="21"/>
              </w:rPr>
            </w:pPr>
            <w:r>
              <w:rPr>
                <w:rFonts w:ascii="Times New Roman" w:hAnsi="Times New Roman" w:eastAsia="仿宋" w:cs="Times New Roman"/>
                <w:szCs w:val="21"/>
              </w:rPr>
              <w:t>（2.3）《江华瑶族自治县大气污染防治攻坚行动计划 （2023-2025年）》（江生环委办发〔2023〕2号）；</w:t>
            </w:r>
          </w:p>
          <w:p w14:paraId="1C6B7C72">
            <w:pPr>
              <w:tabs>
                <w:tab w:val="left" w:pos="1021"/>
              </w:tabs>
              <w:rPr>
                <w:rFonts w:ascii="Times New Roman" w:hAnsi="Times New Roman" w:eastAsia="仿宋" w:cs="Times New Roman"/>
                <w:szCs w:val="21"/>
              </w:rPr>
            </w:pPr>
            <w:r>
              <w:rPr>
                <w:rFonts w:ascii="Times New Roman" w:hAnsi="Times New Roman" w:eastAsia="仿宋" w:cs="Times New Roman"/>
                <w:szCs w:val="21"/>
              </w:rPr>
              <w:t>（3.1）《江华瑶族自治县国土空间总体规划（2021-2035年）》</w:t>
            </w:r>
          </w:p>
          <w:p w14:paraId="45F5F02D">
            <w:pPr>
              <w:tabs>
                <w:tab w:val="left" w:pos="1021"/>
              </w:tabs>
              <w:rPr>
                <w:rFonts w:ascii="Times New Roman" w:hAnsi="Times New Roman" w:eastAsia="仿宋" w:cs="Times New Roman"/>
                <w:szCs w:val="21"/>
              </w:rPr>
            </w:pPr>
            <w:r>
              <w:rPr>
                <w:rFonts w:ascii="Times New Roman" w:hAnsi="Times New Roman" w:eastAsia="仿宋" w:cs="Times New Roman"/>
                <w:szCs w:val="21"/>
              </w:rPr>
              <w:t>（3.2）《江华瑶族自治县生态环境保护条例》；</w:t>
            </w:r>
          </w:p>
          <w:p w14:paraId="0630DF77">
            <w:pPr>
              <w:tabs>
                <w:tab w:val="left" w:pos="1021"/>
              </w:tabs>
              <w:rPr>
                <w:rFonts w:ascii="Times New Roman" w:hAnsi="Times New Roman" w:eastAsia="仿宋" w:cs="Times New Roman"/>
                <w:szCs w:val="21"/>
              </w:rPr>
            </w:pPr>
            <w:r>
              <w:rPr>
                <w:rFonts w:ascii="Times New Roman" w:hAnsi="Times New Roman" w:eastAsia="仿宋" w:cs="Times New Roman"/>
                <w:szCs w:val="21"/>
              </w:rPr>
              <w:t>（3.3）《江华瑶族自治县重污染天气应急预案》（江政办发〔2024〕1号）；</w:t>
            </w:r>
          </w:p>
          <w:p w14:paraId="2A4D4442">
            <w:pPr>
              <w:tabs>
                <w:tab w:val="left" w:pos="1021"/>
              </w:tabs>
              <w:rPr>
                <w:rFonts w:ascii="Times New Roman" w:hAnsi="Times New Roman" w:eastAsia="仿宋" w:cs="Times New Roman"/>
                <w:szCs w:val="21"/>
              </w:rPr>
            </w:pPr>
            <w:r>
              <w:rPr>
                <w:rFonts w:ascii="Times New Roman" w:hAnsi="Times New Roman" w:eastAsia="仿宋" w:cs="Times New Roman"/>
                <w:szCs w:val="21"/>
              </w:rPr>
              <w:t>（4.1）《江华瑶族自治县国土空间总体规划（2021-2035年）》；</w:t>
            </w:r>
          </w:p>
          <w:p w14:paraId="2F5A4A83">
            <w:pPr>
              <w:adjustRightInd w:val="0"/>
              <w:snapToGrid w:val="0"/>
              <w:rPr>
                <w:rFonts w:ascii="Times New Roman" w:hAnsi="Times New Roman" w:eastAsia="仿宋" w:cs="Times New Roman"/>
                <w:szCs w:val="21"/>
              </w:rPr>
            </w:pPr>
            <w:r>
              <w:rPr>
                <w:rFonts w:ascii="Times New Roman" w:hAnsi="Times New Roman" w:eastAsia="仿宋" w:cs="Times New Roman"/>
                <w:szCs w:val="21"/>
              </w:rPr>
              <w:t>（4.2）</w:t>
            </w:r>
            <w:r>
              <w:rPr>
                <w:rFonts w:ascii="Times New Roman" w:hAnsi="Times New Roman" w:eastAsia="仿宋" w:cs="Times New Roman"/>
                <w:kern w:val="0"/>
                <w:szCs w:val="21"/>
              </w:rPr>
              <w:t>《关于调整永州市“十四五”用水总量和强度双控目标的通知》（永水发〔2024〕1号）；</w:t>
            </w:r>
          </w:p>
          <w:p w14:paraId="040B9771">
            <w:pPr>
              <w:tabs>
                <w:tab w:val="left" w:pos="1021"/>
              </w:tabs>
              <w:rPr>
                <w:rFonts w:ascii="Times New Roman" w:hAnsi="Times New Roman" w:eastAsia="仿宋" w:cs="Times New Roman"/>
                <w:szCs w:val="21"/>
              </w:rPr>
            </w:pPr>
            <w:r>
              <w:rPr>
                <w:rFonts w:ascii="Times New Roman" w:hAnsi="Times New Roman" w:eastAsia="仿宋" w:cs="Times New Roman"/>
                <w:szCs w:val="21"/>
              </w:rPr>
              <w:t>（4.3）《江华瑶族自治县国土空间总体规划（2021-2035年）》。</w:t>
            </w:r>
          </w:p>
        </w:tc>
      </w:tr>
      <w:tr w14:paraId="5770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128" w:type="dxa"/>
            <w:vAlign w:val="center"/>
          </w:tcPr>
          <w:p w14:paraId="496C5E12">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污染物排放管控</w:t>
            </w:r>
          </w:p>
        </w:tc>
        <w:tc>
          <w:tcPr>
            <w:tcW w:w="6955" w:type="dxa"/>
            <w:gridSpan w:val="8"/>
            <w:vAlign w:val="center"/>
          </w:tcPr>
          <w:p w14:paraId="154B48E0">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（2.1）</w:t>
            </w:r>
            <w:r>
              <w:rPr>
                <w:rFonts w:ascii="Times New Roman" w:hAnsi="Times New Roman" w:eastAsia="仿宋" w:cs="Times New Roman"/>
                <w:szCs w:val="21"/>
              </w:rPr>
              <w:t>完善乡镇集镇所在地污水处理设施及管网建设。</w:t>
            </w:r>
          </w:p>
          <w:p w14:paraId="29FB003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（2.2）</w:t>
            </w:r>
            <w:r>
              <w:rPr>
                <w:rFonts w:ascii="Times New Roman" w:hAnsi="Times New Roman" w:eastAsia="仿宋" w:cs="Times New Roman"/>
                <w:szCs w:val="21"/>
              </w:rPr>
              <w:t>围绕垃圾热解炉建立健全高效的垃圾收运处理管理机制。</w:t>
            </w:r>
          </w:p>
          <w:p w14:paraId="723AD332">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kern w:val="0"/>
                <w:szCs w:val="21"/>
              </w:rPr>
              <w:t>（2.3）</w:t>
            </w:r>
            <w:r>
              <w:rPr>
                <w:rFonts w:ascii="Times New Roman" w:hAnsi="Times New Roman" w:eastAsia="仿宋" w:cs="Times New Roman"/>
                <w:szCs w:val="21"/>
              </w:rPr>
              <w:t>按要求严格管控露天烧烤、烟气直排以及焚烧垃圾树叶。</w:t>
            </w:r>
            <w:bookmarkStart w:id="99" w:name="_Hlk58581450"/>
          </w:p>
          <w:p w14:paraId="1390479C">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szCs w:val="21"/>
              </w:rPr>
              <w:t>（2.4）</w:t>
            </w:r>
            <w:r>
              <w:rPr>
                <w:rFonts w:ascii="Times New Roman" w:hAnsi="Times New Roman" w:eastAsia="仿宋" w:cs="Times New Roman"/>
                <w:b/>
                <w:kern w:val="0"/>
                <w:szCs w:val="21"/>
              </w:rPr>
              <w:t>河路口镇：</w:t>
            </w:r>
            <w:r>
              <w:rPr>
                <w:rFonts w:ascii="Times New Roman" w:hAnsi="Times New Roman" w:eastAsia="仿宋" w:cs="Times New Roman"/>
                <w:kern w:val="0"/>
                <w:szCs w:val="21"/>
              </w:rPr>
              <w:t>整治历史遗留尾矿库，完善覆膜、压土、排洪、堤坝加固等措施，阻断其污染扩散途径。</w:t>
            </w:r>
            <w:bookmarkEnd w:id="99"/>
          </w:p>
        </w:tc>
        <w:tc>
          <w:tcPr>
            <w:tcW w:w="5662" w:type="dxa"/>
            <w:gridSpan w:val="3"/>
            <w:vMerge w:val="continue"/>
            <w:vAlign w:val="center"/>
          </w:tcPr>
          <w:p w14:paraId="1671B838">
            <w:pPr>
              <w:widowControl/>
              <w:jc w:val="left"/>
              <w:rPr>
                <w:rFonts w:ascii="Times New Roman" w:hAnsi="Times New Roman" w:eastAsia="仿宋" w:cs="Times New Roman"/>
                <w:szCs w:val="21"/>
              </w:rPr>
            </w:pPr>
          </w:p>
        </w:tc>
      </w:tr>
      <w:tr w14:paraId="45BB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1128" w:type="dxa"/>
            <w:vAlign w:val="center"/>
          </w:tcPr>
          <w:p w14:paraId="7821BFAE">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环境风险防控</w:t>
            </w:r>
          </w:p>
        </w:tc>
        <w:tc>
          <w:tcPr>
            <w:tcW w:w="6955" w:type="dxa"/>
            <w:gridSpan w:val="8"/>
            <w:vAlign w:val="center"/>
          </w:tcPr>
          <w:p w14:paraId="39ECE0D9">
            <w:pPr>
              <w:tabs>
                <w:tab w:val="left" w:pos="1021"/>
              </w:tabs>
              <w:ind w:firstLine="420" w:firstLineChars="200"/>
              <w:rPr>
                <w:rFonts w:ascii="Times New Roman" w:hAnsi="Times New Roman" w:eastAsia="仿宋" w:cs="Times New Roman"/>
                <w:szCs w:val="21"/>
                <w:lang w:val="zh-CN" w:bidi="ar"/>
              </w:rPr>
            </w:pPr>
            <w:r>
              <w:rPr>
                <w:rFonts w:ascii="Times New Roman" w:hAnsi="Times New Roman" w:eastAsia="仿宋" w:cs="Times New Roman"/>
                <w:szCs w:val="21"/>
                <w:lang w:val="zh-CN" w:bidi="ar"/>
              </w:rPr>
              <w:t>（3.1）重点加强废弃矿山整治，推进新进和战略性矿山生态修复，推动绿色矿山建设，促进矿山地质环境好转，带动资源高效合理利用，提升资源开发利用水平，实现矿产资源开发利用与矿山地质环境保护协调发展。</w:t>
            </w:r>
          </w:p>
          <w:p w14:paraId="6C7F5234">
            <w:pPr>
              <w:tabs>
                <w:tab w:val="left" w:pos="1021"/>
              </w:tabs>
              <w:ind w:firstLine="420" w:firstLineChars="200"/>
              <w:rPr>
                <w:rFonts w:ascii="Times New Roman" w:hAnsi="Times New Roman" w:eastAsia="仿宋" w:cs="Times New Roman"/>
                <w:szCs w:val="21"/>
                <w:lang w:val="zh-CN" w:bidi="ar"/>
              </w:rPr>
            </w:pPr>
            <w:r>
              <w:rPr>
                <w:rFonts w:ascii="Times New Roman" w:hAnsi="Times New Roman" w:eastAsia="仿宋" w:cs="Times New Roman"/>
                <w:szCs w:val="21"/>
                <w:lang w:val="zh-CN" w:bidi="ar"/>
              </w:rPr>
              <w:t>（3.2）加强乡镇集中饮用水源地风险防控，确保水源地水质安全。</w:t>
            </w:r>
          </w:p>
          <w:p w14:paraId="7F0C3B1D">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（3.3）强化本行政区域内的重污染天气应对工作，积极采取应对措施，减少重污染天气影响。</w:t>
            </w:r>
          </w:p>
        </w:tc>
        <w:tc>
          <w:tcPr>
            <w:tcW w:w="5662" w:type="dxa"/>
            <w:gridSpan w:val="3"/>
            <w:vMerge w:val="continue"/>
            <w:vAlign w:val="center"/>
          </w:tcPr>
          <w:p w14:paraId="003D94F7">
            <w:pPr>
              <w:widowControl/>
              <w:jc w:val="left"/>
              <w:rPr>
                <w:rFonts w:ascii="Times New Roman" w:hAnsi="Times New Roman" w:eastAsia="仿宋" w:cs="Times New Roman"/>
                <w:szCs w:val="21"/>
              </w:rPr>
            </w:pPr>
          </w:p>
        </w:tc>
      </w:tr>
      <w:tr w14:paraId="46F4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Align w:val="center"/>
          </w:tcPr>
          <w:p w14:paraId="6382FDA9">
            <w:pPr>
              <w:widowControl/>
              <w:jc w:val="center"/>
              <w:rPr>
                <w:rFonts w:ascii="Times New Roman" w:hAnsi="Times New Roman" w:eastAsia="仿宋" w:cs="Times New Roman"/>
                <w:b/>
                <w:bCs/>
                <w:szCs w:val="21"/>
              </w:rPr>
            </w:pPr>
            <w:r>
              <w:rPr>
                <w:rFonts w:ascii="Times New Roman" w:hAnsi="Times New Roman" w:eastAsia="仿宋" w:cs="Times New Roman"/>
                <w:b/>
                <w:bCs/>
                <w:szCs w:val="21"/>
              </w:rPr>
              <w:t>资源开发效率要求</w:t>
            </w:r>
          </w:p>
        </w:tc>
        <w:tc>
          <w:tcPr>
            <w:tcW w:w="6955" w:type="dxa"/>
            <w:gridSpan w:val="8"/>
            <w:vAlign w:val="center"/>
          </w:tcPr>
          <w:p w14:paraId="4293EA2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（4.1）能源：</w:t>
            </w:r>
          </w:p>
          <w:p w14:paraId="1EAE9E5D">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积极开发水能、风能、太阳能、生物质能等可再生能源，使可再生能源在电力一次能源结构中的占比不低于50%。</w:t>
            </w:r>
          </w:p>
          <w:p w14:paraId="6CA8AFA8">
            <w:pPr>
              <w:tabs>
                <w:tab w:val="left" w:pos="1021"/>
              </w:tabs>
              <w:ind w:firstLine="420" w:firstLineChars="200"/>
              <w:rPr>
                <w:rFonts w:ascii="Times New Roman" w:hAnsi="Times New Roman" w:eastAsia="仿宋" w:cs="Times New Roman"/>
                <w:szCs w:val="21"/>
              </w:rPr>
            </w:pPr>
            <w:r>
              <w:rPr>
                <w:rFonts w:ascii="Times New Roman" w:hAnsi="Times New Roman" w:eastAsia="仿宋" w:cs="Times New Roman"/>
                <w:szCs w:val="21"/>
              </w:rPr>
              <w:t>（4.2）水资源：</w:t>
            </w:r>
          </w:p>
          <w:p w14:paraId="7DA4786D">
            <w:pPr>
              <w:widowControl/>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到2025年，江华县指标应符合相应行政区域的管控要求，江华县用水总量达19454万m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，农业用水总量控制在16692万m</w:t>
            </w:r>
            <w:r>
              <w:rPr>
                <w:rFonts w:ascii="Times New Roman" w:hAnsi="Times New Roman" w:eastAsia="仿宋" w:cs="Times New Roman"/>
                <w:kern w:val="0"/>
                <w:szCs w:val="21"/>
                <w:vertAlign w:val="superscript"/>
                <w:lang w:bidi="ar"/>
              </w:rPr>
              <w:t>3</w:t>
            </w:r>
            <w:r>
              <w:rPr>
                <w:rFonts w:ascii="Times New Roman" w:hAnsi="Times New Roman" w:eastAsia="仿宋" w:cs="Times New Roman"/>
                <w:kern w:val="0"/>
                <w:szCs w:val="21"/>
                <w:lang w:bidi="ar"/>
              </w:rPr>
              <w:t>，万元地区生产总值用水量、万元工业增加值用水量分别比2020年降低10.06%、8.87%，农田灌溉水有效利用系数为0.555。</w:t>
            </w:r>
          </w:p>
          <w:p w14:paraId="5EFF21B9">
            <w:pPr>
              <w:widowControl/>
              <w:ind w:firstLine="420" w:firstLineChars="200"/>
              <w:jc w:val="left"/>
              <w:rPr>
                <w:rFonts w:ascii="Times New Roman" w:hAnsi="Times New Roman" w:eastAsia="仿宋" w:cs="Times New Roman"/>
                <w:szCs w:val="21"/>
              </w:rPr>
            </w:pPr>
            <w:r>
              <w:rPr>
                <w:rFonts w:ascii="Times New Roman" w:hAnsi="Times New Roman" w:eastAsia="仿宋" w:cs="Times New Roman"/>
                <w:szCs w:val="21"/>
              </w:rPr>
              <w:t>（4.3）土地资源：</w:t>
            </w:r>
          </w:p>
          <w:p w14:paraId="51020DE2">
            <w:pPr>
              <w:tabs>
                <w:tab w:val="left" w:pos="1021"/>
              </w:tabs>
              <w:ind w:firstLine="420" w:firstLineChars="200"/>
              <w:rPr>
                <w:rFonts w:ascii="Times New Roman" w:hAnsi="Times New Roman" w:eastAsia="仿宋" w:cs="Times New Roman"/>
                <w:kern w:val="0"/>
                <w:szCs w:val="21"/>
              </w:rPr>
            </w:pPr>
            <w:r>
              <w:rPr>
                <w:rFonts w:ascii="Times New Roman" w:hAnsi="Times New Roman" w:eastAsia="仿宋" w:cs="Times New Roman"/>
                <w:kern w:val="0"/>
                <w:szCs w:val="21"/>
              </w:rPr>
              <w:t>至2035年，全县耕地保有量不低于44.16万亩；全县永久基本农田保护面积不低于38.75万亩；全县生态保护红线面积不低于561.54平方千米；全县城镇开发边界面积控制在35.10平方千米以内，其中中心城区控制在24.42平方千米以内，划定城镇发展区3585.55公顷，乡村发展区215078.66公顷，矿产能源发展区16811.76公顷。</w:t>
            </w:r>
          </w:p>
        </w:tc>
        <w:tc>
          <w:tcPr>
            <w:tcW w:w="5662" w:type="dxa"/>
            <w:gridSpan w:val="3"/>
            <w:vMerge w:val="continue"/>
            <w:vAlign w:val="center"/>
          </w:tcPr>
          <w:p w14:paraId="5341A6CC">
            <w:pPr>
              <w:widowControl/>
              <w:jc w:val="left"/>
              <w:rPr>
                <w:rFonts w:ascii="Times New Roman" w:hAnsi="Times New Roman" w:eastAsia="仿宋" w:cs="Times New Roman"/>
                <w:szCs w:val="21"/>
              </w:rPr>
            </w:pPr>
          </w:p>
        </w:tc>
      </w:tr>
    </w:tbl>
    <w:p w14:paraId="03377913">
      <w:pPr>
        <w:jc w:val="left"/>
        <w:rPr>
          <w:rFonts w:ascii="Times New Roman" w:hAnsi="Times New Roman" w:eastAsia="仿宋" w:cs="Times New Roman"/>
          <w:szCs w:val="21"/>
        </w:rPr>
      </w:pPr>
    </w:p>
    <w:p w14:paraId="769F78BB">
      <w:pPr>
        <w:pStyle w:val="19"/>
        <w:spacing w:after="0"/>
        <w:rPr>
          <w:rFonts w:eastAsia="仿宋"/>
          <w:szCs w:val="21"/>
        </w:rPr>
      </w:pPr>
    </w:p>
    <w:p w14:paraId="1380C5B6">
      <w:pPr>
        <w:widowControl/>
        <w:jc w:val="center"/>
        <w:rPr>
          <w:rFonts w:ascii="Times New Roman" w:hAnsi="Times New Roman" w:eastAsia="仿宋" w:cs="Times New Roman"/>
          <w:color w:val="000000"/>
          <w:sz w:val="52"/>
          <w:szCs w:val="72"/>
        </w:rPr>
      </w:pPr>
    </w:p>
    <w:p w14:paraId="33CBF2CA">
      <w:pPr>
        <w:widowControl/>
        <w:jc w:val="center"/>
        <w:rPr>
          <w:rFonts w:ascii="Times New Roman" w:hAnsi="Times New Roman" w:eastAsia="仿宋" w:cs="Times New Roman"/>
          <w:color w:val="000000" w:themeColor="text1"/>
          <w:sz w:val="24"/>
          <w:szCs w:val="32"/>
          <w14:textFill>
            <w14:solidFill>
              <w14:schemeClr w14:val="tx1"/>
            </w14:solidFill>
          </w14:textFill>
        </w:rPr>
      </w:pPr>
    </w:p>
    <w:sectPr>
      <w:pgSz w:w="16838" w:h="11906" w:orient="landscape"/>
      <w:pgMar w:top="1633" w:right="1667" w:bottom="1633" w:left="155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auto"/>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785553"/>
    </w:sdtPr>
    <w:sdtEndPr>
      <w:rPr>
        <w:rFonts w:ascii="Times New Roman" w:hAnsi="Times New Roman" w:cs="Times New Roman"/>
      </w:rPr>
    </w:sdtEndPr>
    <w:sdtContent>
      <w:p w14:paraId="6F01612F">
        <w:pPr>
          <w:pStyle w:val="12"/>
          <w:jc w:val="center"/>
          <w:rPr>
            <w:rFonts w:ascii="Times New Roman" w:hAnsi="Times New Roman" w:cs="Times New Roman"/>
          </w:rPr>
        </w:pPr>
      </w:p>
    </w:sdtContent>
  </w:sdt>
  <w:p w14:paraId="4C4E5C5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C3AB5">
    <w:pPr>
      <w:pStyle w:val="12"/>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99</w:t>
    </w:r>
    <w:r>
      <w:rPr>
        <w:rFonts w:ascii="Times New Roman" w:hAnsi="Times New Roman"/>
        <w:sz w:val="21"/>
        <w:szCs w:val="21"/>
        <w:lang w:val="zh-CN"/>
      </w:rPr>
      <w:fldChar w:fldCharType="end"/>
    </w:r>
  </w:p>
  <w:p w14:paraId="7D88A54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8AB2">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E8DBF">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9A7C7"/>
    <w:multiLevelType w:val="multilevel"/>
    <w:tmpl w:val="F8B9A7C7"/>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1">
    <w:nsid w:val="2222859A"/>
    <w:multiLevelType w:val="multilevel"/>
    <w:tmpl w:val="2222859A"/>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
    <w:nsid w:val="2BECF12E"/>
    <w:multiLevelType w:val="multilevel"/>
    <w:tmpl w:val="2BECF12E"/>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3">
    <w:nsid w:val="65DD49C1"/>
    <w:multiLevelType w:val="multilevel"/>
    <w:tmpl w:val="65DD49C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4">
    <w:nsid w:val="66D6BB61"/>
    <w:multiLevelType w:val="multilevel"/>
    <w:tmpl w:val="66D6BB6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RmYjI0NmJjYzhiNmRiM2M2NjAzMTUyYWZhMTliNWIifQ=="/>
    <w:docVar w:name="KSO_WPS_MARK_KEY" w:val="3e846860-c0f2-415b-919a-6b335cd69201"/>
  </w:docVars>
  <w:rsids>
    <w:rsidRoot w:val="00D0314A"/>
    <w:rsid w:val="00001023"/>
    <w:rsid w:val="00016E9E"/>
    <w:rsid w:val="000203F2"/>
    <w:rsid w:val="00020849"/>
    <w:rsid w:val="000334CB"/>
    <w:rsid w:val="00037328"/>
    <w:rsid w:val="000431C8"/>
    <w:rsid w:val="00051275"/>
    <w:rsid w:val="00051CA9"/>
    <w:rsid w:val="00052855"/>
    <w:rsid w:val="00055841"/>
    <w:rsid w:val="0006389D"/>
    <w:rsid w:val="0006585A"/>
    <w:rsid w:val="00072794"/>
    <w:rsid w:val="000928FA"/>
    <w:rsid w:val="00093EAA"/>
    <w:rsid w:val="00094501"/>
    <w:rsid w:val="000A33FD"/>
    <w:rsid w:val="000A6281"/>
    <w:rsid w:val="000B1123"/>
    <w:rsid w:val="000B2757"/>
    <w:rsid w:val="000B3C35"/>
    <w:rsid w:val="000B7B8D"/>
    <w:rsid w:val="000C04B7"/>
    <w:rsid w:val="000C0CDA"/>
    <w:rsid w:val="000C6552"/>
    <w:rsid w:val="000D293F"/>
    <w:rsid w:val="000E6B72"/>
    <w:rsid w:val="000F3838"/>
    <w:rsid w:val="000F4AD9"/>
    <w:rsid w:val="000F5F85"/>
    <w:rsid w:val="000F7DB0"/>
    <w:rsid w:val="001043C1"/>
    <w:rsid w:val="00105E00"/>
    <w:rsid w:val="0011620A"/>
    <w:rsid w:val="00117378"/>
    <w:rsid w:val="00121A3F"/>
    <w:rsid w:val="00121DB4"/>
    <w:rsid w:val="001254BF"/>
    <w:rsid w:val="00125948"/>
    <w:rsid w:val="0013099F"/>
    <w:rsid w:val="001317DA"/>
    <w:rsid w:val="00132163"/>
    <w:rsid w:val="00146998"/>
    <w:rsid w:val="00152335"/>
    <w:rsid w:val="0015768E"/>
    <w:rsid w:val="00163449"/>
    <w:rsid w:val="00164707"/>
    <w:rsid w:val="00170900"/>
    <w:rsid w:val="00172C90"/>
    <w:rsid w:val="0017389B"/>
    <w:rsid w:val="00173A1B"/>
    <w:rsid w:val="00174FFD"/>
    <w:rsid w:val="00175CD5"/>
    <w:rsid w:val="00176D6A"/>
    <w:rsid w:val="001772B5"/>
    <w:rsid w:val="00177D3A"/>
    <w:rsid w:val="00184DB9"/>
    <w:rsid w:val="00185E24"/>
    <w:rsid w:val="00191EF8"/>
    <w:rsid w:val="00193C08"/>
    <w:rsid w:val="00195293"/>
    <w:rsid w:val="00197D99"/>
    <w:rsid w:val="001A210B"/>
    <w:rsid w:val="001A3F08"/>
    <w:rsid w:val="001A7CA4"/>
    <w:rsid w:val="001C5C52"/>
    <w:rsid w:val="001D14F7"/>
    <w:rsid w:val="001D1D48"/>
    <w:rsid w:val="001D3BD4"/>
    <w:rsid w:val="001D521F"/>
    <w:rsid w:val="001D79D3"/>
    <w:rsid w:val="001E29C3"/>
    <w:rsid w:val="001E3029"/>
    <w:rsid w:val="001E42A2"/>
    <w:rsid w:val="001F3F72"/>
    <w:rsid w:val="00202C04"/>
    <w:rsid w:val="00203199"/>
    <w:rsid w:val="0021056B"/>
    <w:rsid w:val="0021196B"/>
    <w:rsid w:val="00212207"/>
    <w:rsid w:val="00213A90"/>
    <w:rsid w:val="00215B77"/>
    <w:rsid w:val="00217D1B"/>
    <w:rsid w:val="00223ED9"/>
    <w:rsid w:val="00225AE6"/>
    <w:rsid w:val="0023518A"/>
    <w:rsid w:val="002370FB"/>
    <w:rsid w:val="00237165"/>
    <w:rsid w:val="00237B5A"/>
    <w:rsid w:val="00240B3E"/>
    <w:rsid w:val="002412E5"/>
    <w:rsid w:val="00241C48"/>
    <w:rsid w:val="0026067A"/>
    <w:rsid w:val="002708E4"/>
    <w:rsid w:val="002725AA"/>
    <w:rsid w:val="00274CE0"/>
    <w:rsid w:val="0027527E"/>
    <w:rsid w:val="00276CBA"/>
    <w:rsid w:val="00282B80"/>
    <w:rsid w:val="00282FD1"/>
    <w:rsid w:val="00286A25"/>
    <w:rsid w:val="00287516"/>
    <w:rsid w:val="00290769"/>
    <w:rsid w:val="002A0991"/>
    <w:rsid w:val="002A1FA2"/>
    <w:rsid w:val="002B2099"/>
    <w:rsid w:val="002B3209"/>
    <w:rsid w:val="002B4392"/>
    <w:rsid w:val="002B6E2E"/>
    <w:rsid w:val="002C1A5E"/>
    <w:rsid w:val="002D1747"/>
    <w:rsid w:val="002D4DCC"/>
    <w:rsid w:val="002E282F"/>
    <w:rsid w:val="002E421B"/>
    <w:rsid w:val="002F0FCD"/>
    <w:rsid w:val="002F5E6E"/>
    <w:rsid w:val="0030404C"/>
    <w:rsid w:val="00304597"/>
    <w:rsid w:val="00305B26"/>
    <w:rsid w:val="0031138A"/>
    <w:rsid w:val="00311716"/>
    <w:rsid w:val="00317FD1"/>
    <w:rsid w:val="00320109"/>
    <w:rsid w:val="00325A5A"/>
    <w:rsid w:val="003337B0"/>
    <w:rsid w:val="0033631A"/>
    <w:rsid w:val="00344659"/>
    <w:rsid w:val="003454C1"/>
    <w:rsid w:val="0034621E"/>
    <w:rsid w:val="0035490C"/>
    <w:rsid w:val="00365AC5"/>
    <w:rsid w:val="00370CAD"/>
    <w:rsid w:val="00372639"/>
    <w:rsid w:val="00375BBE"/>
    <w:rsid w:val="003766D0"/>
    <w:rsid w:val="0038091C"/>
    <w:rsid w:val="00386F46"/>
    <w:rsid w:val="00387841"/>
    <w:rsid w:val="00387E53"/>
    <w:rsid w:val="003916B1"/>
    <w:rsid w:val="00392CED"/>
    <w:rsid w:val="003947C3"/>
    <w:rsid w:val="00395430"/>
    <w:rsid w:val="00396553"/>
    <w:rsid w:val="003A559D"/>
    <w:rsid w:val="003A56B7"/>
    <w:rsid w:val="003A632B"/>
    <w:rsid w:val="003B1FAA"/>
    <w:rsid w:val="003B2A5E"/>
    <w:rsid w:val="003B3394"/>
    <w:rsid w:val="003B622A"/>
    <w:rsid w:val="003B7201"/>
    <w:rsid w:val="003C2586"/>
    <w:rsid w:val="003C5059"/>
    <w:rsid w:val="003C6641"/>
    <w:rsid w:val="003D1D2D"/>
    <w:rsid w:val="003D50F2"/>
    <w:rsid w:val="003E476B"/>
    <w:rsid w:val="003E47EB"/>
    <w:rsid w:val="003F66A3"/>
    <w:rsid w:val="004124AD"/>
    <w:rsid w:val="00415667"/>
    <w:rsid w:val="00416730"/>
    <w:rsid w:val="00416CF9"/>
    <w:rsid w:val="00420B2D"/>
    <w:rsid w:val="00440166"/>
    <w:rsid w:val="00441FBD"/>
    <w:rsid w:val="00446193"/>
    <w:rsid w:val="00447047"/>
    <w:rsid w:val="004475BA"/>
    <w:rsid w:val="00447B7A"/>
    <w:rsid w:val="004516E6"/>
    <w:rsid w:val="00460177"/>
    <w:rsid w:val="004615F7"/>
    <w:rsid w:val="00464728"/>
    <w:rsid w:val="00464BD8"/>
    <w:rsid w:val="00466CB1"/>
    <w:rsid w:val="00476196"/>
    <w:rsid w:val="00477D77"/>
    <w:rsid w:val="00481DB2"/>
    <w:rsid w:val="00487022"/>
    <w:rsid w:val="00490CC6"/>
    <w:rsid w:val="00491FDE"/>
    <w:rsid w:val="00492713"/>
    <w:rsid w:val="00497DA8"/>
    <w:rsid w:val="004A62CD"/>
    <w:rsid w:val="004B454C"/>
    <w:rsid w:val="004B4BA8"/>
    <w:rsid w:val="004B6030"/>
    <w:rsid w:val="004B712F"/>
    <w:rsid w:val="004C6878"/>
    <w:rsid w:val="004D5501"/>
    <w:rsid w:val="004E2145"/>
    <w:rsid w:val="004E5D3A"/>
    <w:rsid w:val="004F2A79"/>
    <w:rsid w:val="004F55D1"/>
    <w:rsid w:val="004F6A7A"/>
    <w:rsid w:val="004F7668"/>
    <w:rsid w:val="00507B0D"/>
    <w:rsid w:val="0051061C"/>
    <w:rsid w:val="005106F6"/>
    <w:rsid w:val="00514173"/>
    <w:rsid w:val="005246A6"/>
    <w:rsid w:val="00532B10"/>
    <w:rsid w:val="00540FBF"/>
    <w:rsid w:val="00541D20"/>
    <w:rsid w:val="00541DCB"/>
    <w:rsid w:val="005446BA"/>
    <w:rsid w:val="00552082"/>
    <w:rsid w:val="00560D3A"/>
    <w:rsid w:val="00562BAF"/>
    <w:rsid w:val="005638A2"/>
    <w:rsid w:val="00565A11"/>
    <w:rsid w:val="00567CBE"/>
    <w:rsid w:val="00573955"/>
    <w:rsid w:val="00576BC7"/>
    <w:rsid w:val="00587D95"/>
    <w:rsid w:val="00590855"/>
    <w:rsid w:val="00596D86"/>
    <w:rsid w:val="005B1898"/>
    <w:rsid w:val="005B2497"/>
    <w:rsid w:val="005B2711"/>
    <w:rsid w:val="005C4C4E"/>
    <w:rsid w:val="005C5A81"/>
    <w:rsid w:val="005C7F1B"/>
    <w:rsid w:val="005D132F"/>
    <w:rsid w:val="005D2D77"/>
    <w:rsid w:val="005E563D"/>
    <w:rsid w:val="005E5D07"/>
    <w:rsid w:val="005E67C1"/>
    <w:rsid w:val="005E6B7F"/>
    <w:rsid w:val="005F14E7"/>
    <w:rsid w:val="005F3D48"/>
    <w:rsid w:val="005F3E31"/>
    <w:rsid w:val="005F3F79"/>
    <w:rsid w:val="005F7827"/>
    <w:rsid w:val="00610232"/>
    <w:rsid w:val="0061154F"/>
    <w:rsid w:val="00627393"/>
    <w:rsid w:val="00641F08"/>
    <w:rsid w:val="00642D99"/>
    <w:rsid w:val="00646FDB"/>
    <w:rsid w:val="0065015B"/>
    <w:rsid w:val="0065174B"/>
    <w:rsid w:val="00652995"/>
    <w:rsid w:val="00652FAC"/>
    <w:rsid w:val="00670DD6"/>
    <w:rsid w:val="00672DB8"/>
    <w:rsid w:val="00681339"/>
    <w:rsid w:val="0068552A"/>
    <w:rsid w:val="006920AB"/>
    <w:rsid w:val="0069400C"/>
    <w:rsid w:val="00697C08"/>
    <w:rsid w:val="006A01CB"/>
    <w:rsid w:val="006A0A22"/>
    <w:rsid w:val="006A4FCF"/>
    <w:rsid w:val="006A5278"/>
    <w:rsid w:val="006B02F3"/>
    <w:rsid w:val="006B2A2A"/>
    <w:rsid w:val="006B5357"/>
    <w:rsid w:val="006B6FB8"/>
    <w:rsid w:val="006B7B20"/>
    <w:rsid w:val="006C48AA"/>
    <w:rsid w:val="006D08FF"/>
    <w:rsid w:val="006D2955"/>
    <w:rsid w:val="006D35B1"/>
    <w:rsid w:val="006D3B14"/>
    <w:rsid w:val="006D5983"/>
    <w:rsid w:val="006E2430"/>
    <w:rsid w:val="006E37FE"/>
    <w:rsid w:val="00701423"/>
    <w:rsid w:val="00703579"/>
    <w:rsid w:val="00714D2A"/>
    <w:rsid w:val="007150D7"/>
    <w:rsid w:val="00715201"/>
    <w:rsid w:val="00717E9F"/>
    <w:rsid w:val="007252E1"/>
    <w:rsid w:val="00730680"/>
    <w:rsid w:val="007311D2"/>
    <w:rsid w:val="00733757"/>
    <w:rsid w:val="007347EB"/>
    <w:rsid w:val="00743865"/>
    <w:rsid w:val="00743E0C"/>
    <w:rsid w:val="00761E8D"/>
    <w:rsid w:val="0076445A"/>
    <w:rsid w:val="0077748F"/>
    <w:rsid w:val="007804B7"/>
    <w:rsid w:val="007A0050"/>
    <w:rsid w:val="007A368A"/>
    <w:rsid w:val="007B4D71"/>
    <w:rsid w:val="007C137F"/>
    <w:rsid w:val="007C1971"/>
    <w:rsid w:val="007C56BF"/>
    <w:rsid w:val="007E2A94"/>
    <w:rsid w:val="007F1D67"/>
    <w:rsid w:val="007F7F26"/>
    <w:rsid w:val="008024F4"/>
    <w:rsid w:val="00802DE5"/>
    <w:rsid w:val="008100C5"/>
    <w:rsid w:val="00810AB6"/>
    <w:rsid w:val="00814509"/>
    <w:rsid w:val="0082198A"/>
    <w:rsid w:val="008232EA"/>
    <w:rsid w:val="0083111B"/>
    <w:rsid w:val="008401BA"/>
    <w:rsid w:val="00840DCF"/>
    <w:rsid w:val="00846FBC"/>
    <w:rsid w:val="0084708B"/>
    <w:rsid w:val="0085158F"/>
    <w:rsid w:val="00853A2A"/>
    <w:rsid w:val="008658D3"/>
    <w:rsid w:val="00872AF3"/>
    <w:rsid w:val="00880669"/>
    <w:rsid w:val="00883242"/>
    <w:rsid w:val="00891D1D"/>
    <w:rsid w:val="008964CF"/>
    <w:rsid w:val="008973A0"/>
    <w:rsid w:val="008A1225"/>
    <w:rsid w:val="008A3940"/>
    <w:rsid w:val="008A4AA0"/>
    <w:rsid w:val="008B6F9B"/>
    <w:rsid w:val="008B78D4"/>
    <w:rsid w:val="008D29DD"/>
    <w:rsid w:val="008D2E44"/>
    <w:rsid w:val="008E06C8"/>
    <w:rsid w:val="008F3FBA"/>
    <w:rsid w:val="008F512A"/>
    <w:rsid w:val="008F62FF"/>
    <w:rsid w:val="00911853"/>
    <w:rsid w:val="00913872"/>
    <w:rsid w:val="0092177C"/>
    <w:rsid w:val="0092299D"/>
    <w:rsid w:val="0092384E"/>
    <w:rsid w:val="00924D50"/>
    <w:rsid w:val="009342E5"/>
    <w:rsid w:val="0093459E"/>
    <w:rsid w:val="009368B2"/>
    <w:rsid w:val="00936ADD"/>
    <w:rsid w:val="0093746D"/>
    <w:rsid w:val="00944275"/>
    <w:rsid w:val="00950F67"/>
    <w:rsid w:val="00955FBA"/>
    <w:rsid w:val="00957A94"/>
    <w:rsid w:val="00971C9B"/>
    <w:rsid w:val="00977769"/>
    <w:rsid w:val="00977868"/>
    <w:rsid w:val="00981F36"/>
    <w:rsid w:val="0098645A"/>
    <w:rsid w:val="00986CAE"/>
    <w:rsid w:val="00992B26"/>
    <w:rsid w:val="00997F8D"/>
    <w:rsid w:val="009A3E74"/>
    <w:rsid w:val="009A40D0"/>
    <w:rsid w:val="009A51B0"/>
    <w:rsid w:val="009D18BB"/>
    <w:rsid w:val="009D6128"/>
    <w:rsid w:val="009E2AE2"/>
    <w:rsid w:val="009E35C6"/>
    <w:rsid w:val="009F2502"/>
    <w:rsid w:val="009F676B"/>
    <w:rsid w:val="00A00D68"/>
    <w:rsid w:val="00A05C3C"/>
    <w:rsid w:val="00A14332"/>
    <w:rsid w:val="00A15034"/>
    <w:rsid w:val="00A17FCD"/>
    <w:rsid w:val="00A22A42"/>
    <w:rsid w:val="00A24B78"/>
    <w:rsid w:val="00A27013"/>
    <w:rsid w:val="00A3535F"/>
    <w:rsid w:val="00A379AF"/>
    <w:rsid w:val="00A46149"/>
    <w:rsid w:val="00A51226"/>
    <w:rsid w:val="00A51A32"/>
    <w:rsid w:val="00A53C66"/>
    <w:rsid w:val="00A64CBC"/>
    <w:rsid w:val="00A668EB"/>
    <w:rsid w:val="00A66CEE"/>
    <w:rsid w:val="00A66E4C"/>
    <w:rsid w:val="00A6781F"/>
    <w:rsid w:val="00A72844"/>
    <w:rsid w:val="00A747A1"/>
    <w:rsid w:val="00A749F1"/>
    <w:rsid w:val="00A85B49"/>
    <w:rsid w:val="00A94B07"/>
    <w:rsid w:val="00A95B66"/>
    <w:rsid w:val="00AB1B2F"/>
    <w:rsid w:val="00AC0495"/>
    <w:rsid w:val="00AC77AF"/>
    <w:rsid w:val="00AD3380"/>
    <w:rsid w:val="00AD4220"/>
    <w:rsid w:val="00AE0EDB"/>
    <w:rsid w:val="00AE0F1E"/>
    <w:rsid w:val="00AE227B"/>
    <w:rsid w:val="00AE31B2"/>
    <w:rsid w:val="00AF50CA"/>
    <w:rsid w:val="00AF5F9D"/>
    <w:rsid w:val="00AF7E86"/>
    <w:rsid w:val="00B0066C"/>
    <w:rsid w:val="00B03759"/>
    <w:rsid w:val="00B075F6"/>
    <w:rsid w:val="00B125DA"/>
    <w:rsid w:val="00B13F60"/>
    <w:rsid w:val="00B14E3F"/>
    <w:rsid w:val="00B17E45"/>
    <w:rsid w:val="00B250A5"/>
    <w:rsid w:val="00B2779A"/>
    <w:rsid w:val="00B32BAF"/>
    <w:rsid w:val="00B42A8C"/>
    <w:rsid w:val="00B45069"/>
    <w:rsid w:val="00B50F65"/>
    <w:rsid w:val="00B553A6"/>
    <w:rsid w:val="00B639CD"/>
    <w:rsid w:val="00B64578"/>
    <w:rsid w:val="00B65ACC"/>
    <w:rsid w:val="00B72225"/>
    <w:rsid w:val="00B72813"/>
    <w:rsid w:val="00B73E6E"/>
    <w:rsid w:val="00B75B13"/>
    <w:rsid w:val="00B77AAF"/>
    <w:rsid w:val="00B946BE"/>
    <w:rsid w:val="00B96D92"/>
    <w:rsid w:val="00BA0EC4"/>
    <w:rsid w:val="00BA3782"/>
    <w:rsid w:val="00BA68A5"/>
    <w:rsid w:val="00BB0D41"/>
    <w:rsid w:val="00BB3D41"/>
    <w:rsid w:val="00BC67CD"/>
    <w:rsid w:val="00BD25E3"/>
    <w:rsid w:val="00BD358E"/>
    <w:rsid w:val="00BD430B"/>
    <w:rsid w:val="00BE2711"/>
    <w:rsid w:val="00BE2B23"/>
    <w:rsid w:val="00BE3882"/>
    <w:rsid w:val="00BE75DA"/>
    <w:rsid w:val="00BE78EF"/>
    <w:rsid w:val="00BF4BB4"/>
    <w:rsid w:val="00BF74DC"/>
    <w:rsid w:val="00C01CB5"/>
    <w:rsid w:val="00C04DFB"/>
    <w:rsid w:val="00C06D6A"/>
    <w:rsid w:val="00C14AD1"/>
    <w:rsid w:val="00C15D0B"/>
    <w:rsid w:val="00C261B4"/>
    <w:rsid w:val="00C34310"/>
    <w:rsid w:val="00C420A0"/>
    <w:rsid w:val="00C45B56"/>
    <w:rsid w:val="00C46648"/>
    <w:rsid w:val="00C47082"/>
    <w:rsid w:val="00C474F5"/>
    <w:rsid w:val="00C50529"/>
    <w:rsid w:val="00C56821"/>
    <w:rsid w:val="00C66B62"/>
    <w:rsid w:val="00C70ED2"/>
    <w:rsid w:val="00C73337"/>
    <w:rsid w:val="00C7742F"/>
    <w:rsid w:val="00C77D60"/>
    <w:rsid w:val="00C84AD2"/>
    <w:rsid w:val="00C855C9"/>
    <w:rsid w:val="00C86C71"/>
    <w:rsid w:val="00CA233A"/>
    <w:rsid w:val="00CA257F"/>
    <w:rsid w:val="00CA46EA"/>
    <w:rsid w:val="00CA7A6E"/>
    <w:rsid w:val="00CB1316"/>
    <w:rsid w:val="00CB2512"/>
    <w:rsid w:val="00CB7B27"/>
    <w:rsid w:val="00CC1535"/>
    <w:rsid w:val="00CD05FA"/>
    <w:rsid w:val="00CD20FA"/>
    <w:rsid w:val="00CE7018"/>
    <w:rsid w:val="00CF223A"/>
    <w:rsid w:val="00D02FB5"/>
    <w:rsid w:val="00D0314A"/>
    <w:rsid w:val="00D03F83"/>
    <w:rsid w:val="00D04390"/>
    <w:rsid w:val="00D11A63"/>
    <w:rsid w:val="00D224B1"/>
    <w:rsid w:val="00D25066"/>
    <w:rsid w:val="00D406A2"/>
    <w:rsid w:val="00D43212"/>
    <w:rsid w:val="00D579D5"/>
    <w:rsid w:val="00D6538C"/>
    <w:rsid w:val="00D72D06"/>
    <w:rsid w:val="00D72E9A"/>
    <w:rsid w:val="00D74860"/>
    <w:rsid w:val="00D7741A"/>
    <w:rsid w:val="00D91C66"/>
    <w:rsid w:val="00D9270C"/>
    <w:rsid w:val="00D927CF"/>
    <w:rsid w:val="00D93279"/>
    <w:rsid w:val="00D95CBC"/>
    <w:rsid w:val="00D968CB"/>
    <w:rsid w:val="00DB0758"/>
    <w:rsid w:val="00DB1D90"/>
    <w:rsid w:val="00DB2AB0"/>
    <w:rsid w:val="00DB6AF5"/>
    <w:rsid w:val="00DC5330"/>
    <w:rsid w:val="00DD2C78"/>
    <w:rsid w:val="00DD2CF7"/>
    <w:rsid w:val="00DD3640"/>
    <w:rsid w:val="00DD5C02"/>
    <w:rsid w:val="00DD6746"/>
    <w:rsid w:val="00DE005D"/>
    <w:rsid w:val="00DE2EED"/>
    <w:rsid w:val="00DE3ADA"/>
    <w:rsid w:val="00DF478D"/>
    <w:rsid w:val="00E0031D"/>
    <w:rsid w:val="00E02CE2"/>
    <w:rsid w:val="00E02DAB"/>
    <w:rsid w:val="00E03349"/>
    <w:rsid w:val="00E04E19"/>
    <w:rsid w:val="00E066C6"/>
    <w:rsid w:val="00E06B17"/>
    <w:rsid w:val="00E12809"/>
    <w:rsid w:val="00E16459"/>
    <w:rsid w:val="00E21A81"/>
    <w:rsid w:val="00E26D12"/>
    <w:rsid w:val="00E34BBB"/>
    <w:rsid w:val="00E4302B"/>
    <w:rsid w:val="00E535BE"/>
    <w:rsid w:val="00E5443B"/>
    <w:rsid w:val="00E575E1"/>
    <w:rsid w:val="00E578E2"/>
    <w:rsid w:val="00E61684"/>
    <w:rsid w:val="00E65504"/>
    <w:rsid w:val="00E670F9"/>
    <w:rsid w:val="00E726DC"/>
    <w:rsid w:val="00E727A0"/>
    <w:rsid w:val="00E77103"/>
    <w:rsid w:val="00E8294D"/>
    <w:rsid w:val="00E833BB"/>
    <w:rsid w:val="00E86A9B"/>
    <w:rsid w:val="00E91232"/>
    <w:rsid w:val="00E91FA8"/>
    <w:rsid w:val="00EB187B"/>
    <w:rsid w:val="00EC252C"/>
    <w:rsid w:val="00EC26B1"/>
    <w:rsid w:val="00EC51A7"/>
    <w:rsid w:val="00EE13E6"/>
    <w:rsid w:val="00EE301F"/>
    <w:rsid w:val="00EE37E7"/>
    <w:rsid w:val="00EE5151"/>
    <w:rsid w:val="00EF7EC5"/>
    <w:rsid w:val="00F01E6F"/>
    <w:rsid w:val="00F11162"/>
    <w:rsid w:val="00F14161"/>
    <w:rsid w:val="00F16D67"/>
    <w:rsid w:val="00F223D7"/>
    <w:rsid w:val="00F22A42"/>
    <w:rsid w:val="00F24A0F"/>
    <w:rsid w:val="00F307C6"/>
    <w:rsid w:val="00F3511D"/>
    <w:rsid w:val="00F3741D"/>
    <w:rsid w:val="00F37A4E"/>
    <w:rsid w:val="00F546B6"/>
    <w:rsid w:val="00F652DC"/>
    <w:rsid w:val="00F6548A"/>
    <w:rsid w:val="00F66468"/>
    <w:rsid w:val="00F71A9C"/>
    <w:rsid w:val="00F810CD"/>
    <w:rsid w:val="00F841CD"/>
    <w:rsid w:val="00F84251"/>
    <w:rsid w:val="00F842E3"/>
    <w:rsid w:val="00F843F8"/>
    <w:rsid w:val="00F84CD4"/>
    <w:rsid w:val="00F87EF2"/>
    <w:rsid w:val="00F906F2"/>
    <w:rsid w:val="00F90E22"/>
    <w:rsid w:val="00F925EB"/>
    <w:rsid w:val="00F9325C"/>
    <w:rsid w:val="00F951CC"/>
    <w:rsid w:val="00F954AA"/>
    <w:rsid w:val="00F97677"/>
    <w:rsid w:val="00FA2BD4"/>
    <w:rsid w:val="00FA4A21"/>
    <w:rsid w:val="00FB2DD4"/>
    <w:rsid w:val="00FB2FED"/>
    <w:rsid w:val="00FB7C44"/>
    <w:rsid w:val="00FC47FB"/>
    <w:rsid w:val="00FC76AE"/>
    <w:rsid w:val="00FD13A1"/>
    <w:rsid w:val="00FE22FD"/>
    <w:rsid w:val="00FE2457"/>
    <w:rsid w:val="00FE4AEF"/>
    <w:rsid w:val="00FE5184"/>
    <w:rsid w:val="00FE5B69"/>
    <w:rsid w:val="00FF3BE0"/>
    <w:rsid w:val="00FF64EB"/>
    <w:rsid w:val="00FF757C"/>
    <w:rsid w:val="039876E7"/>
    <w:rsid w:val="05F23A3F"/>
    <w:rsid w:val="05FE4192"/>
    <w:rsid w:val="088D6641"/>
    <w:rsid w:val="099B1877"/>
    <w:rsid w:val="0A326874"/>
    <w:rsid w:val="0AE47584"/>
    <w:rsid w:val="0C626909"/>
    <w:rsid w:val="0C970E9C"/>
    <w:rsid w:val="0F877DB1"/>
    <w:rsid w:val="0FD059DB"/>
    <w:rsid w:val="15BF57B9"/>
    <w:rsid w:val="165336CC"/>
    <w:rsid w:val="18133117"/>
    <w:rsid w:val="18422604"/>
    <w:rsid w:val="18471150"/>
    <w:rsid w:val="184E511A"/>
    <w:rsid w:val="18671D97"/>
    <w:rsid w:val="19496B8C"/>
    <w:rsid w:val="1A0F50FD"/>
    <w:rsid w:val="1BCC2910"/>
    <w:rsid w:val="1E4F7829"/>
    <w:rsid w:val="212A0751"/>
    <w:rsid w:val="226C31AF"/>
    <w:rsid w:val="22A835B0"/>
    <w:rsid w:val="24827CC0"/>
    <w:rsid w:val="25B63800"/>
    <w:rsid w:val="25CF540E"/>
    <w:rsid w:val="2799138D"/>
    <w:rsid w:val="28F162CA"/>
    <w:rsid w:val="2A9036A3"/>
    <w:rsid w:val="2AC33130"/>
    <w:rsid w:val="2E37109D"/>
    <w:rsid w:val="2EA35CAE"/>
    <w:rsid w:val="2FD048E2"/>
    <w:rsid w:val="3357002F"/>
    <w:rsid w:val="33D174C0"/>
    <w:rsid w:val="344123CD"/>
    <w:rsid w:val="34531D58"/>
    <w:rsid w:val="3519272F"/>
    <w:rsid w:val="353B4F84"/>
    <w:rsid w:val="377A6199"/>
    <w:rsid w:val="3805122C"/>
    <w:rsid w:val="39100077"/>
    <w:rsid w:val="398429E9"/>
    <w:rsid w:val="3B191B5E"/>
    <w:rsid w:val="3B781A42"/>
    <w:rsid w:val="43B337C7"/>
    <w:rsid w:val="47067FE2"/>
    <w:rsid w:val="47390B6A"/>
    <w:rsid w:val="482F6735"/>
    <w:rsid w:val="4B410232"/>
    <w:rsid w:val="4E361CE8"/>
    <w:rsid w:val="4F3B5FE1"/>
    <w:rsid w:val="4F4E6B57"/>
    <w:rsid w:val="5014267E"/>
    <w:rsid w:val="514A1822"/>
    <w:rsid w:val="53BD07B5"/>
    <w:rsid w:val="55CA46A6"/>
    <w:rsid w:val="59BA3327"/>
    <w:rsid w:val="5BDF5BF2"/>
    <w:rsid w:val="5FB52C88"/>
    <w:rsid w:val="61121439"/>
    <w:rsid w:val="61956D2D"/>
    <w:rsid w:val="61B40E62"/>
    <w:rsid w:val="61B7501C"/>
    <w:rsid w:val="62CC3BF2"/>
    <w:rsid w:val="64942585"/>
    <w:rsid w:val="653772A5"/>
    <w:rsid w:val="654E2081"/>
    <w:rsid w:val="66930B9C"/>
    <w:rsid w:val="678E1465"/>
    <w:rsid w:val="67DA6592"/>
    <w:rsid w:val="69FE2B78"/>
    <w:rsid w:val="6AB3599A"/>
    <w:rsid w:val="6B843E9C"/>
    <w:rsid w:val="702951B3"/>
    <w:rsid w:val="71EB5AB4"/>
    <w:rsid w:val="730D5299"/>
    <w:rsid w:val="740611E4"/>
    <w:rsid w:val="7471264A"/>
    <w:rsid w:val="75D46A7B"/>
    <w:rsid w:val="76531A31"/>
    <w:rsid w:val="76C02D71"/>
    <w:rsid w:val="7760065F"/>
    <w:rsid w:val="783C29EB"/>
    <w:rsid w:val="7A582337"/>
    <w:rsid w:val="7B8857FB"/>
    <w:rsid w:val="7C3464C3"/>
    <w:rsid w:val="7F2C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32"/>
    <w:semiHidden/>
    <w:unhideWhenUsed/>
    <w:qFormat/>
    <w:uiPriority w:val="9"/>
    <w:pPr>
      <w:keepNext/>
      <w:keepLines/>
      <w:spacing w:before="260" w:after="260" w:line="416" w:lineRule="auto"/>
      <w:outlineLvl w:val="2"/>
    </w:pPr>
    <w:rPr>
      <w:rFonts w:ascii="Times New Roman" w:hAnsi="Times New Roman" w:eastAsia="宋体" w:cs="Times New Roman"/>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ascii="Cambria" w:hAnsi="Cambria" w:eastAsia="黑体" w:cs="Times New Roman"/>
      <w:sz w:val="20"/>
      <w:szCs w:val="20"/>
    </w:rPr>
  </w:style>
  <w:style w:type="paragraph" w:styleId="6">
    <w:name w:val="Document Map"/>
    <w:basedOn w:val="1"/>
    <w:link w:val="33"/>
    <w:semiHidden/>
    <w:qFormat/>
    <w:uiPriority w:val="99"/>
    <w:rPr>
      <w:rFonts w:ascii="宋体" w:hAnsi="Times New Roman" w:eastAsia="宋体" w:cs="Times New Roman"/>
      <w:sz w:val="18"/>
      <w:szCs w:val="18"/>
    </w:rPr>
  </w:style>
  <w:style w:type="paragraph" w:styleId="7">
    <w:name w:val="annotation text"/>
    <w:basedOn w:val="1"/>
    <w:link w:val="34"/>
    <w:qFormat/>
    <w:uiPriority w:val="0"/>
    <w:pPr>
      <w:jc w:val="left"/>
    </w:pPr>
    <w:rPr>
      <w:rFonts w:ascii="Times New Roman" w:hAnsi="Times New Roman" w:eastAsia="宋体" w:cs="Times New Roman"/>
      <w:kern w:val="0"/>
      <w:sz w:val="20"/>
      <w:szCs w:val="20"/>
    </w:rPr>
  </w:style>
  <w:style w:type="paragraph" w:styleId="8">
    <w:name w:val="Body Text"/>
    <w:basedOn w:val="1"/>
    <w:next w:val="1"/>
    <w:link w:val="35"/>
    <w:qFormat/>
    <w:uiPriority w:val="99"/>
    <w:pPr>
      <w:spacing w:after="120"/>
    </w:pPr>
    <w:rPr>
      <w:rFonts w:ascii="Times New Roman" w:hAnsi="Times New Roman" w:eastAsia="宋体" w:cs="Times New Roman"/>
      <w:kern w:val="0"/>
      <w:sz w:val="20"/>
      <w:szCs w:val="20"/>
    </w:rPr>
  </w:style>
  <w:style w:type="paragraph" w:styleId="9">
    <w:name w:val="Body Text Indent"/>
    <w:basedOn w:val="1"/>
    <w:link w:val="53"/>
    <w:unhideWhenUsed/>
    <w:qFormat/>
    <w:uiPriority w:val="0"/>
    <w:pPr>
      <w:spacing w:after="120"/>
      <w:ind w:left="420" w:leftChars="200"/>
    </w:pPr>
  </w:style>
  <w:style w:type="paragraph" w:styleId="10">
    <w:name w:val="toc 3"/>
    <w:basedOn w:val="1"/>
    <w:next w:val="1"/>
    <w:unhideWhenUsed/>
    <w:qFormat/>
    <w:uiPriority w:val="39"/>
    <w:pPr>
      <w:ind w:left="840" w:leftChars="400"/>
    </w:pPr>
    <w:rPr>
      <w:rFonts w:ascii="Times New Roman" w:hAnsi="Times New Roman" w:eastAsia="宋体" w:cs="Times New Roman"/>
    </w:rPr>
  </w:style>
  <w:style w:type="paragraph" w:styleId="11">
    <w:name w:val="Balloon Text"/>
    <w:basedOn w:val="1"/>
    <w:link w:val="25"/>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13948"/>
      </w:tabs>
      <w:spacing w:line="360" w:lineRule="auto"/>
    </w:pPr>
    <w:rPr>
      <w:rFonts w:ascii="Times New Roman" w:hAnsi="Times New Roman" w:eastAsia="宋体" w:cs="Times New Roman"/>
      <w:b/>
      <w:sz w:val="28"/>
    </w:rPr>
  </w:style>
  <w:style w:type="paragraph" w:styleId="15">
    <w:name w:val="toc 2"/>
    <w:basedOn w:val="1"/>
    <w:next w:val="1"/>
    <w:unhideWhenUsed/>
    <w:qFormat/>
    <w:uiPriority w:val="39"/>
    <w:pPr>
      <w:spacing w:line="360" w:lineRule="auto"/>
      <w:ind w:left="420" w:leftChars="200"/>
    </w:pPr>
    <w:rPr>
      <w:rFonts w:ascii="Times New Roman" w:hAnsi="Times New Roman" w:eastAsia="宋体" w:cs="Times New Roman"/>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7"/>
    <w:next w:val="7"/>
    <w:link w:val="36"/>
    <w:semiHidden/>
    <w:qFormat/>
    <w:uiPriority w:val="99"/>
    <w:rPr>
      <w:b/>
      <w:bCs/>
    </w:rPr>
  </w:style>
  <w:style w:type="paragraph" w:styleId="18">
    <w:name w:val="Body Text First Indent"/>
    <w:basedOn w:val="8"/>
    <w:link w:val="37"/>
    <w:qFormat/>
    <w:uiPriority w:val="99"/>
    <w:pPr>
      <w:widowControl/>
      <w:adjustRightInd w:val="0"/>
      <w:snapToGrid w:val="0"/>
      <w:spacing w:after="0" w:line="360" w:lineRule="auto"/>
      <w:ind w:firstLine="200" w:firstLineChars="200"/>
    </w:pPr>
  </w:style>
  <w:style w:type="paragraph" w:styleId="19">
    <w:name w:val="Body Text First Indent 2"/>
    <w:basedOn w:val="9"/>
    <w:link w:val="54"/>
    <w:unhideWhenUsed/>
    <w:qFormat/>
    <w:uiPriority w:val="99"/>
    <w:pPr>
      <w:ind w:firstLine="420" w:firstLineChars="200"/>
    </w:pPr>
    <w:rPr>
      <w:rFonts w:ascii="Times New Roman" w:hAnsi="Times New Roman" w:eastAsia="宋体" w:cs="Times New Roman"/>
      <w:szCs w:val="24"/>
    </w:rPr>
  </w:style>
  <w:style w:type="table" w:styleId="21">
    <w:name w:val="Table Grid"/>
    <w:basedOn w:val="2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qFormat/>
    <w:uiPriority w:val="99"/>
    <w:rPr>
      <w:rFonts w:cs="Times New Roman"/>
      <w:color w:val="0000FF"/>
      <w:u w:val="single"/>
    </w:rPr>
  </w:style>
  <w:style w:type="character" w:styleId="24">
    <w:name w:val="annotation reference"/>
    <w:semiHidden/>
    <w:qFormat/>
    <w:uiPriority w:val="99"/>
    <w:rPr>
      <w:rFonts w:cs="Times New Roman"/>
      <w:sz w:val="21"/>
    </w:rPr>
  </w:style>
  <w:style w:type="character" w:customStyle="1" w:styleId="25">
    <w:name w:val="批注框文本 字符"/>
    <w:basedOn w:val="22"/>
    <w:link w:val="11"/>
    <w:qFormat/>
    <w:uiPriority w:val="99"/>
    <w:rPr>
      <w:sz w:val="18"/>
      <w:szCs w:val="18"/>
    </w:rPr>
  </w:style>
  <w:style w:type="paragraph" w:styleId="26">
    <w:name w:val="List Paragraph"/>
    <w:basedOn w:val="1"/>
    <w:qFormat/>
    <w:uiPriority w:val="34"/>
    <w:pPr>
      <w:ind w:firstLine="420" w:firstLineChars="200"/>
    </w:pPr>
  </w:style>
  <w:style w:type="character" w:customStyle="1" w:styleId="27">
    <w:name w:val="页眉 字符"/>
    <w:basedOn w:val="22"/>
    <w:link w:val="13"/>
    <w:qFormat/>
    <w:uiPriority w:val="99"/>
    <w:rPr>
      <w:sz w:val="18"/>
      <w:szCs w:val="18"/>
    </w:rPr>
  </w:style>
  <w:style w:type="character" w:customStyle="1" w:styleId="28">
    <w:name w:val="页脚 字符"/>
    <w:basedOn w:val="22"/>
    <w:link w:val="12"/>
    <w:qFormat/>
    <w:uiPriority w:val="99"/>
    <w:rPr>
      <w:sz w:val="18"/>
      <w:szCs w:val="18"/>
    </w:rPr>
  </w:style>
  <w:style w:type="paragraph" w:customStyle="1" w:styleId="29">
    <w:name w:val="普通(网站)1"/>
    <w:basedOn w:val="1"/>
    <w:qFormat/>
    <w:uiPriority w:val="0"/>
    <w:pPr>
      <w:widowControl/>
      <w:spacing w:before="100" w:beforeAutospacing="1" w:after="100" w:afterAutospacing="1"/>
      <w:jc w:val="left"/>
    </w:pPr>
    <w:rPr>
      <w:rFonts w:hint="eastAsia" w:ascii="宋体" w:hAnsi="宋体" w:eastAsia="宋体" w:cs="Times New Roman"/>
      <w:sz w:val="24"/>
      <w:szCs w:val="20"/>
    </w:rPr>
  </w:style>
  <w:style w:type="character" w:customStyle="1" w:styleId="30">
    <w:name w:val="标题 1 字符"/>
    <w:basedOn w:val="22"/>
    <w:link w:val="2"/>
    <w:qFormat/>
    <w:uiPriority w:val="9"/>
    <w:rPr>
      <w:rFonts w:ascii="Times New Roman" w:hAnsi="Times New Roman"/>
      <w:b/>
      <w:bCs/>
      <w:kern w:val="44"/>
      <w:sz w:val="44"/>
      <w:szCs w:val="44"/>
    </w:rPr>
  </w:style>
  <w:style w:type="character" w:customStyle="1" w:styleId="31">
    <w:name w:val="标题 2 字符"/>
    <w:basedOn w:val="22"/>
    <w:link w:val="3"/>
    <w:qFormat/>
    <w:uiPriority w:val="0"/>
    <w:rPr>
      <w:rFonts w:ascii="Cambria" w:hAnsi="Cambria"/>
      <w:b/>
      <w:bCs/>
      <w:kern w:val="2"/>
      <w:sz w:val="32"/>
      <w:szCs w:val="32"/>
    </w:rPr>
  </w:style>
  <w:style w:type="character" w:customStyle="1" w:styleId="32">
    <w:name w:val="标题 3 字符"/>
    <w:basedOn w:val="22"/>
    <w:link w:val="4"/>
    <w:semiHidden/>
    <w:qFormat/>
    <w:uiPriority w:val="9"/>
    <w:rPr>
      <w:rFonts w:ascii="Times New Roman" w:hAnsi="Times New Roman"/>
      <w:b/>
      <w:bCs/>
      <w:kern w:val="2"/>
      <w:sz w:val="32"/>
      <w:szCs w:val="32"/>
    </w:rPr>
  </w:style>
  <w:style w:type="character" w:customStyle="1" w:styleId="33">
    <w:name w:val="文档结构图 字符"/>
    <w:basedOn w:val="22"/>
    <w:link w:val="6"/>
    <w:semiHidden/>
    <w:qFormat/>
    <w:uiPriority w:val="99"/>
    <w:rPr>
      <w:rFonts w:ascii="宋体" w:hAnsi="Times New Roman"/>
      <w:kern w:val="2"/>
      <w:sz w:val="18"/>
      <w:szCs w:val="18"/>
    </w:rPr>
  </w:style>
  <w:style w:type="character" w:customStyle="1" w:styleId="34">
    <w:name w:val="批注文字 字符"/>
    <w:basedOn w:val="22"/>
    <w:link w:val="7"/>
    <w:qFormat/>
    <w:uiPriority w:val="99"/>
    <w:rPr>
      <w:rFonts w:ascii="Times New Roman" w:hAnsi="Times New Roman"/>
    </w:rPr>
  </w:style>
  <w:style w:type="character" w:customStyle="1" w:styleId="35">
    <w:name w:val="正文文本 字符"/>
    <w:basedOn w:val="22"/>
    <w:link w:val="8"/>
    <w:qFormat/>
    <w:uiPriority w:val="99"/>
    <w:rPr>
      <w:rFonts w:ascii="Times New Roman" w:hAnsi="Times New Roman"/>
    </w:rPr>
  </w:style>
  <w:style w:type="character" w:customStyle="1" w:styleId="36">
    <w:name w:val="批注主题 字符"/>
    <w:basedOn w:val="34"/>
    <w:link w:val="17"/>
    <w:semiHidden/>
    <w:qFormat/>
    <w:uiPriority w:val="99"/>
    <w:rPr>
      <w:rFonts w:ascii="Times New Roman" w:hAnsi="Times New Roman"/>
      <w:b/>
      <w:bCs/>
    </w:rPr>
  </w:style>
  <w:style w:type="character" w:customStyle="1" w:styleId="37">
    <w:name w:val="正文首行缩进 字符"/>
    <w:basedOn w:val="35"/>
    <w:link w:val="18"/>
    <w:qFormat/>
    <w:uiPriority w:val="99"/>
    <w:rPr>
      <w:rFonts w:ascii="Times New Roman" w:hAnsi="Times New Roman"/>
    </w:rPr>
  </w:style>
  <w:style w:type="character" w:customStyle="1" w:styleId="38">
    <w:name w:val="表文 Char"/>
    <w:link w:val="39"/>
    <w:qFormat/>
    <w:locked/>
    <w:uiPriority w:val="99"/>
    <w:rPr>
      <w:rFonts w:ascii="宋体" w:hAnsi="宋体"/>
      <w:spacing w:val="-2"/>
    </w:rPr>
  </w:style>
  <w:style w:type="paragraph" w:customStyle="1" w:styleId="39">
    <w:name w:val="表文"/>
    <w:basedOn w:val="1"/>
    <w:link w:val="38"/>
    <w:qFormat/>
    <w:uiPriority w:val="99"/>
    <w:pPr>
      <w:ind w:left="2317" w:hanging="2317" w:hangingChars="1125"/>
      <w:jc w:val="center"/>
    </w:pPr>
    <w:rPr>
      <w:rFonts w:ascii="宋体" w:hAnsi="宋体" w:eastAsia="宋体" w:cs="Times New Roman"/>
      <w:spacing w:val="-2"/>
      <w:kern w:val="0"/>
      <w:sz w:val="20"/>
      <w:szCs w:val="20"/>
    </w:rPr>
  </w:style>
  <w:style w:type="character" w:customStyle="1" w:styleId="40">
    <w:name w:val="烟厂正文 Char"/>
    <w:link w:val="41"/>
    <w:qFormat/>
    <w:locked/>
    <w:uiPriority w:val="99"/>
    <w:rPr>
      <w:rFonts w:ascii="宋体" w:hAnsi="宋体"/>
      <w:kern w:val="10"/>
      <w:sz w:val="24"/>
    </w:rPr>
  </w:style>
  <w:style w:type="paragraph" w:customStyle="1" w:styleId="41">
    <w:name w:val="烟厂正文"/>
    <w:basedOn w:val="1"/>
    <w:link w:val="40"/>
    <w:qFormat/>
    <w:uiPriority w:val="99"/>
    <w:pPr>
      <w:spacing w:beforeLines="20" w:afterLines="20" w:line="500" w:lineRule="exact"/>
      <w:ind w:firstLine="200" w:firstLineChars="200"/>
    </w:pPr>
    <w:rPr>
      <w:rFonts w:ascii="宋体" w:hAnsi="宋体" w:eastAsia="宋体" w:cs="Times New Roman"/>
      <w:kern w:val="10"/>
      <w:sz w:val="24"/>
      <w:szCs w:val="20"/>
    </w:rPr>
  </w:style>
  <w:style w:type="character" w:customStyle="1" w:styleId="42">
    <w:name w:val="Body Text First Indent Char1"/>
    <w:qFormat/>
    <w:locked/>
    <w:uiPriority w:val="99"/>
    <w:rPr>
      <w:rFonts w:ascii="宋体" w:hAnsi="宋体" w:eastAsia="宋体"/>
      <w:kern w:val="2"/>
      <w:sz w:val="21"/>
      <w:lang w:val="en-US" w:eastAsia="zh-CN"/>
    </w:rPr>
  </w:style>
  <w:style w:type="character" w:customStyle="1" w:styleId="43">
    <w:name w:val="表格文字 Char"/>
    <w:link w:val="44"/>
    <w:qFormat/>
    <w:locked/>
    <w:uiPriority w:val="99"/>
    <w:rPr>
      <w:rFonts w:ascii="宋体" w:hAnsi="宋体"/>
    </w:rPr>
  </w:style>
  <w:style w:type="paragraph" w:customStyle="1" w:styleId="44">
    <w:name w:val="表格文字"/>
    <w:basedOn w:val="1"/>
    <w:link w:val="43"/>
    <w:qFormat/>
    <w:uiPriority w:val="99"/>
    <w:pPr>
      <w:widowControl/>
      <w:adjustRightInd w:val="0"/>
      <w:snapToGrid w:val="0"/>
      <w:jc w:val="center"/>
    </w:pPr>
    <w:rPr>
      <w:rFonts w:ascii="宋体" w:hAnsi="宋体" w:eastAsia="宋体" w:cs="Times New Roman"/>
      <w:kern w:val="0"/>
      <w:sz w:val="20"/>
      <w:szCs w:val="20"/>
    </w:rPr>
  </w:style>
  <w:style w:type="paragraph" w:customStyle="1" w:styleId="45">
    <w:name w:val="正文1"/>
    <w:basedOn w:val="1"/>
    <w:qFormat/>
    <w:uiPriority w:val="99"/>
    <w:pPr>
      <w:spacing w:line="360" w:lineRule="auto"/>
      <w:ind w:firstLine="200" w:firstLineChars="200"/>
    </w:pPr>
    <w:rPr>
      <w:rFonts w:ascii="宋体" w:hAnsi="宋体" w:eastAsia="宋体" w:cs="Times New Roman"/>
      <w:sz w:val="24"/>
      <w:szCs w:val="21"/>
    </w:rPr>
  </w:style>
  <w:style w:type="character" w:customStyle="1" w:styleId="46">
    <w:name w:val="表格内字体 字符"/>
    <w:link w:val="47"/>
    <w:qFormat/>
    <w:uiPriority w:val="0"/>
    <w:rPr>
      <w:rFonts w:ascii="仿宋" w:hAnsi="仿宋" w:eastAsia="仿宋"/>
      <w:szCs w:val="21"/>
    </w:rPr>
  </w:style>
  <w:style w:type="paragraph" w:customStyle="1" w:styleId="47">
    <w:name w:val="表格内字体"/>
    <w:basedOn w:val="1"/>
    <w:link w:val="46"/>
    <w:qFormat/>
    <w:uiPriority w:val="0"/>
    <w:pPr>
      <w:widowControl/>
      <w:jc w:val="center"/>
    </w:pPr>
    <w:rPr>
      <w:rFonts w:ascii="仿宋" w:hAnsi="仿宋" w:eastAsia="仿宋" w:cs="Times New Roman"/>
      <w:kern w:val="0"/>
      <w:sz w:val="20"/>
      <w:szCs w:val="21"/>
    </w:rPr>
  </w:style>
  <w:style w:type="character" w:customStyle="1" w:styleId="48">
    <w:name w:val="表头 字符"/>
    <w:link w:val="49"/>
    <w:qFormat/>
    <w:uiPriority w:val="0"/>
    <w:rPr>
      <w:rFonts w:eastAsia="仿宋"/>
      <w:b/>
      <w:sz w:val="24"/>
      <w:szCs w:val="24"/>
    </w:rPr>
  </w:style>
  <w:style w:type="paragraph" w:customStyle="1" w:styleId="49">
    <w:name w:val="表头"/>
    <w:basedOn w:val="1"/>
    <w:link w:val="48"/>
    <w:qFormat/>
    <w:uiPriority w:val="0"/>
    <w:pPr>
      <w:jc w:val="center"/>
    </w:pPr>
    <w:rPr>
      <w:rFonts w:ascii="Calibri" w:hAnsi="Calibri" w:eastAsia="仿宋" w:cs="Times New Roman"/>
      <w:b/>
      <w:kern w:val="0"/>
      <w:sz w:val="24"/>
      <w:szCs w:val="24"/>
    </w:rPr>
  </w:style>
  <w:style w:type="paragraph" w:customStyle="1" w:styleId="50">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51">
    <w:name w:val="标准文字"/>
    <w:basedOn w:val="1"/>
    <w:qFormat/>
    <w:uiPriority w:val="0"/>
    <w:pPr>
      <w:overflowPunct w:val="0"/>
      <w:ind w:firstLine="640"/>
    </w:pPr>
    <w:rPr>
      <w:rFonts w:ascii="Times New Roman" w:hAnsi="Times New Roman" w:eastAsia="仿宋_GB2312" w:cs="Times New Roman"/>
    </w:rPr>
  </w:style>
  <w:style w:type="paragraph" w:customStyle="1" w:styleId="5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53">
    <w:name w:val="正文文本缩进 字符"/>
    <w:basedOn w:val="22"/>
    <w:link w:val="9"/>
    <w:semiHidden/>
    <w:qFormat/>
    <w:uiPriority w:val="99"/>
    <w:rPr>
      <w:rFonts w:asciiTheme="minorHAnsi" w:hAnsiTheme="minorHAnsi" w:eastAsiaTheme="minorEastAsia" w:cstheme="minorBidi"/>
      <w:kern w:val="2"/>
      <w:sz w:val="21"/>
      <w:szCs w:val="22"/>
    </w:rPr>
  </w:style>
  <w:style w:type="character" w:customStyle="1" w:styleId="54">
    <w:name w:val="正文首行缩进 2 字符"/>
    <w:basedOn w:val="53"/>
    <w:link w:val="19"/>
    <w:qFormat/>
    <w:uiPriority w:val="99"/>
    <w:rPr>
      <w:rFonts w:ascii="Times New Roman" w:hAnsi="Times New Roman" w:eastAsiaTheme="minorEastAsia" w:cstheme="minorBidi"/>
      <w:kern w:val="2"/>
      <w:sz w:val="21"/>
      <w:szCs w:val="24"/>
    </w:rPr>
  </w:style>
  <w:style w:type="paragraph" w:customStyle="1" w:styleId="55">
    <w:name w:val="列表段落1"/>
    <w:qFormat/>
    <w:uiPriority w:val="34"/>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6">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7">
    <w:name w:val="font51"/>
    <w:basedOn w:val="22"/>
    <w:qFormat/>
    <w:uiPriority w:val="0"/>
    <w:rPr>
      <w:rFonts w:ascii="宋体" w:hAnsi="宋体" w:eastAsia="宋体" w:cs="宋体"/>
      <w:b/>
      <w:bCs/>
      <w:color w:val="000000"/>
      <w:sz w:val="28"/>
      <w:szCs w:val="28"/>
      <w:u w:val="none"/>
    </w:rPr>
  </w:style>
  <w:style w:type="character" w:customStyle="1" w:styleId="58">
    <w:name w:val="font61"/>
    <w:basedOn w:val="22"/>
    <w:qFormat/>
    <w:uiPriority w:val="0"/>
    <w:rPr>
      <w:rFonts w:ascii="宋体" w:hAnsi="宋体" w:eastAsia="宋体" w:cs="宋体"/>
      <w:color w:val="000000"/>
      <w:sz w:val="28"/>
      <w:szCs w:val="28"/>
      <w:u w:val="none"/>
    </w:rPr>
  </w:style>
  <w:style w:type="character" w:customStyle="1" w:styleId="59">
    <w:name w:val="font31"/>
    <w:basedOn w:val="22"/>
    <w:qFormat/>
    <w:uiPriority w:val="0"/>
    <w:rPr>
      <w:rFonts w:hint="default" w:ascii="Arial" w:hAnsi="Arial" w:cs="Arial"/>
      <w:color w:val="000000"/>
      <w:sz w:val="6"/>
      <w:szCs w:val="6"/>
      <w:u w:val="none"/>
    </w:rPr>
  </w:style>
  <w:style w:type="character" w:customStyle="1" w:styleId="60">
    <w:name w:val="font01"/>
    <w:basedOn w:val="22"/>
    <w:qFormat/>
    <w:uiPriority w:val="0"/>
    <w:rPr>
      <w:rFonts w:hint="default" w:ascii="Arial" w:hAnsi="Arial" w:cs="Arial"/>
      <w:color w:val="000000"/>
      <w:sz w:val="7"/>
      <w:szCs w:val="7"/>
      <w:u w:val="none"/>
    </w:rPr>
  </w:style>
  <w:style w:type="paragraph" w:customStyle="1" w:styleId="61">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宋体"/>
      <w:color w:val="000000"/>
      <w:kern w:val="0"/>
      <w:szCs w:val="21"/>
    </w:rPr>
  </w:style>
  <w:style w:type="table" w:customStyle="1" w:styleId="62">
    <w:name w:val="Table Normal"/>
    <w:basedOn w:val="20"/>
    <w:qFormat/>
    <w:uiPriority w:val="0"/>
    <w:rPr>
      <w:rFonts w:eastAsia="Times New Roman"/>
    </w:rPr>
    <w:tblPr>
      <w:tblCellMar>
        <w:left w:w="0" w:type="dxa"/>
        <w:right w:w="0" w:type="dxa"/>
      </w:tblCellMar>
    </w:tblPr>
  </w:style>
  <w:style w:type="paragraph" w:customStyle="1" w:styleId="63">
    <w:name w:val="修订3"/>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172</Pages>
  <Words>10000</Words>
  <Characters>10861</Characters>
  <Lines>1191</Lines>
  <Paragraphs>335</Paragraphs>
  <TotalTime>0</TotalTime>
  <ScaleCrop>false</ScaleCrop>
  <LinksUpToDate>false</LinksUpToDate>
  <CharactersWithSpaces>10922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2024-12-13T07:45:00Z</dcterms:created>
  <dc:creator>claire</dc:creator>
  <cp:lastModifiedBy>唐亚云</cp:lastModifiedBy>
  <cp:lastPrinted>2024-12-10T00:35:00Z</cp:lastPrinted>
  <dcterms:modified xsi:type="dcterms:W3CDTF">2025-02-18T08:39:29Z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CD960DAB68E14E2DBD4D7B38C3153125_13</vt:lpwstr>
  </property>
  <property fmtid="{D5CDD505-2E9C-101B-9397-08002B2CF9AE}" pid="4" name="KSOTemplateDocerSaveRecord">
    <vt:lpwstr>eyJoZGlkIjoiNWJkMDk4MTMzNGNiNmU5OWIyZDkyZTk2ZDNkMzdjZjgifQ==</vt:lpwstr>
  </property>
</Properties>
</file>