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黑体" w:eastAsia="黑体"/>
          <w:sz w:val="32"/>
          <w:szCs w:val="32"/>
        </w:rPr>
        <w:t>附件</w:t>
      </w:r>
      <w:r>
        <w:rPr>
          <w:rFonts w:ascii="Times New Roman" w:hAnsi="Times New Roman" w:eastAsia="黑体"/>
          <w:sz w:val="32"/>
          <w:szCs w:val="32"/>
        </w:rPr>
        <w:t xml:space="preserve">2    </w:t>
      </w:r>
    </w:p>
    <w:p>
      <w:pPr>
        <w:spacing w:line="600" w:lineRule="exact"/>
        <w:ind w:firstLine="0"/>
        <w:jc w:val="center"/>
        <w:rPr>
          <w:rFonts w:ascii="方正小标宋简体" w:hAnsi="宋体" w:eastAsia="方正小标宋简体"/>
          <w:bCs/>
          <w:sz w:val="44"/>
          <w:szCs w:val="44"/>
        </w:rPr>
      </w:pPr>
      <w:bookmarkStart w:id="0" w:name="_GoBack"/>
      <w:r>
        <w:rPr>
          <w:rFonts w:ascii="方正小标宋简体" w:hAnsi="宋体" w:eastAsia="方正小标宋简体"/>
          <w:bCs/>
          <w:sz w:val="44"/>
          <w:szCs w:val="44"/>
        </w:rPr>
        <w:t>永州市中心城区城市道路交通干线</w:t>
      </w:r>
    </w:p>
    <w:p>
      <w:pPr>
        <w:spacing w:line="600" w:lineRule="exact"/>
        <w:ind w:firstLine="0"/>
        <w:jc w:val="center"/>
        <w:rPr>
          <w:rFonts w:ascii="方正小标宋简体" w:hAnsi="宋体" w:eastAsia="方正小标宋简体"/>
          <w:bCs/>
          <w:sz w:val="44"/>
          <w:szCs w:val="44"/>
        </w:rPr>
      </w:pPr>
      <w:r>
        <w:rPr>
          <w:rFonts w:ascii="方正小标宋简体" w:hAnsi="宋体" w:eastAsia="方正小标宋简体"/>
          <w:bCs/>
          <w:sz w:val="44"/>
          <w:szCs w:val="44"/>
        </w:rPr>
        <w:t>声环境功能区划分表</w:t>
      </w:r>
    </w:p>
    <w:bookmarkEnd w:id="0"/>
    <w:p>
      <w:pPr>
        <w:pStyle w:val="2"/>
      </w:pPr>
    </w:p>
    <w:tbl>
      <w:tblPr>
        <w:tblStyle w:val="4"/>
        <w:tblW w:w="827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"/>
        <w:gridCol w:w="6"/>
        <w:gridCol w:w="897"/>
        <w:gridCol w:w="1111"/>
        <w:gridCol w:w="3478"/>
        <w:gridCol w:w="750"/>
        <w:gridCol w:w="863"/>
        <w:gridCol w:w="67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502" w:type="dxa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textAlignment w:val="center"/>
              <w:rPr>
                <w:rFonts w:ascii="Times New Roman" w:hAnsi="Times New Roman" w:eastAsia="宋体"/>
                <w:b/>
                <w:bCs/>
                <w:sz w:val="21"/>
                <w:szCs w:val="21"/>
              </w:rPr>
            </w:pPr>
            <w:r>
              <w:rPr>
                <w:rFonts w:ascii="Times New Roman" w:eastAsia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903" w:type="dxa"/>
            <w:gridSpan w:val="2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textAlignment w:val="center"/>
              <w:rPr>
                <w:rFonts w:ascii="Times New Roman" w:hAnsi="Times New Roman" w:eastAsia="宋体"/>
                <w:b/>
                <w:bCs/>
                <w:sz w:val="21"/>
                <w:szCs w:val="21"/>
              </w:rPr>
            </w:pPr>
            <w:r>
              <w:rPr>
                <w:rFonts w:ascii="Times New Roman" w:eastAsia="宋体"/>
                <w:b/>
                <w:bCs/>
                <w:sz w:val="21"/>
                <w:szCs w:val="21"/>
              </w:rPr>
              <w:t>道路</w:t>
            </w:r>
          </w:p>
          <w:p>
            <w:pPr>
              <w:spacing w:line="300" w:lineRule="exact"/>
              <w:ind w:firstLine="0"/>
              <w:jc w:val="center"/>
              <w:textAlignment w:val="center"/>
              <w:rPr>
                <w:rFonts w:ascii="Times New Roman" w:hAnsi="Times New Roman" w:eastAsia="宋体"/>
                <w:b/>
                <w:bCs/>
                <w:sz w:val="21"/>
                <w:szCs w:val="21"/>
              </w:rPr>
            </w:pPr>
            <w:r>
              <w:rPr>
                <w:rFonts w:ascii="Times New Roman" w:eastAsia="宋体"/>
                <w:b/>
                <w:bCs/>
                <w:sz w:val="21"/>
                <w:szCs w:val="21"/>
              </w:rPr>
              <w:t>类型</w:t>
            </w:r>
          </w:p>
        </w:tc>
        <w:tc>
          <w:tcPr>
            <w:tcW w:w="1111" w:type="dxa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textAlignment w:val="center"/>
              <w:rPr>
                <w:rFonts w:ascii="Times New Roman" w:hAnsi="Times New Roman" w:eastAsia="宋体"/>
                <w:b/>
                <w:bCs/>
                <w:sz w:val="21"/>
                <w:szCs w:val="21"/>
              </w:rPr>
            </w:pPr>
            <w:r>
              <w:rPr>
                <w:rFonts w:ascii="Times New Roman" w:eastAsia="宋体"/>
                <w:b/>
                <w:bCs/>
                <w:sz w:val="21"/>
                <w:szCs w:val="21"/>
              </w:rPr>
              <w:t>道路名称</w:t>
            </w:r>
          </w:p>
        </w:tc>
        <w:tc>
          <w:tcPr>
            <w:tcW w:w="3478" w:type="dxa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textAlignment w:val="center"/>
              <w:rPr>
                <w:rFonts w:ascii="Times New Roman" w:hAnsi="Times New Roman" w:eastAsia="宋体"/>
                <w:b/>
                <w:bCs/>
                <w:sz w:val="21"/>
                <w:szCs w:val="21"/>
              </w:rPr>
            </w:pPr>
            <w:r>
              <w:rPr>
                <w:rFonts w:ascii="Times New Roman" w:eastAsia="宋体"/>
                <w:b/>
                <w:bCs/>
                <w:sz w:val="21"/>
                <w:szCs w:val="21"/>
              </w:rPr>
              <w:t>起止地点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textAlignment w:val="center"/>
              <w:rPr>
                <w:rFonts w:ascii="Times New Roman" w:hAnsi="Times New Roman" w:eastAsia="宋体"/>
                <w:b/>
                <w:bCs/>
                <w:sz w:val="21"/>
                <w:szCs w:val="21"/>
              </w:rPr>
            </w:pPr>
            <w:r>
              <w:rPr>
                <w:rFonts w:ascii="Times New Roman" w:eastAsia="宋体"/>
                <w:b/>
                <w:bCs/>
                <w:sz w:val="21"/>
                <w:szCs w:val="21"/>
              </w:rPr>
              <w:t>路面</w:t>
            </w:r>
          </w:p>
          <w:p>
            <w:pPr>
              <w:widowControl/>
              <w:spacing w:line="300" w:lineRule="exact"/>
              <w:ind w:firstLine="0"/>
              <w:jc w:val="center"/>
              <w:textAlignment w:val="center"/>
              <w:rPr>
                <w:rFonts w:ascii="Times New Roman" w:hAnsi="Times New Roman" w:eastAsia="宋体"/>
                <w:b/>
                <w:bCs/>
                <w:sz w:val="21"/>
                <w:szCs w:val="21"/>
              </w:rPr>
            </w:pPr>
            <w:r>
              <w:rPr>
                <w:rFonts w:ascii="Times New Roman" w:eastAsia="宋体"/>
                <w:b/>
                <w:bCs/>
                <w:sz w:val="21"/>
                <w:szCs w:val="21"/>
              </w:rPr>
              <w:t>宽度</w:t>
            </w:r>
          </w:p>
          <w:p>
            <w:pPr>
              <w:widowControl/>
              <w:spacing w:line="300" w:lineRule="exact"/>
              <w:ind w:firstLine="0"/>
              <w:jc w:val="center"/>
              <w:textAlignment w:val="center"/>
              <w:rPr>
                <w:rFonts w:ascii="Times New Roman" w:hAnsi="Times New Roman" w:eastAsia="宋体"/>
                <w:b/>
                <w:bCs/>
                <w:sz w:val="21"/>
                <w:szCs w:val="21"/>
              </w:rPr>
            </w:pPr>
            <w:r>
              <w:rPr>
                <w:rFonts w:ascii="Times New Roman" w:eastAsia="宋体"/>
                <w:b/>
                <w:bCs/>
                <w:sz w:val="18"/>
                <w:szCs w:val="18"/>
              </w:rPr>
              <w:t>（</w:t>
            </w:r>
            <w:r>
              <w:rPr>
                <w:rFonts w:ascii="Times New Roman" w:hAnsi="Times New Roman" w:eastAsia="宋体"/>
                <w:b/>
                <w:bCs/>
                <w:sz w:val="18"/>
                <w:szCs w:val="18"/>
              </w:rPr>
              <w:t>m</w:t>
            </w:r>
            <w:r>
              <w:rPr>
                <w:rFonts w:ascii="Times New Roman" w:eastAsia="宋体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863" w:type="dxa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rPr>
                <w:rFonts w:ascii="Times New Roman" w:hAnsi="Times New Roman" w:eastAsia="宋体"/>
                <w:b/>
                <w:bCs/>
                <w:sz w:val="21"/>
                <w:szCs w:val="21"/>
              </w:rPr>
            </w:pPr>
            <w:r>
              <w:rPr>
                <w:rFonts w:ascii="Times New Roman" w:eastAsia="宋体"/>
                <w:b/>
                <w:bCs/>
                <w:sz w:val="21"/>
                <w:szCs w:val="21"/>
              </w:rPr>
              <w:t>声环境功能区类别</w:t>
            </w:r>
          </w:p>
        </w:tc>
        <w:tc>
          <w:tcPr>
            <w:tcW w:w="671" w:type="dxa"/>
            <w:vAlign w:val="center"/>
          </w:tcPr>
          <w:p>
            <w:pPr>
              <w:widowControl/>
              <w:spacing w:line="300" w:lineRule="exact"/>
              <w:ind w:firstLine="0"/>
              <w:jc w:val="center"/>
              <w:textAlignment w:val="center"/>
              <w:rPr>
                <w:rFonts w:ascii="Times New Roman" w:hAnsi="Times New Roman" w:eastAsia="宋体"/>
                <w:b/>
                <w:bCs/>
                <w:sz w:val="21"/>
                <w:szCs w:val="21"/>
              </w:rPr>
            </w:pPr>
            <w:r>
              <w:rPr>
                <w:rFonts w:ascii="Times New Roman" w:eastAsia="宋体"/>
                <w:b/>
                <w:bCs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1</w:t>
            </w:r>
          </w:p>
        </w:tc>
        <w:tc>
          <w:tcPr>
            <w:tcW w:w="903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主干路</w:t>
            </w: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潇湘大道</w:t>
            </w:r>
          </w:p>
        </w:tc>
        <w:tc>
          <w:tcPr>
            <w:tcW w:w="347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ind w:firstLine="0"/>
              <w:jc w:val="center"/>
              <w:textAlignment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谷源路至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G207</w:t>
            </w:r>
            <w:r>
              <w:rPr>
                <w:rFonts w:ascii="Times New Roman" w:hAnsi="宋体" w:eastAsia="宋体"/>
                <w:sz w:val="21"/>
                <w:szCs w:val="21"/>
              </w:rPr>
              <w:t>国道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44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2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谷源路</w:t>
            </w:r>
          </w:p>
        </w:tc>
        <w:tc>
          <w:tcPr>
            <w:tcW w:w="347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ind w:firstLine="0"/>
              <w:jc w:val="center"/>
              <w:textAlignment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潇湘大道至湘江西路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48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3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阳明大道</w:t>
            </w:r>
          </w:p>
        </w:tc>
        <w:tc>
          <w:tcPr>
            <w:tcW w:w="347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ind w:firstLine="0"/>
              <w:jc w:val="center"/>
              <w:textAlignment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冷竹路至潇水路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48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珊瑚路</w:t>
            </w:r>
          </w:p>
        </w:tc>
        <w:tc>
          <w:tcPr>
            <w:tcW w:w="3478" w:type="dxa"/>
            <w:vAlign w:val="center"/>
          </w:tcPr>
          <w:p>
            <w:pPr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潇湘大道至春江路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33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5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紫霞路</w:t>
            </w:r>
          </w:p>
        </w:tc>
        <w:tc>
          <w:tcPr>
            <w:tcW w:w="3478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潇湘大道至九嶷大道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33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6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梧桐路</w:t>
            </w:r>
          </w:p>
        </w:tc>
        <w:tc>
          <w:tcPr>
            <w:tcW w:w="347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ind w:firstLine="0"/>
              <w:jc w:val="center"/>
              <w:textAlignment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潇湘大道至九嶷大道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48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7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西区路</w:t>
            </w:r>
          </w:p>
        </w:tc>
        <w:tc>
          <w:tcPr>
            <w:tcW w:w="347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ind w:firstLine="0"/>
              <w:jc w:val="center"/>
              <w:textAlignment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潇湘大道至湘江西路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33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8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南平路</w:t>
            </w:r>
          </w:p>
        </w:tc>
        <w:tc>
          <w:tcPr>
            <w:tcW w:w="347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ind w:firstLine="0"/>
              <w:jc w:val="center"/>
              <w:textAlignment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潇湘大道至湘江西路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33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9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舜皇大道</w:t>
            </w:r>
          </w:p>
        </w:tc>
        <w:tc>
          <w:tcPr>
            <w:tcW w:w="347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ind w:firstLine="0"/>
              <w:jc w:val="center"/>
              <w:textAlignment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袁家村纵一路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至湘江东路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33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10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长丰大道</w:t>
            </w:r>
          </w:p>
        </w:tc>
        <w:tc>
          <w:tcPr>
            <w:tcW w:w="347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ind w:firstLine="0"/>
              <w:jc w:val="center"/>
              <w:textAlignment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袁家村纵一路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至阳明大道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33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11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城南大道</w:t>
            </w:r>
          </w:p>
        </w:tc>
        <w:tc>
          <w:tcPr>
            <w:tcW w:w="347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ind w:firstLine="0"/>
              <w:jc w:val="center"/>
              <w:textAlignment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袁家村纵一路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至阳明大道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48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12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珍珠路</w:t>
            </w:r>
          </w:p>
        </w:tc>
        <w:tc>
          <w:tcPr>
            <w:tcW w:w="347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ind w:firstLine="0"/>
              <w:jc w:val="center"/>
              <w:textAlignment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谷源路至城南大道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22-33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13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银象路</w:t>
            </w:r>
          </w:p>
        </w:tc>
        <w:tc>
          <w:tcPr>
            <w:tcW w:w="347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ind w:firstLine="0"/>
              <w:jc w:val="center"/>
              <w:textAlignment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谷源路至湘江西路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33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14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凤凰路</w:t>
            </w:r>
          </w:p>
        </w:tc>
        <w:tc>
          <w:tcPr>
            <w:tcW w:w="347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ind w:firstLine="0"/>
              <w:jc w:val="center"/>
              <w:textAlignment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谷源路至湘江西路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33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15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春江路</w:t>
            </w:r>
          </w:p>
        </w:tc>
        <w:tc>
          <w:tcPr>
            <w:tcW w:w="347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ind w:firstLine="0"/>
              <w:jc w:val="center"/>
              <w:textAlignment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谷源路至湘江西路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24-33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16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九嶷大道</w:t>
            </w:r>
          </w:p>
        </w:tc>
        <w:tc>
          <w:tcPr>
            <w:tcW w:w="347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ind w:firstLine="0"/>
              <w:jc w:val="center"/>
              <w:textAlignment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湘桂三路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至湘江西路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48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17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零陵北路</w:t>
            </w:r>
          </w:p>
        </w:tc>
        <w:tc>
          <w:tcPr>
            <w:tcW w:w="347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ind w:firstLine="0"/>
              <w:jc w:val="center"/>
              <w:textAlignment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紫金路至湘江西路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33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18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零陵中路</w:t>
            </w:r>
          </w:p>
        </w:tc>
        <w:tc>
          <w:tcPr>
            <w:tcW w:w="3478" w:type="dxa"/>
            <w:vAlign w:val="center"/>
          </w:tcPr>
          <w:p>
            <w:pPr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紫金路至舜皇大道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24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19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零陵南路</w:t>
            </w:r>
          </w:p>
        </w:tc>
        <w:tc>
          <w:tcPr>
            <w:tcW w:w="3478" w:type="dxa"/>
            <w:vAlign w:val="center"/>
          </w:tcPr>
          <w:p>
            <w:pPr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舜皇大道至城南大道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33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20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湘永路</w:t>
            </w:r>
          </w:p>
        </w:tc>
        <w:tc>
          <w:tcPr>
            <w:tcW w:w="3478" w:type="dxa"/>
            <w:vAlign w:val="center"/>
          </w:tcPr>
          <w:p>
            <w:pPr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湘江东路至永州大道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34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21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翠竹路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 </w:t>
            </w:r>
          </w:p>
        </w:tc>
        <w:tc>
          <w:tcPr>
            <w:tcW w:w="3478" w:type="dxa"/>
            <w:vAlign w:val="center"/>
          </w:tcPr>
          <w:p>
            <w:pPr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湘江东路至阳明大道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33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22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中兴路</w:t>
            </w:r>
          </w:p>
        </w:tc>
        <w:tc>
          <w:tcPr>
            <w:tcW w:w="347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ind w:firstLine="0"/>
              <w:jc w:val="center"/>
              <w:textAlignment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湘江东路至马路街路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规划）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24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23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清桥路</w:t>
            </w:r>
          </w:p>
        </w:tc>
        <w:tc>
          <w:tcPr>
            <w:tcW w:w="3478" w:type="dxa"/>
            <w:vAlign w:val="center"/>
          </w:tcPr>
          <w:p>
            <w:pPr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潇湘大桥至宋家洲大桥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33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24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双洲路</w:t>
            </w:r>
          </w:p>
        </w:tc>
        <w:tc>
          <w:tcPr>
            <w:tcW w:w="3478" w:type="dxa"/>
            <w:vAlign w:val="center"/>
          </w:tcPr>
          <w:p>
            <w:pPr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湘江东路至翠竹路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33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25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马路街路</w:t>
            </w:r>
          </w:p>
        </w:tc>
        <w:tc>
          <w:tcPr>
            <w:tcW w:w="3478" w:type="dxa"/>
            <w:vAlign w:val="center"/>
          </w:tcPr>
          <w:p>
            <w:pPr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冷竹路至复兴岭北路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33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26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育才路</w:t>
            </w:r>
          </w:p>
        </w:tc>
        <w:tc>
          <w:tcPr>
            <w:tcW w:w="3478" w:type="dxa"/>
            <w:vAlign w:val="center"/>
          </w:tcPr>
          <w:p>
            <w:pPr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湘江东路至长丰大道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48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27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永州大道</w:t>
            </w:r>
          </w:p>
        </w:tc>
        <w:tc>
          <w:tcPr>
            <w:tcW w:w="347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ind w:firstLine="0"/>
              <w:jc w:val="center"/>
              <w:textAlignment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复兴大桥至朝阳大道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33-66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28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陶源路</w:t>
            </w:r>
          </w:p>
        </w:tc>
        <w:tc>
          <w:tcPr>
            <w:tcW w:w="347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ind w:firstLine="0"/>
              <w:jc w:val="center"/>
              <w:textAlignment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潇湘大道至九嶷大道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33-48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29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pacing w:val="-18"/>
                <w:sz w:val="21"/>
                <w:szCs w:val="21"/>
              </w:rPr>
            </w:pPr>
            <w:r>
              <w:rPr>
                <w:rFonts w:ascii="Times New Roman" w:eastAsia="宋体"/>
                <w:spacing w:val="-18"/>
                <w:sz w:val="21"/>
                <w:szCs w:val="21"/>
              </w:rPr>
              <w:t>阳甸村三路</w:t>
            </w:r>
          </w:p>
        </w:tc>
        <w:tc>
          <w:tcPr>
            <w:tcW w:w="347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ind w:firstLine="0"/>
              <w:jc w:val="center"/>
              <w:textAlignment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湘江东路至复兴岭西路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26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30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李达大道</w:t>
            </w:r>
          </w:p>
        </w:tc>
        <w:tc>
          <w:tcPr>
            <w:tcW w:w="347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ind w:firstLine="0"/>
              <w:jc w:val="center"/>
              <w:textAlignment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湘江东路至阳明大道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48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31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迎宾路</w:t>
            </w:r>
          </w:p>
        </w:tc>
        <w:tc>
          <w:tcPr>
            <w:tcW w:w="347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ind w:firstLine="0"/>
              <w:jc w:val="center"/>
              <w:textAlignment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永州零陵机场至阳明大道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16-33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32</w:t>
            </w:r>
          </w:p>
        </w:tc>
        <w:tc>
          <w:tcPr>
            <w:tcW w:w="903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主干路</w:t>
            </w: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任贤路</w:t>
            </w:r>
          </w:p>
        </w:tc>
        <w:tc>
          <w:tcPr>
            <w:tcW w:w="347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ind w:firstLine="0"/>
              <w:jc w:val="center"/>
              <w:textAlignment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永州大道至阳明大道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24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33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石木冲路</w:t>
            </w:r>
          </w:p>
        </w:tc>
        <w:tc>
          <w:tcPr>
            <w:tcW w:w="347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ind w:firstLine="0"/>
              <w:jc w:val="center"/>
              <w:textAlignment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湘江东路至阳明大道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48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34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鹤鸣大道</w:t>
            </w:r>
          </w:p>
        </w:tc>
        <w:tc>
          <w:tcPr>
            <w:tcW w:w="3478" w:type="dxa"/>
            <w:vAlign w:val="center"/>
          </w:tcPr>
          <w:p>
            <w:pPr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城南大道至巴洲一路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26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35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政通二路</w:t>
            </w:r>
          </w:p>
        </w:tc>
        <w:tc>
          <w:tcPr>
            <w:tcW w:w="3478" w:type="dxa"/>
            <w:vAlign w:val="center"/>
          </w:tcPr>
          <w:p>
            <w:pPr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湘江东路至阳明大道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24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36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政通四路</w:t>
            </w:r>
          </w:p>
        </w:tc>
        <w:tc>
          <w:tcPr>
            <w:tcW w:w="3478" w:type="dxa"/>
            <w:vAlign w:val="center"/>
          </w:tcPr>
          <w:p>
            <w:pPr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永州大道至阳明大道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24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37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人和二路</w:t>
            </w:r>
          </w:p>
        </w:tc>
        <w:tc>
          <w:tcPr>
            <w:tcW w:w="3478" w:type="dxa"/>
            <w:vAlign w:val="center"/>
          </w:tcPr>
          <w:p>
            <w:pPr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政通一路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至日升路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24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38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朝阳大道</w:t>
            </w:r>
          </w:p>
        </w:tc>
        <w:tc>
          <w:tcPr>
            <w:tcW w:w="3478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潇湘大道至永州大道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48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39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日升路</w:t>
            </w:r>
          </w:p>
        </w:tc>
        <w:tc>
          <w:tcPr>
            <w:tcW w:w="3478" w:type="dxa"/>
            <w:vAlign w:val="center"/>
          </w:tcPr>
          <w:p>
            <w:pPr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湘江东路至阳明大道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33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40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萍洲路</w:t>
            </w:r>
          </w:p>
        </w:tc>
        <w:tc>
          <w:tcPr>
            <w:tcW w:w="347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ind w:firstLine="0"/>
              <w:jc w:val="center"/>
              <w:textAlignment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永乐路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至阳明大道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33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41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黄古山路</w:t>
            </w:r>
          </w:p>
        </w:tc>
        <w:tc>
          <w:tcPr>
            <w:tcW w:w="347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ind w:firstLine="0"/>
              <w:jc w:val="center"/>
              <w:textAlignment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芝山路至阳明大道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33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42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芝山路</w:t>
            </w:r>
          </w:p>
        </w:tc>
        <w:tc>
          <w:tcPr>
            <w:tcW w:w="3478" w:type="dxa"/>
            <w:vAlign w:val="center"/>
          </w:tcPr>
          <w:p>
            <w:pPr>
              <w:widowControl/>
              <w:adjustRightInd w:val="0"/>
              <w:snapToGrid w:val="0"/>
              <w:spacing w:line="240" w:lineRule="exact"/>
              <w:ind w:firstLine="0"/>
              <w:jc w:val="center"/>
              <w:textAlignment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日升路至潇水路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16-33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43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潇水路</w:t>
            </w:r>
          </w:p>
        </w:tc>
        <w:tc>
          <w:tcPr>
            <w:tcW w:w="3478" w:type="dxa"/>
            <w:vAlign w:val="center"/>
          </w:tcPr>
          <w:p>
            <w:pPr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潇湘大道至朝阳大道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33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44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黄泥桥路</w:t>
            </w:r>
          </w:p>
        </w:tc>
        <w:tc>
          <w:tcPr>
            <w:tcW w:w="3478" w:type="dxa"/>
            <w:vAlign w:val="center"/>
          </w:tcPr>
          <w:p>
            <w:pPr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永乐路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至工业大道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24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45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G207</w:t>
            </w:r>
          </w:p>
        </w:tc>
        <w:tc>
          <w:tcPr>
            <w:tcW w:w="3478" w:type="dxa"/>
            <w:vAlign w:val="center"/>
          </w:tcPr>
          <w:p>
            <w:pPr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工业大道至潇湘大道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48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46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五堆路</w:t>
            </w:r>
          </w:p>
        </w:tc>
        <w:tc>
          <w:tcPr>
            <w:tcW w:w="3478" w:type="dxa"/>
            <w:vAlign w:val="center"/>
          </w:tcPr>
          <w:p>
            <w:pPr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工业大道至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G207</w:t>
            </w:r>
            <w:r>
              <w:rPr>
                <w:rFonts w:ascii="Times New Roman" w:hAnsi="宋体" w:eastAsia="宋体"/>
                <w:sz w:val="21"/>
                <w:szCs w:val="21"/>
              </w:rPr>
              <w:t>国道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33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47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工业大道</w:t>
            </w:r>
          </w:p>
        </w:tc>
        <w:tc>
          <w:tcPr>
            <w:tcW w:w="3478" w:type="dxa"/>
            <w:vAlign w:val="center"/>
          </w:tcPr>
          <w:p>
            <w:pPr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岭河路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至五堆路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24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48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岭河路</w:t>
            </w:r>
          </w:p>
        </w:tc>
        <w:tc>
          <w:tcPr>
            <w:tcW w:w="3478" w:type="dxa"/>
            <w:vAlign w:val="center"/>
          </w:tcPr>
          <w:p>
            <w:pPr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工业大道至永乐路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在建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33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49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永乐路</w:t>
            </w:r>
          </w:p>
        </w:tc>
        <w:tc>
          <w:tcPr>
            <w:tcW w:w="3478" w:type="dxa"/>
            <w:vAlign w:val="center"/>
          </w:tcPr>
          <w:p>
            <w:pPr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岭河路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至五堆路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33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在建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50</w:t>
            </w:r>
          </w:p>
        </w:tc>
        <w:tc>
          <w:tcPr>
            <w:tcW w:w="903" w:type="dxa"/>
            <w:gridSpan w:val="2"/>
            <w:vMerge w:val="continue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111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桃江路</w:t>
            </w:r>
          </w:p>
        </w:tc>
        <w:tc>
          <w:tcPr>
            <w:tcW w:w="3478" w:type="dxa"/>
            <w:vAlign w:val="center"/>
          </w:tcPr>
          <w:p>
            <w:pPr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宋体" w:eastAsia="宋体"/>
                <w:sz w:val="21"/>
                <w:szCs w:val="21"/>
              </w:rPr>
              <w:t>萍洲路至朝阳大道</w:t>
            </w:r>
          </w:p>
        </w:tc>
        <w:tc>
          <w:tcPr>
            <w:tcW w:w="750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33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spacing w:line="240" w:lineRule="exact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5" w:hRule="atLeast"/>
        </w:trPr>
        <w:tc>
          <w:tcPr>
            <w:tcW w:w="502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903" w:type="dxa"/>
            <w:gridSpan w:val="2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次干路</w:t>
            </w:r>
          </w:p>
        </w:tc>
        <w:tc>
          <w:tcPr>
            <w:tcW w:w="5339" w:type="dxa"/>
            <w:gridSpan w:val="3"/>
            <w:vAlign w:val="center"/>
          </w:tcPr>
          <w:p>
            <w:pPr>
              <w:adjustRightInd w:val="0"/>
              <w:snapToGrid w:val="0"/>
              <w:ind w:firstLine="0"/>
              <w:jc w:val="left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湘桂三路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天龙路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淡岩路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eastAsia="宋体"/>
                <w:sz w:val="21"/>
                <w:szCs w:val="21"/>
              </w:rPr>
              <w:t>在建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eastAsia="宋体"/>
                <w:sz w:val="21"/>
                <w:szCs w:val="21"/>
              </w:rPr>
              <w:t>、湖塘路、湘跃路、竹林路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站前南路、金竹路、丰泰路、宋洲路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eastAsia="宋体"/>
                <w:sz w:val="21"/>
                <w:szCs w:val="21"/>
              </w:rPr>
              <w:t>、南甸路、仁湾路、逸云路、富强路、进贤路、梨子园路、润之路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eastAsia="宋体"/>
                <w:sz w:val="21"/>
                <w:szCs w:val="21"/>
              </w:rPr>
              <w:t>在建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复兴岭北路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传芳路、袁家村纵一路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袁家村纵二路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舜源路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猎豹路、盘王路、梅山路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紫金路、月岩路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万寿路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eastAsia="宋体"/>
                <w:sz w:val="21"/>
                <w:szCs w:val="21"/>
              </w:rPr>
              <w:t>在建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湘江西路、湘江东路、科技园路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四丘田路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梅湾路、建设路、阳甸村一路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中江庙横路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李达二路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新田前路、利安路、油榨头路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保方寺路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陶公路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文化路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巴洲大道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eastAsia="宋体"/>
                <w:sz w:val="21"/>
                <w:szCs w:val="21"/>
              </w:rPr>
              <w:t>在建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巴洲一路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巴洲西二路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巴洲东二路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巴洲三路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湖烟路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地税路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复兴岭西路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机场东二路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明政路、诚信路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雷发路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新城路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巴汜路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巴洲纵一路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巴洲纵二路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巴洲纵三路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政通一路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政通三路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政通五路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人和一路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老埠头路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杨万里路、湘口馆路、荔枝路、菱角塘路、羊角山路、黄溪路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迴龙塔路、小石潭路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eastAsia="宋体"/>
                <w:sz w:val="21"/>
                <w:szCs w:val="21"/>
              </w:rPr>
              <w:t>在建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石涧路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湖湘路、钴姆潭路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袁家碣路、德榜西路、德榜路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华源路、庙前路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eastAsia="宋体"/>
                <w:sz w:val="21"/>
                <w:szCs w:val="21"/>
              </w:rPr>
              <w:t>在建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泉井路、沙叶塘路、五指山路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柳宗元路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湘源路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石城山路、江雪路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规划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萍阳路、古城路、中山路、绿影路、风荷路、神仙岭路、百万庄路、鸟沙洲路、永职路、香零山路</w:t>
            </w:r>
            <w:r>
              <w:rPr>
                <w:rFonts w:ascii="Times New Roman" w:hAnsi="宋体" w:eastAsia="宋体"/>
                <w:sz w:val="21"/>
                <w:szCs w:val="21"/>
              </w:rPr>
              <w:t>，共计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98</w:t>
            </w:r>
            <w:r>
              <w:rPr>
                <w:rFonts w:ascii="Times New Roman" w:hAnsi="宋体" w:eastAsia="宋体"/>
                <w:sz w:val="21"/>
                <w:szCs w:val="21"/>
              </w:rPr>
              <w:t>条道路。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508" w:type="dxa"/>
            <w:gridSpan w:val="2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  <w:tc>
          <w:tcPr>
            <w:tcW w:w="897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高速路</w:t>
            </w:r>
          </w:p>
        </w:tc>
        <w:tc>
          <w:tcPr>
            <w:tcW w:w="5339" w:type="dxa"/>
            <w:gridSpan w:val="3"/>
            <w:vAlign w:val="center"/>
          </w:tcPr>
          <w:p>
            <w:pPr>
              <w:adjustRightInd w:val="0"/>
              <w:snapToGrid w:val="0"/>
              <w:ind w:firstLine="0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泉南高速</w:t>
            </w:r>
            <w:r>
              <w:rPr>
                <w:rFonts w:ascii="Times New Roman" w:hAnsi="宋体" w:eastAsia="宋体"/>
                <w:sz w:val="21"/>
                <w:szCs w:val="21"/>
              </w:rPr>
              <w:t>、</w:t>
            </w:r>
            <w:r>
              <w:rPr>
                <w:rFonts w:ascii="Times New Roman" w:eastAsia="宋体"/>
                <w:sz w:val="21"/>
                <w:szCs w:val="21"/>
              </w:rPr>
              <w:t>二广高速</w:t>
            </w:r>
          </w:p>
        </w:tc>
        <w:tc>
          <w:tcPr>
            <w:tcW w:w="863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</w:t>
            </w:r>
          </w:p>
        </w:tc>
        <w:tc>
          <w:tcPr>
            <w:tcW w:w="671" w:type="dxa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2" w:hRule="atLeast"/>
        </w:trPr>
        <w:tc>
          <w:tcPr>
            <w:tcW w:w="1405" w:type="dxa"/>
            <w:gridSpan w:val="3"/>
            <w:vAlign w:val="center"/>
          </w:tcPr>
          <w:p>
            <w:pPr>
              <w:adjustRightInd w:val="0"/>
              <w:snapToGrid w:val="0"/>
              <w:ind w:firstLine="0"/>
              <w:jc w:val="center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eastAsia="宋体"/>
                <w:sz w:val="21"/>
                <w:szCs w:val="21"/>
              </w:rPr>
              <w:t>备</w:t>
            </w:r>
            <w:r>
              <w:rPr>
                <w:rFonts w:ascii="Times New Roman" w:hAnsi="Times New Roman" w:eastAsia="宋体"/>
                <w:sz w:val="21"/>
                <w:szCs w:val="21"/>
              </w:rPr>
              <w:t xml:space="preserve"> </w:t>
            </w:r>
            <w:r>
              <w:rPr>
                <w:rFonts w:ascii="Times New Roman" w:eastAsia="宋体"/>
                <w:sz w:val="21"/>
                <w:szCs w:val="21"/>
              </w:rPr>
              <w:t>注</w:t>
            </w:r>
          </w:p>
        </w:tc>
        <w:tc>
          <w:tcPr>
            <w:tcW w:w="6873" w:type="dxa"/>
            <w:gridSpan w:val="5"/>
            <w:vAlign w:val="center"/>
          </w:tcPr>
          <w:p>
            <w:pPr>
              <w:adjustRightInd w:val="0"/>
              <w:snapToGrid w:val="0"/>
              <w:ind w:firstLine="420" w:firstLineChars="200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1.</w:t>
            </w:r>
            <w:r>
              <w:rPr>
                <w:rFonts w:ascii="Times New Roman" w:hAnsi="宋体" w:eastAsia="宋体"/>
                <w:sz w:val="21"/>
                <w:szCs w:val="21"/>
              </w:rPr>
              <w:t>道路交通干线边界线外一定距离内的区域划分为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类声环境功能区，距离的确定方法如下：</w:t>
            </w:r>
          </w:p>
          <w:p>
            <w:pPr>
              <w:adjustRightInd w:val="0"/>
              <w:snapToGrid w:val="0"/>
              <w:ind w:firstLine="420" w:firstLineChars="200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（1）</w:t>
            </w:r>
            <w:r>
              <w:rPr>
                <w:rFonts w:ascii="Times New Roman" w:hAnsi="宋体" w:eastAsia="宋体"/>
                <w:sz w:val="21"/>
                <w:szCs w:val="21"/>
              </w:rPr>
              <w:t>相邻区域为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1</w:t>
            </w:r>
            <w:r>
              <w:rPr>
                <w:rFonts w:ascii="Times New Roman" w:hAnsi="宋体" w:eastAsia="宋体"/>
                <w:sz w:val="21"/>
                <w:szCs w:val="21"/>
              </w:rPr>
              <w:t>类声环境功能区，距离为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50m</w:t>
            </w:r>
            <w:r>
              <w:rPr>
                <w:rFonts w:ascii="Times New Roman" w:hAnsi="宋体" w:eastAsia="宋体"/>
                <w:sz w:val="21"/>
                <w:szCs w:val="21"/>
              </w:rPr>
              <w:t>；</w:t>
            </w:r>
          </w:p>
          <w:p>
            <w:pPr>
              <w:adjustRightInd w:val="0"/>
              <w:snapToGrid w:val="0"/>
              <w:ind w:firstLine="420" w:firstLineChars="200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（2）</w:t>
            </w:r>
            <w:r>
              <w:rPr>
                <w:rFonts w:ascii="Times New Roman" w:hAnsi="宋体" w:eastAsia="宋体"/>
                <w:sz w:val="21"/>
                <w:szCs w:val="21"/>
              </w:rPr>
              <w:t>相邻区域为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2</w:t>
            </w:r>
            <w:r>
              <w:rPr>
                <w:rFonts w:ascii="Times New Roman" w:hAnsi="宋体" w:eastAsia="宋体"/>
                <w:sz w:val="21"/>
                <w:szCs w:val="21"/>
              </w:rPr>
              <w:t>类声环境功能区，距离为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35m</w:t>
            </w:r>
            <w:r>
              <w:rPr>
                <w:rFonts w:ascii="Times New Roman" w:hAnsi="宋体" w:eastAsia="宋体"/>
                <w:sz w:val="21"/>
                <w:szCs w:val="21"/>
              </w:rPr>
              <w:t>；</w:t>
            </w:r>
          </w:p>
          <w:p>
            <w:pPr>
              <w:adjustRightInd w:val="0"/>
              <w:snapToGrid w:val="0"/>
              <w:ind w:firstLine="420" w:firstLineChars="200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（3）</w:t>
            </w:r>
            <w:r>
              <w:rPr>
                <w:rFonts w:ascii="Times New Roman" w:hAnsi="宋体" w:eastAsia="宋体"/>
                <w:sz w:val="21"/>
                <w:szCs w:val="21"/>
              </w:rPr>
              <w:t>相邻区域为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3</w:t>
            </w:r>
            <w:r>
              <w:rPr>
                <w:rFonts w:ascii="Times New Roman" w:hAnsi="宋体" w:eastAsia="宋体"/>
                <w:sz w:val="21"/>
                <w:szCs w:val="21"/>
              </w:rPr>
              <w:t>类声环境功能区，距离为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20m</w:t>
            </w:r>
            <w:r>
              <w:rPr>
                <w:rFonts w:ascii="Times New Roman" w:hAnsi="宋体" w:eastAsia="宋体"/>
                <w:sz w:val="21"/>
                <w:szCs w:val="21"/>
              </w:rPr>
              <w:t>。</w:t>
            </w:r>
          </w:p>
          <w:p>
            <w:pPr>
              <w:adjustRightInd w:val="0"/>
              <w:snapToGrid w:val="0"/>
              <w:ind w:firstLine="0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 xml:space="preserve">  </w:t>
            </w:r>
            <w:r>
              <w:rPr>
                <w:rFonts w:hint="eastAsia" w:ascii="Times New Roman" w:hAnsi="Times New Roman" w:eastAsia="宋体"/>
                <w:sz w:val="21"/>
                <w:szCs w:val="21"/>
              </w:rPr>
              <w:t xml:space="preserve">  </w:t>
            </w:r>
            <w:r>
              <w:rPr>
                <w:rFonts w:ascii="Times New Roman" w:hAnsi="宋体" w:eastAsia="宋体"/>
                <w:sz w:val="21"/>
                <w:szCs w:val="21"/>
              </w:rPr>
              <w:t>当临街建筑高于三层楼房以上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（</w:t>
            </w:r>
            <w:r>
              <w:rPr>
                <w:rFonts w:ascii="Times New Roman" w:hAnsi="宋体" w:eastAsia="宋体"/>
                <w:sz w:val="21"/>
                <w:szCs w:val="21"/>
              </w:rPr>
              <w:t>含三层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）</w:t>
            </w:r>
            <w:r>
              <w:rPr>
                <w:rFonts w:ascii="Times New Roman" w:hAnsi="宋体" w:eastAsia="宋体"/>
                <w:sz w:val="21"/>
                <w:szCs w:val="21"/>
              </w:rPr>
              <w:t>时，将临街建筑面向交通干线一侧至交通干线边界线的区域定为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4a</w:t>
            </w:r>
            <w:r>
              <w:rPr>
                <w:rFonts w:ascii="Times New Roman" w:hAnsi="宋体" w:eastAsia="宋体"/>
                <w:sz w:val="21"/>
                <w:szCs w:val="21"/>
              </w:rPr>
              <w:t>类声环境功能区。</w:t>
            </w:r>
          </w:p>
          <w:p>
            <w:pPr>
              <w:adjustRightInd w:val="0"/>
              <w:snapToGrid w:val="0"/>
              <w:ind w:firstLine="420" w:firstLineChars="200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2.</w:t>
            </w:r>
            <w:r>
              <w:rPr>
                <w:rFonts w:ascii="Times New Roman" w:hAnsi="宋体" w:eastAsia="宋体"/>
                <w:sz w:val="21"/>
                <w:szCs w:val="21"/>
              </w:rPr>
              <w:t>城市道路边界线的界定：各级市政道路与人行道的交界线。</w:t>
            </w:r>
          </w:p>
          <w:p>
            <w:pPr>
              <w:adjustRightInd w:val="0"/>
              <w:snapToGrid w:val="0"/>
              <w:ind w:firstLine="420" w:firstLineChars="200"/>
              <w:rPr>
                <w:rFonts w:ascii="Times New Roman" w:hAnsi="Times New Roman" w:eastAsia="宋体"/>
                <w:sz w:val="21"/>
                <w:szCs w:val="21"/>
              </w:rPr>
            </w:pPr>
            <w:r>
              <w:rPr>
                <w:rFonts w:ascii="Times New Roman" w:hAnsi="Times New Roman" w:eastAsia="宋体"/>
                <w:sz w:val="21"/>
                <w:szCs w:val="21"/>
              </w:rPr>
              <w:t>3.</w:t>
            </w:r>
            <w:r>
              <w:rPr>
                <w:rFonts w:ascii="Times New Roman" w:hAnsi="宋体" w:eastAsia="宋体"/>
                <w:sz w:val="21"/>
                <w:szCs w:val="21"/>
              </w:rPr>
              <w:t>高速公路边界线的界定：公路用地外缘＋</w:t>
            </w:r>
            <w:r>
              <w:rPr>
                <w:rFonts w:ascii="Times New Roman" w:hAnsi="Times New Roman" w:eastAsia="宋体"/>
                <w:sz w:val="21"/>
                <w:szCs w:val="21"/>
              </w:rPr>
              <w:t>30m</w:t>
            </w:r>
            <w:r>
              <w:rPr>
                <w:rFonts w:ascii="Times New Roman" w:hAnsi="宋体" w:eastAsia="宋体"/>
                <w:sz w:val="21"/>
                <w:szCs w:val="21"/>
              </w:rPr>
              <w:t>。</w:t>
            </w:r>
          </w:p>
        </w:tc>
      </w:tr>
    </w:tbl>
    <w:p>
      <w:pPr>
        <w:spacing w:line="480" w:lineRule="exact"/>
        <w:ind w:firstLine="0"/>
        <w:jc w:val="left"/>
        <w:rPr>
          <w:rFonts w:ascii="Times New Roman" w:hAnsi="Times New Roman" w:eastAsia="黑体"/>
          <w:sz w:val="32"/>
          <w:szCs w:val="32"/>
        </w:rPr>
      </w:pPr>
    </w:p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1E4E7E"/>
    <w:rsid w:val="5A847FEC"/>
    <w:rsid w:val="721E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ind w:firstLine="624"/>
      <w:jc w:val="both"/>
    </w:pPr>
    <w:rPr>
      <w:rFonts w:ascii="Calibri" w:hAnsi="Calibri" w:eastAsia="仿宋_GB2312" w:cs="Times New Roman"/>
      <w:kern w:val="2"/>
      <w:sz w:val="30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line="360" w:lineRule="auto"/>
      <w:outlineLvl w:val="1"/>
    </w:pPr>
    <w:rPr>
      <w:rFonts w:ascii="Cambria" w:hAnsi="Cambria" w:eastAsia="仿宋"/>
      <w:b/>
      <w:kern w:val="0"/>
      <w:sz w:val="32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2021-02-24T07:16:00Z</dcterms:created>
  <dc:creator>何宇峰</dc:creator>
  <cp:lastModifiedBy>何宇峰</cp:lastModifiedBy>
  <dcterms:modified xsi:type="dcterms:W3CDTF">2021-02-24T07:19:15Z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